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74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Wagner Daniel Maurice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REZOLVE AI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RZLV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REZOLVE AI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 SACKVILLE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4,698,505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46,972,161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See Footnote 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Warrants to Purchase Ordinary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07/09/2024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01/31/2027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250,000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6"/>
                <w:szCs w:val="3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Call Option (Obligation to Sell)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12/21/2018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08/16/2026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1,566,697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6"/>
                <w:szCs w:val="36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Call Option (Obligation to Sell)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12/21/2018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08/16/2026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2,025,496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 w:line="3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Securities are directly held by DBLP Sea Cow Limited ("DBLP"). DBLP is wholly owned by Mr. Wagner and Mr. Wagner is a director of DBLP. Mr. Wagner may be deemed to share voting and investment power over the shares held by DBLP.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Shares are directly held by DBLP and are subject to a call option currently exercisable by Bradley Wickens.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/s/ Daniel Maurice Wagner 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35140" TargetMode="External"/><Relationship Id="rId11" Type="http://schemas.openxmlformats.org/officeDocument/2006/relationships/hyperlink" Target="http://www.sec.gov/cgi-bin/browse-edgar?action=getcompany&amp;CIK=0001920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2026-03-18T19:48:20Z</dcterms:created>
  <dcterms:modified xsi:type="dcterms:W3CDTF">2026-03-18T19:48:20Z</dcterms:modified>
</cp:coreProperties>
</file>