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1357630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For the month of September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2104390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650875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September 24, 2025, Rezolve AI plc (the "Company") entered into securities purchase agreements with certain qualified institutional investors, for the purchase and sale of 37,000,000 ordinary shares in a private placement at a price of $5.40 per share for aggregate gross proceeds of approximately $200 million, before deducting placement agent fees and other offering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offering is expected to occur on or about September 25, 2025, subject to the satisfaction of customary closing conditions.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use the proceeds from the offering for accelerated investment into their sales organization, potential accretive M&amp;A opportunities, working capital, and general corporate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A.G.P./Alliance Global Partners is acting as lead agent and H.C. Wainwright &amp; Co. is acting as co-lead agent in connection with the offering.</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offer and sale of the foregoing securities is being made in a private placement in reliance on an exemption from registration under Section 4(a)(2) of the Securities Act of 1933, as amended (the “Securities Act”) and/or Regulation D promulgated thereunder, or applicable state securities laws. Accordingly, the securities offered in the private placement may not be offered or sold in the United States except pursuant to an effective registration statement or an applicable exemption from the registration requirements of the Securities Act and such applicable state securities laws.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Report of Foreign Private Issuer on Form 6-K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1379220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24,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75"/>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20"/>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2025-09-24T07:16:44Z</dcterms:created>
  <dcterms:modified xsi:type="dcterms:W3CDTF">2025-09-24T07:16:44Z</dcterms:modified>
</cp:coreProperties>
</file>