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158750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199390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67"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For the month of November 2024</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158750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167640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167640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left="240" w:right="29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128270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1015365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Yorkville Promissory Note</w:t>
      </w:r>
    </w:p>
    <w:p>
      <w:pPr>
        <w:spacing w:after="0" w:line="225" w:lineRule="exact"/>
        <w:rPr>
          <w:sz w:val="20"/>
          <w:szCs w:val="20"/>
          <w:color w:val="auto"/>
        </w:rPr>
      </w:pPr>
    </w:p>
    <w:p>
      <w:pPr>
        <w:ind w:right="140" w:firstLine="576"/>
        <w:spacing w:after="0" w:line="278" w:lineRule="auto"/>
        <w:rPr>
          <w:sz w:val="20"/>
          <w:szCs w:val="20"/>
          <w:color w:val="auto"/>
        </w:rPr>
      </w:pPr>
      <w:r>
        <w:rPr>
          <w:rFonts w:ascii="Times New Roman" w:cs="Times New Roman" w:eastAsia="Times New Roman" w:hAnsi="Times New Roman"/>
          <w:sz w:val="17"/>
          <w:szCs w:val="17"/>
          <w:color w:val="auto"/>
        </w:rPr>
        <w:t>As previously disclosed, on September 6, 2024, Rezolve AI Limited (the “</w:t>
      </w:r>
      <w:r>
        <w:rPr>
          <w:rFonts w:ascii="Times New Roman" w:cs="Times New Roman" w:eastAsia="Times New Roman" w:hAnsi="Times New Roman"/>
          <w:sz w:val="17"/>
          <w:szCs w:val="17"/>
          <w:b w:val="1"/>
          <w:bCs w:val="1"/>
          <w:i w:val="1"/>
          <w:iCs w:val="1"/>
          <w:color w:val="auto"/>
        </w:rPr>
        <w:t>Company or Rezolve</w:t>
      </w:r>
      <w:r>
        <w:rPr>
          <w:rFonts w:ascii="Times New Roman" w:cs="Times New Roman" w:eastAsia="Times New Roman" w:hAnsi="Times New Roman"/>
          <w:sz w:val="17"/>
          <w:szCs w:val="17"/>
          <w:color w:val="auto"/>
        </w:rPr>
        <w:t>”) and YA II PN, LTD, a Cayman Islands exempt limited company (“</w:t>
      </w:r>
      <w:r>
        <w:rPr>
          <w:rFonts w:ascii="Times New Roman" w:cs="Times New Roman" w:eastAsia="Times New Roman" w:hAnsi="Times New Roman"/>
          <w:sz w:val="17"/>
          <w:szCs w:val="17"/>
          <w:b w:val="1"/>
          <w:bCs w:val="1"/>
          <w:i w:val="1"/>
          <w:iCs w:val="1"/>
          <w:color w:val="auto"/>
        </w:rPr>
        <w:t>YA</w:t>
      </w:r>
      <w:r>
        <w:rPr>
          <w:rFonts w:ascii="Times New Roman" w:cs="Times New Roman" w:eastAsia="Times New Roman" w:hAnsi="Times New Roman"/>
          <w:sz w:val="17"/>
          <w:szCs w:val="17"/>
          <w:color w:val="auto"/>
        </w:rPr>
        <w:t>”), amended and restated that certain standby equity purchase agreement, dated February 23, 2023 and amended and restated on February 2, 2024 (the “</w:t>
      </w:r>
      <w:r>
        <w:rPr>
          <w:rFonts w:ascii="Times New Roman" w:cs="Times New Roman" w:eastAsia="Times New Roman" w:hAnsi="Times New Roman"/>
          <w:sz w:val="17"/>
          <w:szCs w:val="17"/>
          <w:b w:val="1"/>
          <w:bCs w:val="1"/>
          <w:i w:val="1"/>
          <w:iCs w:val="1"/>
          <w:color w:val="auto"/>
        </w:rPr>
        <w:t>Second A&amp;R YA Agreement</w:t>
      </w:r>
      <w:r>
        <w:rPr>
          <w:rFonts w:ascii="Times New Roman" w:cs="Times New Roman" w:eastAsia="Times New Roman" w:hAnsi="Times New Roman"/>
          <w:sz w:val="17"/>
          <w:szCs w:val="17"/>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equal tranches, of which the first two tranches were funded as part of a promissory note, dated September 9, 2024.</w:t>
      </w:r>
    </w:p>
    <w:p>
      <w:pPr>
        <w:spacing w:after="0" w:line="168" w:lineRule="exact"/>
        <w:rPr>
          <w:sz w:val="20"/>
          <w:szCs w:val="20"/>
          <w:color w:val="auto"/>
        </w:rPr>
      </w:pPr>
    </w:p>
    <w:p>
      <w:pPr>
        <w:ind w:firstLine="576"/>
        <w:spacing w:after="0" w:line="274" w:lineRule="auto"/>
        <w:rPr>
          <w:sz w:val="20"/>
          <w:szCs w:val="20"/>
          <w:color w:val="auto"/>
        </w:rPr>
      </w:pPr>
      <w:r>
        <w:rPr>
          <w:rFonts w:ascii="Times New Roman" w:cs="Times New Roman" w:eastAsia="Times New Roman" w:hAnsi="Times New Roman"/>
          <w:sz w:val="17"/>
          <w:szCs w:val="17"/>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7"/>
          <w:szCs w:val="17"/>
          <w:b w:val="1"/>
          <w:bCs w:val="1"/>
          <w:i w:val="1"/>
          <w:iCs w:val="1"/>
          <w:color w:val="auto"/>
        </w:rPr>
        <w:t>Note</w:t>
      </w:r>
      <w:r>
        <w:rPr>
          <w:rFonts w:ascii="Times New Roman" w:cs="Times New Roman" w:eastAsia="Times New Roman" w:hAnsi="Times New Roman"/>
          <w:sz w:val="17"/>
          <w:szCs w:val="17"/>
          <w:color w:val="auto"/>
        </w:rPr>
        <w:t>”), reflecting the third tranche of the prepaid advances. The Note bears interest at an annual rate of 10% of the outstanding principal balance of the Note and matures on September 11, 2025. Under the Note,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73" w:lineRule="exact"/>
        <w:rPr>
          <w:sz w:val="20"/>
          <w:szCs w:val="20"/>
          <w:color w:val="auto"/>
        </w:rPr>
      </w:pPr>
    </w:p>
    <w:p>
      <w:pPr>
        <w:ind w:right="720" w:firstLine="576"/>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Note does not purport to be complete and is qualified in its entirety by the full text of the Note, which is incorporated by reference herein and attached herewith as Exhibit 99.1</w:t>
      </w:r>
    </w:p>
    <w:p>
      <w:pPr>
        <w:spacing w:after="0" w:line="1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1" w:lineRule="exact"/>
        <w:rPr>
          <w:sz w:val="20"/>
          <w:szCs w:val="20"/>
          <w:color w:val="auto"/>
        </w:rPr>
      </w:pPr>
    </w:p>
    <w:p>
      <w:pPr>
        <w:ind w:left="180"/>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Promissory Note, dated as of November 29, 2024, by and among YA II PN, Ltd. and Rezolve AI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5,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Wagner</w:t>
            </w:r>
          </w:p>
        </w:tc>
      </w:tr>
      <w:tr>
        <w:trPr>
          <w:trHeight w:val="191"/>
        </w:trPr>
        <w:tc>
          <w:tcPr>
            <w:tcW w:w="1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02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Daniel Wagner</w:t>
            </w: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1627"/>
        </w:trPr>
        <w:tc>
          <w:tcPr>
            <w:tcW w:w="1020" w:type="dxa"/>
            <w:vAlign w:val="bottom"/>
            <w:tcBorders>
              <w:bottom w:val="single" w:sz="8" w:color="9A9A9A"/>
            </w:tcBorders>
          </w:tcPr>
          <w:p>
            <w:pPr>
              <w:spacing w:after="0"/>
              <w:rPr>
                <w:sz w:val="24"/>
                <w:szCs w:val="24"/>
                <w:color w:val="auto"/>
              </w:rPr>
            </w:pPr>
          </w:p>
        </w:tc>
        <w:tc>
          <w:tcPr>
            <w:tcW w:w="10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ind w:left="986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3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NEITHER THIS NOTE NOR THE SECURITIES INTO WHICH THIS NOTE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REZOLVE LIMITED</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onvertible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romissory</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Original Principal Amount: $2,500,000 Issuance Date: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November 29, 2024 Number: RZLV-3</w:t>
      </w:r>
    </w:p>
    <w:p>
      <w:pPr>
        <w:spacing w:after="0" w:line="205"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FOR VALUE RECEIVED, </w:t>
      </w:r>
      <w:r>
        <w:rPr>
          <w:rFonts w:ascii="Times New Roman" w:cs="Times New Roman" w:eastAsia="Times New Roman" w:hAnsi="Times New Roman"/>
          <w:sz w:val="21"/>
          <w:szCs w:val="21"/>
          <w:color w:val="auto"/>
        </w:rPr>
        <w:t>REZOLVE AI LIMITED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company incorporated in England and Wales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registered number 1457369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hereby promises to pay to the order of YA II PN, LTD., or its registered assigns (the “</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the amount set out above as the Original Principal Amount (as reduced pursuant to the terms hereof pursuant to repayment, redemption, conversion or otherwise, the “</w:t>
      </w:r>
      <w:r>
        <w:rPr>
          <w:rFonts w:ascii="Times New Roman" w:cs="Times New Roman" w:eastAsia="Times New Roman" w:hAnsi="Times New Roman"/>
          <w:sz w:val="21"/>
          <w:szCs w:val="21"/>
          <w:u w:val="single" w:color="auto"/>
          <w:color w:val="auto"/>
        </w:rPr>
        <w:t>Principal</w:t>
      </w:r>
      <w:r>
        <w:rPr>
          <w:rFonts w:ascii="Times New Roman" w:cs="Times New Roman" w:eastAsia="Times New Roman" w:hAnsi="Times New Roman"/>
          <w:sz w:val="21"/>
          <w:szCs w:val="21"/>
          <w:color w:val="auto"/>
        </w:rPr>
        <w:t>”) and Payment Premium or Redemption Premium, as applicable, in each case when due, and to pay interest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on any outstanding Principal at the applicable Interest Rate (as defined below) from the date set out above as the Issuance Date (the “</w:t>
      </w:r>
      <w:r>
        <w:rPr>
          <w:rFonts w:ascii="Times New Roman" w:cs="Times New Roman" w:eastAsia="Times New Roman" w:hAnsi="Times New Roman"/>
          <w:sz w:val="21"/>
          <w:szCs w:val="21"/>
          <w:u w:val="single" w:color="auto"/>
          <w:color w:val="auto"/>
        </w:rPr>
        <w:t>Issuance Date</w:t>
      </w:r>
      <w:r>
        <w:rPr>
          <w:rFonts w:ascii="Times New Roman" w:cs="Times New Roman" w:eastAsia="Times New Roman" w:hAnsi="Times New Roman"/>
          <w:sz w:val="21"/>
          <w:szCs w:val="21"/>
          <w:color w:val="auto"/>
        </w:rPr>
        <w:t>”) until the same becomes due and payable, whether upon the Maturity Date or acceleration, conversion, redemption or otherwise (in each case in accordance with the terms hereof). Certain capitalized terms used herein are defined in Section (12). The Issuance Date is the date of the first issuance of this Convertible Promissory Note (the “</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regardless of the number of transfers and regardless of the number of instruments, which may be issued to evidence such Note. This Note was issued with a 5% original issue discount.</w:t>
      </w:r>
    </w:p>
    <w:p>
      <w:pPr>
        <w:spacing w:after="0" w:line="17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This Note is being issued pursuant to Section 2.02 of the Second Amended and Restated Standby Equity Purchase Agreement, dated as of September 6, 2024 (as may be amended, amended and restated, extended, supplemented or otherwise modified in writing from time to time, the “</w:t>
      </w:r>
      <w:r>
        <w:rPr>
          <w:rFonts w:ascii="Times New Roman" w:cs="Times New Roman" w:eastAsia="Times New Roman" w:hAnsi="Times New Roman"/>
          <w:sz w:val="22"/>
          <w:szCs w:val="22"/>
          <w:u w:val="single" w:color="auto"/>
          <w:color w:val="auto"/>
        </w:rPr>
        <w:t>SEPA</w:t>
      </w:r>
      <w:r>
        <w:rPr>
          <w:rFonts w:ascii="Times New Roman" w:cs="Times New Roman" w:eastAsia="Times New Roman" w:hAnsi="Times New Roman"/>
          <w:sz w:val="22"/>
          <w:szCs w:val="22"/>
          <w:color w:val="auto"/>
        </w:rPr>
        <w:t>”), between the Company and the YA II PN, Ltd., as the Investor. This Note may be repaid in accordance with the terms of the SEPA, including, without limitation, pursuant to Investor Notices and corresponding Advance Notices deemed given by the Company in connection with such Investor Notices. The Holder also has the option of converting on one or more occasions all or part of the then outstanding balance under this Note by delivering to the Company one or more Conversion Notices in accordance with Section 3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755650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323" w:right="459" w:bottom="1440" w:gutter="0" w:footer="0" w:header="0"/>
        </w:sectPr>
      </w:pPr>
    </w:p>
    <w:bookmarkStart w:id="4" w:name="page5"/>
    <w:bookmarkEnd w:id="4"/>
    <w:p>
      <w:pPr>
        <w:ind w:left="2420" w:hanging="795"/>
        <w:spacing w:after="0"/>
        <w:tabs>
          <w:tab w:leader="none" w:pos="24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TERMS</w:t>
      </w:r>
    </w:p>
    <w:p>
      <w:pPr>
        <w:spacing w:after="0" w:line="206" w:lineRule="exact"/>
        <w:rPr>
          <w:rFonts w:ascii="Times New Roman" w:cs="Times New Roman" w:eastAsia="Times New Roman" w:hAnsi="Times New Roman"/>
          <w:sz w:val="22"/>
          <w:szCs w:val="22"/>
          <w:color w:val="auto"/>
        </w:rPr>
      </w:pPr>
    </w:p>
    <w:p>
      <w:pPr>
        <w:jc w:val="both"/>
        <w:ind w:left="120" w:firstLine="2230"/>
        <w:spacing w:after="0" w:line="236" w:lineRule="auto"/>
        <w:tabs>
          <w:tab w:leader="none" w:pos="2649"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On the Maturity Date, the Company shall pay to the Holder an amount in cash representing all outstanding Principal, plus accrued and unpaid Interest, plus any other amounts outstanding pursuant to the terms of this Note. The "</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shall be September 11, 2025, as may be extended at the option of the Holder. Other than as specifically permitted by this Note, the Company may not prepay or redeem any portion of the outstanding Principal and accrued and unpaid Interest. Payments under and in connection with this Note shall be subject in all respects to the terms of the Intercreditor Agreement</w:t>
      </w:r>
    </w:p>
    <w:p>
      <w:pPr>
        <w:spacing w:after="0" w:line="181" w:lineRule="exact"/>
        <w:rPr>
          <w:rFonts w:ascii="Times New Roman" w:cs="Times New Roman" w:eastAsia="Times New Roman" w:hAnsi="Times New Roman"/>
          <w:sz w:val="22"/>
          <w:szCs w:val="22"/>
          <w:color w:val="auto"/>
        </w:rPr>
      </w:pPr>
    </w:p>
    <w:p>
      <w:pPr>
        <w:jc w:val="both"/>
        <w:ind w:left="120" w:firstLine="2230"/>
        <w:spacing w:after="0" w:line="238" w:lineRule="auto"/>
        <w:tabs>
          <w:tab w:leader="none" w:pos="2661"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Rate and Payment of Interest</w:t>
      </w:r>
      <w:r>
        <w:rPr>
          <w:rFonts w:ascii="Times New Roman" w:cs="Times New Roman" w:eastAsia="Times New Roman" w:hAnsi="Times New Roman"/>
          <w:sz w:val="22"/>
          <w:szCs w:val="22"/>
          <w:color w:val="auto"/>
        </w:rPr>
        <w:t>. Interest shall accrue on the outstanding Principal balance hereof at an annual rate equal to 10% (“</w:t>
      </w: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 which Interest Rate shall increase to an annual rate of 18% upon the occurrence of an Event of Default (for so long as such event remains uncured). Interest shall be calculated based on a 365-day year and the actual number of days elapsed, to the extent permitted by applicable law. Interest shall be paid on the Maturity Date.</w:t>
      </w:r>
    </w:p>
    <w:p>
      <w:pPr>
        <w:spacing w:after="0" w:line="176" w:lineRule="exact"/>
        <w:rPr>
          <w:rFonts w:ascii="Times New Roman" w:cs="Times New Roman" w:eastAsia="Times New Roman" w:hAnsi="Times New Roman"/>
          <w:sz w:val="22"/>
          <w:szCs w:val="22"/>
          <w:color w:val="auto"/>
        </w:rPr>
      </w:pPr>
    </w:p>
    <w:p>
      <w:pPr>
        <w:jc w:val="both"/>
        <w:ind w:left="120" w:firstLine="2230"/>
        <w:spacing w:after="0" w:line="245" w:lineRule="auto"/>
        <w:tabs>
          <w:tab w:leader="none" w:pos="2663"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Monthly Payments</w:t>
      </w:r>
      <w:r>
        <w:rPr>
          <w:rFonts w:ascii="Times New Roman" w:cs="Times New Roman" w:eastAsia="Times New Roman" w:hAnsi="Times New Roman"/>
          <w:sz w:val="21"/>
          <w:szCs w:val="21"/>
          <w:color w:val="auto"/>
        </w:rPr>
        <w:t>. If, any time after the Issuance Date, and from time to time thereafter, a Trigger Event occurs, then the Company shall make monthly payments by the 7th Trading Day after the Trigger Date and continuing on the same day of each successive Calendar Month. Each monthly payment shall be in an amount equal to the sum of (i) $1,875,000 of Principal in the aggregate among this Note and all Other Notes (other than Note Number RZLV- 1) (or the outstanding Principal if less than such amount) (the “</w:t>
      </w:r>
      <w:r>
        <w:rPr>
          <w:rFonts w:ascii="Times New Roman" w:cs="Times New Roman" w:eastAsia="Times New Roman" w:hAnsi="Times New Roman"/>
          <w:sz w:val="21"/>
          <w:szCs w:val="21"/>
          <w:u w:val="single" w:color="auto"/>
          <w:color w:val="auto"/>
        </w:rPr>
        <w:t>Triggered Principal Amount</w:t>
      </w:r>
      <w:r>
        <w:rPr>
          <w:rFonts w:ascii="Times New Roman" w:cs="Times New Roman" w:eastAsia="Times New Roman" w:hAnsi="Times New Roman"/>
          <w:sz w:val="21"/>
          <w:szCs w:val="21"/>
          <w:color w:val="auto"/>
        </w:rPr>
        <w:t>”), plus (ii) the Payment Premium (as defined below) in respect of such Triggered Principal Amount, plus (iii) accrued and unpaid Interest hereunder as of each payment date. The obligation of the Company to make monthly prepayments related to a Trigger Event shall cease (with respect to any payment that has not yet become due) if any time after the Trigger Date (A) in the event of a Floor Price Trigger, the daily VWAP is greater than 110% of the Floor Price then in effect for any five (5) of seven (7) consecutive Trading Days, or the date that the Company reduces the Floor Price in accordance with the terms of this Note, or (B) in the event of an Exchange Cap Trigger, the date the Company has obtained stockholder approval to increase the number of Common Shares under the Exchange Cap and/ or the Exchange Cap no longer applies, unless a subsequent Trigger Event occurs.</w:t>
      </w:r>
    </w:p>
    <w:p>
      <w:pPr>
        <w:spacing w:after="0" w:line="173" w:lineRule="exact"/>
        <w:rPr>
          <w:rFonts w:ascii="Times New Roman" w:cs="Times New Roman" w:eastAsia="Times New Roman" w:hAnsi="Times New Roman"/>
          <w:sz w:val="21"/>
          <w:szCs w:val="21"/>
          <w:color w:val="auto"/>
        </w:rPr>
      </w:pPr>
    </w:p>
    <w:p>
      <w:pPr>
        <w:jc w:val="both"/>
        <w:ind w:left="120" w:firstLine="2230"/>
        <w:spacing w:after="0" w:line="245" w:lineRule="auto"/>
        <w:tabs>
          <w:tab w:leader="none" w:pos="2661"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Optional Redemption</w:t>
      </w:r>
      <w:r>
        <w:rPr>
          <w:rFonts w:ascii="Times New Roman" w:cs="Times New Roman" w:eastAsia="Times New Roman" w:hAnsi="Times New Roman"/>
          <w:sz w:val="21"/>
          <w:szCs w:val="21"/>
          <w:color w:val="auto"/>
        </w:rPr>
        <w:t>. The Company at its option shall have the right, but not the obligation, to redeem (“</w:t>
      </w:r>
      <w:r>
        <w:rPr>
          <w:rFonts w:ascii="Times New Roman" w:cs="Times New Roman" w:eastAsia="Times New Roman" w:hAnsi="Times New Roman"/>
          <w:sz w:val="21"/>
          <w:szCs w:val="21"/>
          <w:u w:val="single" w:color="auto"/>
          <w:color w:val="auto"/>
        </w:rPr>
        <w:t>Optional Redemption</w:t>
      </w:r>
      <w:r>
        <w:rPr>
          <w:rFonts w:ascii="Times New Roman" w:cs="Times New Roman" w:eastAsia="Times New Roman" w:hAnsi="Times New Roman"/>
          <w:sz w:val="21"/>
          <w:szCs w:val="21"/>
          <w:color w:val="auto"/>
        </w:rPr>
        <w:t xml:space="preserve">”) early a portion or all amounts outstanding under this Note as described in this Section;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(x) (i) the Company provides the Holder with at least 10 Trading Days’ prior written notice (each,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Redemption Notice</w:t>
      </w:r>
      <w:r>
        <w:rPr>
          <w:rFonts w:ascii="Times New Roman" w:cs="Times New Roman" w:eastAsia="Times New Roman" w:hAnsi="Times New Roman"/>
          <w:sz w:val="21"/>
          <w:szCs w:val="21"/>
          <w:color w:val="auto"/>
        </w:rPr>
        <w:t>”) of its desire to exercise an Optional Redemption, and (ii) on the date the Redemption Notice is issued, the VWAP of the Common Stock is less than the Fixed Price or (y) the Company provides a Redemption Notice prior to the consummation of the Business Combination (as defined in the SEPA). Each Redemption Notice shall be irrevocable and shall specify the outstanding balance of the Note to be redeemed and the Redemption Amount. The “</w:t>
      </w:r>
      <w:r>
        <w:rPr>
          <w:rFonts w:ascii="Times New Roman" w:cs="Times New Roman" w:eastAsia="Times New Roman" w:hAnsi="Times New Roman"/>
          <w:sz w:val="21"/>
          <w:szCs w:val="21"/>
          <w:u w:val="single" w:color="auto"/>
          <w:color w:val="auto"/>
        </w:rPr>
        <w:t>Redemption Amount</w:t>
      </w:r>
      <w:r>
        <w:rPr>
          <w:rFonts w:ascii="Times New Roman" w:cs="Times New Roman" w:eastAsia="Times New Roman" w:hAnsi="Times New Roman"/>
          <w:sz w:val="21"/>
          <w:szCs w:val="21"/>
          <w:color w:val="auto"/>
        </w:rPr>
        <w:t>” shall be equal to the outstanding Principal balance being redeemed by the Company, plus the Redemption Premium (as defined below), plus all accrued and unpaid Interest. After receipt of the Redemption Notice, the Holder shall have 10 Trading Days to elect to convert all or any portion of the Note. On the 11th Trading Day after the Redemption Notice, the Company shall deliver to the Holder the Redemption Amount with respect to the Principal amount redeemed after giving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35" w:right="459" w:bottom="1440" w:gutter="0" w:footer="0" w:header="0"/>
        </w:sectPr>
      </w:pPr>
    </w:p>
    <w:bookmarkStart w:id="5" w:name="page6"/>
    <w:bookmarkEnd w:id="5"/>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effect to conversions or other payments effected during the 10 Trading Day period.</w:t>
      </w:r>
    </w:p>
    <w:p>
      <w:pPr>
        <w:spacing w:after="0" w:line="206" w:lineRule="exact"/>
        <w:rPr>
          <w:sz w:val="20"/>
          <w:szCs w:val="20"/>
          <w:color w:val="auto"/>
        </w:rPr>
      </w:pPr>
    </w:p>
    <w:p>
      <w:pPr>
        <w:ind w:left="120" w:firstLine="2230"/>
        <w:spacing w:after="0" w:line="258" w:lineRule="auto"/>
        <w:tabs>
          <w:tab w:leader="none" w:pos="263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Dates</w:t>
      </w:r>
      <w:r>
        <w:rPr>
          <w:rFonts w:ascii="Times New Roman" w:cs="Times New Roman" w:eastAsia="Times New Roman" w:hAnsi="Times New Roman"/>
          <w:sz w:val="22"/>
          <w:szCs w:val="22"/>
          <w:color w:val="auto"/>
        </w:rPr>
        <w:t>. Whenever any payment or other obligation hereunder shall be due on a day other than a Business Day, such payment shall be made on the next succeeding Business Day.</w:t>
      </w:r>
    </w:p>
    <w:p>
      <w:pPr>
        <w:spacing w:after="0" w:line="158" w:lineRule="exact"/>
        <w:rPr>
          <w:rFonts w:ascii="Times New Roman" w:cs="Times New Roman" w:eastAsia="Times New Roman" w:hAnsi="Times New Roman"/>
          <w:sz w:val="22"/>
          <w:szCs w:val="22"/>
          <w:color w:val="auto"/>
        </w:rPr>
      </w:pPr>
    </w:p>
    <w:p>
      <w:pPr>
        <w:jc w:val="both"/>
        <w:ind w:left="120" w:firstLine="2230"/>
        <w:spacing w:after="0" w:line="245" w:lineRule="auto"/>
        <w:tabs>
          <w:tab w:leader="none" w:pos="2706"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Intercreditor Agreement</w:t>
      </w:r>
      <w:r>
        <w:rPr>
          <w:rFonts w:ascii="Times New Roman" w:cs="Times New Roman" w:eastAsia="Times New Roman" w:hAnsi="Times New Roman"/>
          <w:sz w:val="21"/>
          <w:szCs w:val="21"/>
          <w:color w:val="auto"/>
        </w:rPr>
        <w:t>. The Company’s obligations under that certain Senior Secured Convertible Loan Note Instrument, originally dated December 16, 2021, issued by the Company, as amended and/or amended and restated from time to time (the “</w:t>
      </w:r>
      <w:r>
        <w:rPr>
          <w:rFonts w:ascii="Times New Roman" w:cs="Times New Roman" w:eastAsia="Times New Roman" w:hAnsi="Times New Roman"/>
          <w:sz w:val="21"/>
          <w:szCs w:val="21"/>
          <w:u w:val="single" w:color="auto"/>
          <w:color w:val="auto"/>
        </w:rPr>
        <w:t>Apeiron Secured Convertible Loan Note Instrument</w:t>
      </w:r>
      <w:r>
        <w:rPr>
          <w:rFonts w:ascii="Times New Roman" w:cs="Times New Roman" w:eastAsia="Times New Roman" w:hAnsi="Times New Roman"/>
          <w:sz w:val="21"/>
          <w:szCs w:val="21"/>
          <w:color w:val="auto"/>
        </w:rPr>
        <w:t>”) are secured by a first priority lien on all of the assets owned by the Company, pursuant to (i) a debenture entered into by the Company and Apeiron Investment Group Ltd. (“</w:t>
      </w:r>
      <w:r>
        <w:rPr>
          <w:rFonts w:ascii="Times New Roman" w:cs="Times New Roman" w:eastAsia="Times New Roman" w:hAnsi="Times New Roman"/>
          <w:sz w:val="21"/>
          <w:szCs w:val="21"/>
          <w:u w:val="single" w:color="auto"/>
          <w:color w:val="auto"/>
        </w:rPr>
        <w:t>Apeiron</w:t>
      </w:r>
      <w:r>
        <w:rPr>
          <w:rFonts w:ascii="Times New Roman" w:cs="Times New Roman" w:eastAsia="Times New Roman" w:hAnsi="Times New Roman"/>
          <w:sz w:val="21"/>
          <w:szCs w:val="21"/>
          <w:color w:val="auto"/>
        </w:rPr>
        <w:t>”) dated December 16, 2021, (ii) a debenture entered into by the Company and Apeiron dated November 21, 2022 and (iii) a debenture entered into by the Company and GLAS Trust Corporation Limited dated as of May 23, 2023 (the “</w:t>
      </w:r>
      <w:r>
        <w:rPr>
          <w:rFonts w:ascii="Times New Roman" w:cs="Times New Roman" w:eastAsia="Times New Roman" w:hAnsi="Times New Roman"/>
          <w:sz w:val="21"/>
          <w:szCs w:val="21"/>
          <w:u w:val="single" w:color="auto"/>
          <w:color w:val="auto"/>
        </w:rPr>
        <w:t>Security Documents</w:t>
      </w:r>
      <w:r>
        <w:rPr>
          <w:rFonts w:ascii="Times New Roman" w:cs="Times New Roman" w:eastAsia="Times New Roman" w:hAnsi="Times New Roman"/>
          <w:sz w:val="21"/>
          <w:szCs w:val="21"/>
          <w:color w:val="auto"/>
        </w:rPr>
        <w:t>”). Pursuant to that certain Intercreditor Agreement, dated on or about February 2, 2024, by and between the Holder, GLAS Trust Corporation Limited and the other parties thereto (the “</w:t>
      </w:r>
      <w:r>
        <w:rPr>
          <w:rFonts w:ascii="Times New Roman" w:cs="Times New Roman" w:eastAsia="Times New Roman" w:hAnsi="Times New Roman"/>
          <w:sz w:val="21"/>
          <w:szCs w:val="21"/>
          <w:u w:val="single" w:color="auto"/>
          <w:color w:val="auto"/>
        </w:rPr>
        <w:t>Intercreditor Agreement</w:t>
      </w:r>
      <w:r>
        <w:rPr>
          <w:rFonts w:ascii="Times New Roman" w:cs="Times New Roman" w:eastAsia="Times New Roman" w:hAnsi="Times New Roman"/>
          <w:sz w:val="21"/>
          <w:szCs w:val="21"/>
          <w:color w:val="auto"/>
        </w:rPr>
        <w:t xml:space="preserve">”), this Note shall have certain rights and obligations in addition to those included herein, in accordance with the security interests granted by the Security Documents, pursuant to the terms and subject to the conditions set forth in the Intercreditor Agreement. The form of Intercreditor Agreement is attached as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xml:space="preserve"> to the SEPA. In the event of any inconsistency between the provisions of this Note and the provisions of the Intercreditor Agreement, the Intercreditor Agreement shall prevail.</w:t>
      </w:r>
    </w:p>
    <w:p>
      <w:pPr>
        <w:spacing w:after="0" w:line="174" w:lineRule="exact"/>
        <w:rPr>
          <w:sz w:val="20"/>
          <w:szCs w:val="20"/>
          <w:color w:val="auto"/>
        </w:rPr>
      </w:pPr>
    </w:p>
    <w:p>
      <w:pPr>
        <w:ind w:left="2420" w:hanging="795"/>
        <w:spacing w:after="0"/>
        <w:tabs>
          <w:tab w:leader="none" w:pos="24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20" w:firstLine="2222"/>
        <w:spacing w:after="0" w:line="244" w:lineRule="auto"/>
        <w:rPr>
          <w:sz w:val="20"/>
          <w:szCs w:val="20"/>
          <w:color w:val="auto"/>
        </w:rPr>
      </w:pPr>
      <w:r>
        <w:rPr>
          <w:rFonts w:ascii="Times New Roman" w:cs="Times New Roman" w:eastAsia="Times New Roman" w:hAnsi="Times New Roman"/>
          <w:sz w:val="22"/>
          <w:szCs w:val="22"/>
          <w:color w:val="auto"/>
        </w:rPr>
        <w:t>(a)An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w:t>
      </w:r>
    </w:p>
    <w:p>
      <w:pPr>
        <w:spacing w:after="0" w:line="173" w:lineRule="exact"/>
        <w:rPr>
          <w:sz w:val="20"/>
          <w:szCs w:val="20"/>
          <w:color w:val="auto"/>
        </w:rPr>
      </w:pPr>
    </w:p>
    <w:p>
      <w:pPr>
        <w:jc w:val="both"/>
        <w:ind w:left="120" w:firstLine="2970"/>
        <w:spacing w:after="0" w:line="244" w:lineRule="auto"/>
        <w:tabs>
          <w:tab w:leader="none" w:pos="352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pay to the Holder any amount of Principal, Redemption Premium, Payment Premium, Interest, or other amounts when and as due under this Note or any other Transaction Document within five (5) Trading Days after such payment is due;</w:t>
      </w:r>
    </w:p>
    <w:p>
      <w:pPr>
        <w:spacing w:after="0" w:line="173" w:lineRule="exact"/>
        <w:rPr>
          <w:rFonts w:ascii="Times New Roman" w:cs="Times New Roman" w:eastAsia="Times New Roman" w:hAnsi="Times New Roman"/>
          <w:sz w:val="22"/>
          <w:szCs w:val="22"/>
          <w:color w:val="auto"/>
        </w:rPr>
      </w:pPr>
    </w:p>
    <w:p>
      <w:pPr>
        <w:jc w:val="both"/>
        <w:ind w:left="120" w:firstLine="2970"/>
        <w:spacing w:after="0" w:line="233" w:lineRule="auto"/>
        <w:tabs>
          <w:tab w:leader="none" w:pos="352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of the Company shall commence, or there shall be commenced against the Company or any Subsidiary of the Company under any applicable bankruptcy or insolvency laws as now or hereafter in effect or any successor thereto, or the Company or any Subsidiary of the Company commences any other proceeding under any reorganization, arrangement, adjustment of debt, relief of debtors, dissolution, insolvency or liquidation or similar law of any jurisdiction, whether now or hereafter in effect relating to the Company or any Subsidiary of the Company, any such bankruptcy, insolvency or other proceeding which remains undismissed for a period of sixty one (61) days; or the Company or any Subsidiary of the Company is adjudicated insolvent or bankrupt; or any order of relief or other order approving any such case or proceeding is entered; or the Company or any Subsidiary of the Company suffers any appointment of any custodian, private or court appointed receiver or the like for it or all or substantially all of its property which continues undischarged or unstayed for a period of sixty one (61) days; or the Company or any Subsidiary of the Company makes 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 w:name="page7"/>
    <w:bookmarkEnd w:id="6"/>
    <w:p>
      <w:pPr>
        <w:spacing w:after="0" w:line="104" w:lineRule="exact"/>
        <w:rPr>
          <w:sz w:val="20"/>
          <w:szCs w:val="20"/>
          <w:color w:val="auto"/>
        </w:rPr>
      </w:pPr>
    </w:p>
    <w:p>
      <w:pPr>
        <w:jc w:val="both"/>
        <w:ind w:left="120"/>
        <w:spacing w:after="0" w:line="236" w:lineRule="auto"/>
        <w:rPr>
          <w:sz w:val="20"/>
          <w:szCs w:val="20"/>
          <w:color w:val="auto"/>
        </w:rPr>
      </w:pPr>
      <w:r>
        <w:rPr>
          <w:rFonts w:ascii="Times New Roman" w:cs="Times New Roman" w:eastAsia="Times New Roman" w:hAnsi="Times New Roman"/>
          <w:sz w:val="22"/>
          <w:szCs w:val="22"/>
          <w:color w:val="auto"/>
        </w:rPr>
        <w:t>general assignment of all or substantially all of its assets for the benefit of creditors; or the Company or any Subsidiary of the Company shall fail to pay, or shall state that it is unable to pay, or shall be unable to pay, its debts generally as they become due; or the Company or any Subsidiary of the Company shall call a meeting of its creditors with a view to arranging a composition, adjustment or restructuring of its debts; or the Company or any Subsidiary of the Company shall by any act or failure to act expressly indicate its consent to, approval of or acquiescence in any of the foregoing; or any corporate or other action is taken by the Company or any Subsidiary of the Company for the purpose of effecting any of the foregoing;</w:t>
      </w:r>
    </w:p>
    <w:p>
      <w:pPr>
        <w:spacing w:after="0" w:line="181" w:lineRule="exact"/>
        <w:rPr>
          <w:sz w:val="20"/>
          <w:szCs w:val="20"/>
          <w:color w:val="auto"/>
        </w:rPr>
      </w:pPr>
    </w:p>
    <w:p>
      <w:pPr>
        <w:jc w:val="both"/>
        <w:ind w:left="120" w:firstLine="2970"/>
        <w:spacing w:after="0" w:line="235" w:lineRule="auto"/>
        <w:tabs>
          <w:tab w:leader="none" w:pos="352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of the Company shall default, in any of its obligations under any debenture (including, for the avoidance of doubt, any other convertible debenture, or Apeiron Secured Convertible Loan Note Instrument),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or any Subsidiary of the Company in an amount exceeding $250,000, whether such indebtedness now exists or shall hereafter be created and such default is not cured within five (5) Trading Days, and as a result, such indebtedness becomes or is declared due and payable;</w:t>
      </w:r>
    </w:p>
    <w:p>
      <w:pPr>
        <w:spacing w:after="0" w:line="183" w:lineRule="exact"/>
        <w:rPr>
          <w:rFonts w:ascii="Times New Roman" w:cs="Times New Roman" w:eastAsia="Times New Roman" w:hAnsi="Times New Roman"/>
          <w:sz w:val="22"/>
          <w:szCs w:val="22"/>
          <w:color w:val="auto"/>
        </w:rPr>
      </w:pPr>
    </w:p>
    <w:p>
      <w:pPr>
        <w:jc w:val="both"/>
        <w:ind w:left="120" w:firstLine="2970"/>
        <w:spacing w:after="0" w:line="234" w:lineRule="auto"/>
        <w:tabs>
          <w:tab w:leader="none" w:pos="352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final judgment or judgments for the payment of money aggregating in excess of $1,000,000 are rendered against the Company and/or any of its Subsidiaries and which judgments are not, within thirty (30) days after the entry thereof, bonded, discharged, settled or stayed pending appeal, or are not discharged within thirty (30) days after the expiration of such stay;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judgment which is covered by insurance or an indemnity from a credit worthy party shall not be included in calculating the $1,000,000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183" w:lineRule="exact"/>
        <w:rPr>
          <w:rFonts w:ascii="Times New Roman" w:cs="Times New Roman" w:eastAsia="Times New Roman" w:hAnsi="Times New Roman"/>
          <w:sz w:val="22"/>
          <w:szCs w:val="22"/>
          <w:color w:val="auto"/>
        </w:rPr>
      </w:pPr>
    </w:p>
    <w:p>
      <w:pPr>
        <w:ind w:left="120" w:firstLine="2970"/>
        <w:spacing w:after="0" w:line="258" w:lineRule="auto"/>
        <w:tabs>
          <w:tab w:leader="none" w:pos="352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shall cease to be quoted or listed for trading, as applicable, on any Primary Market for a period of five (5) consecutive Trading Days;</w:t>
      </w:r>
    </w:p>
    <w:p>
      <w:pPr>
        <w:spacing w:after="0" w:line="158" w:lineRule="exact"/>
        <w:rPr>
          <w:rFonts w:ascii="Times New Roman" w:cs="Times New Roman" w:eastAsia="Times New Roman" w:hAnsi="Times New Roman"/>
          <w:sz w:val="22"/>
          <w:szCs w:val="22"/>
          <w:color w:val="auto"/>
        </w:rPr>
      </w:pPr>
    </w:p>
    <w:p>
      <w:pPr>
        <w:jc w:val="both"/>
        <w:ind w:left="120" w:firstLine="2970"/>
        <w:spacing w:after="0" w:line="244" w:lineRule="auto"/>
        <w:tabs>
          <w:tab w:leader="none" w:pos="352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of the Company shall be a party to any Change of Control Transaction (as defined in Section (12)) unless in connection with such Change of Control Transaction this Note is retired;</w:t>
      </w:r>
    </w:p>
    <w:p>
      <w:pPr>
        <w:spacing w:after="0" w:line="173" w:lineRule="exact"/>
        <w:rPr>
          <w:rFonts w:ascii="Times New Roman" w:cs="Times New Roman" w:eastAsia="Times New Roman" w:hAnsi="Times New Roman"/>
          <w:sz w:val="22"/>
          <w:szCs w:val="22"/>
          <w:color w:val="auto"/>
        </w:rPr>
      </w:pPr>
    </w:p>
    <w:p>
      <w:pPr>
        <w:jc w:val="both"/>
        <w:ind w:left="120" w:firstLine="2970"/>
        <w:spacing w:after="0" w:line="239" w:lineRule="auto"/>
        <w:tabs>
          <w:tab w:leader="none" w:pos="352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 failure to deliver the required number of Common Shares to the Holder within two (2) Trading Days after the applicable Share Delivery Date or (B) notice, written or oral, to any holder of the Note, including by way of public announcement, at any time, of its intention not to comply with a request for conversion of any Note into Common Shares that is tendered in accordance with the provisions of the Note;</w:t>
      </w:r>
    </w:p>
    <w:p>
      <w:pPr>
        <w:spacing w:after="0" w:line="180" w:lineRule="exact"/>
        <w:rPr>
          <w:sz w:val="20"/>
          <w:szCs w:val="20"/>
          <w:color w:val="auto"/>
        </w:rPr>
      </w:pPr>
    </w:p>
    <w:p>
      <w:pPr>
        <w:jc w:val="both"/>
        <w:ind w:left="120" w:firstLine="2963"/>
        <w:spacing w:after="0" w:line="244" w:lineRule="auto"/>
        <w:rPr>
          <w:sz w:val="20"/>
          <w:szCs w:val="20"/>
          <w:color w:val="auto"/>
        </w:rPr>
      </w:pPr>
      <w:r>
        <w:rPr>
          <w:rFonts w:ascii="Times New Roman" w:cs="Times New Roman" w:eastAsia="Times New Roman" w:hAnsi="Times New Roman"/>
          <w:sz w:val="22"/>
          <w:szCs w:val="22"/>
          <w:color w:val="auto"/>
        </w:rPr>
        <w:t>(viii)The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7" w:name="page8"/>
    <w:bookmarkEnd w:id="7"/>
    <w:p>
      <w:pPr>
        <w:spacing w:after="0" w:line="104" w:lineRule="exact"/>
        <w:rPr>
          <w:sz w:val="20"/>
          <w:szCs w:val="20"/>
          <w:color w:val="auto"/>
        </w:rPr>
      </w:pPr>
    </w:p>
    <w:p>
      <w:pPr>
        <w:jc w:val="both"/>
        <w:ind w:left="120" w:firstLine="2970"/>
        <w:spacing w:after="0" w:line="239" w:lineRule="auto"/>
        <w:tabs>
          <w:tab w:leader="none" w:pos="352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representation or warranty made or deemed to be made by or on behalf of the Company in or in connection with any Transaction Document, or any waiver hereunder or thereunder, shall prove to have been incorrect in any material respect (or, in the case of any such representation or warranty already qualified by materiality, such representation or warranty shall prove to have been incorrect) when made or deemed made;</w:t>
      </w:r>
    </w:p>
    <w:p>
      <w:pPr>
        <w:spacing w:after="0" w:line="180" w:lineRule="exact"/>
        <w:rPr>
          <w:rFonts w:ascii="Times New Roman" w:cs="Times New Roman" w:eastAsia="Times New Roman" w:hAnsi="Times New Roman"/>
          <w:sz w:val="22"/>
          <w:szCs w:val="22"/>
          <w:color w:val="auto"/>
        </w:rPr>
      </w:pPr>
    </w:p>
    <w:p>
      <w:pPr>
        <w:jc w:val="both"/>
        <w:ind w:left="120" w:firstLine="2970"/>
        <w:spacing w:after="0" w:line="236" w:lineRule="auto"/>
        <w:tabs>
          <w:tab w:leader="none" w:pos="352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provision of any Transaction Document, at any time after its execution and delivery and for any reason other than as expressly permitted hereunder or thereunder, ceases to be in full force and effect; or the Company or any other Person contests in writing the validity or enforceability of any provision of any Transaction Document; or the Company denies in writing that it has any or further liability or obligation under any Transaction Document, or purports in writing to revoke, terminate (other than in line with the relevant termination provisions) or rescind any Transaction Document;</w:t>
      </w:r>
    </w:p>
    <w:p>
      <w:pPr>
        <w:spacing w:after="0" w:line="181" w:lineRule="exact"/>
        <w:rPr>
          <w:rFonts w:ascii="Times New Roman" w:cs="Times New Roman" w:eastAsia="Times New Roman" w:hAnsi="Times New Roman"/>
          <w:sz w:val="22"/>
          <w:szCs w:val="22"/>
          <w:color w:val="auto"/>
        </w:rPr>
      </w:pPr>
    </w:p>
    <w:p>
      <w:pPr>
        <w:jc w:val="both"/>
        <w:ind w:left="120" w:firstLine="2970"/>
        <w:spacing w:after="0" w:line="238" w:lineRule="auto"/>
        <w:tabs>
          <w:tab w:leader="none" w:pos="352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uses the proceeds of the issuance of this Note, whether directly or indirectly, and whether immediately, incidentally or ultimately, to purchase or carry margin stock (within the meaning of Regulations T, U and X of the Federal Reserve Board, as in effect from time to time and all official rulings and interpretations thereunder or thereof), or to extend credit to others for the purpose of purchasing or carrying margin stock or to refund indebtedness originally incurred for such purpose; or</w:t>
      </w:r>
    </w:p>
    <w:p>
      <w:pPr>
        <w:spacing w:after="0" w:line="176" w:lineRule="exact"/>
        <w:rPr>
          <w:rFonts w:ascii="Times New Roman" w:cs="Times New Roman" w:eastAsia="Times New Roman" w:hAnsi="Times New Roman"/>
          <w:sz w:val="22"/>
          <w:szCs w:val="22"/>
          <w:color w:val="auto"/>
        </w:rPr>
      </w:pPr>
    </w:p>
    <w:p>
      <w:pPr>
        <w:jc w:val="both"/>
        <w:ind w:left="120" w:firstLine="2970"/>
        <w:spacing w:after="0" w:line="244" w:lineRule="auto"/>
        <w:tabs>
          <w:tab w:leader="none" w:pos="352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of Default (as defined in the Other Notes or in any Transaction Document other than this Note) occurs with respect to any Other Notes, or any breach of any material term of any other debenture, note, or instrument held by the Holder in the Company or any agreement between or among the Company and the Holder; or</w:t>
      </w:r>
    </w:p>
    <w:p>
      <w:pPr>
        <w:spacing w:after="0" w:line="173" w:lineRule="exact"/>
        <w:rPr>
          <w:sz w:val="20"/>
          <w:szCs w:val="20"/>
          <w:color w:val="auto"/>
        </w:rPr>
      </w:pPr>
    </w:p>
    <w:p>
      <w:pPr>
        <w:jc w:val="both"/>
        <w:ind w:left="120" w:firstLine="2963"/>
        <w:spacing w:after="0" w:line="238" w:lineRule="auto"/>
        <w:rPr>
          <w:sz w:val="20"/>
          <w:szCs w:val="20"/>
          <w:color w:val="auto"/>
        </w:rPr>
      </w:pPr>
      <w:r>
        <w:rPr>
          <w:rFonts w:ascii="Times New Roman" w:cs="Times New Roman" w:eastAsia="Times New Roman" w:hAnsi="Times New Roman"/>
          <w:sz w:val="22"/>
          <w:szCs w:val="22"/>
          <w:color w:val="auto"/>
        </w:rPr>
        <w:t xml:space="preserve">(xiii)The Company shall fail to observe or perform any material covenant, agreement or warranty contained in, or otherwise commit any material breach or default of any provision of this Note (except as may be covered by Section (2)(a)(i) through (2)(a)(xii) hereof) or any other Transaction Document, which is not cured or remedied within the time prescribed or if no time is prescribed within five (5) Business Days, </w:t>
      </w:r>
      <w:r>
        <w:rPr>
          <w:rFonts w:ascii="Times New Roman" w:cs="Times New Roman" w:eastAsia="Times New Roman" w:hAnsi="Times New Roman"/>
          <w:sz w:val="22"/>
          <w:szCs w:val="22"/>
          <w:b w:val="1"/>
          <w:bCs w:val="1"/>
          <w:i w:val="1"/>
          <w:iCs w:val="1"/>
          <w:color w:val="auto"/>
        </w:rPr>
        <w:t>provided that</w:t>
      </w:r>
      <w:r>
        <w:rPr>
          <w:rFonts w:ascii="Times New Roman" w:cs="Times New Roman" w:eastAsia="Times New Roman" w:hAnsi="Times New Roman"/>
          <w:sz w:val="22"/>
          <w:szCs w:val="22"/>
          <w:color w:val="auto"/>
        </w:rPr>
        <w:t>, the consummation of the Pre-Closing Demerger and/or of the Business Combination shall not constitute an Event of Default</w:t>
      </w:r>
    </w:p>
    <w:p>
      <w:pPr>
        <w:spacing w:after="0" w:line="177" w:lineRule="exact"/>
        <w:rPr>
          <w:sz w:val="20"/>
          <w:szCs w:val="20"/>
          <w:color w:val="auto"/>
        </w:rPr>
      </w:pPr>
    </w:p>
    <w:p>
      <w:pPr>
        <w:jc w:val="both"/>
        <w:ind w:left="120" w:firstLine="2222"/>
        <w:spacing w:after="0" w:line="245" w:lineRule="auto"/>
        <w:rPr>
          <w:sz w:val="20"/>
          <w:szCs w:val="20"/>
          <w:color w:val="auto"/>
        </w:rPr>
      </w:pPr>
      <w:r>
        <w:rPr>
          <w:rFonts w:ascii="Times New Roman" w:cs="Times New Roman" w:eastAsia="Times New Roman" w:hAnsi="Times New Roman"/>
          <w:sz w:val="21"/>
          <w:szCs w:val="21"/>
          <w:color w:val="auto"/>
        </w:rPr>
        <w:t>(b)During the time that any portion of this Note is outstanding, if any Event of Default has occurred (other than an event with respect to the Company described in Section (2)(a)(ii)), the full unpaid Principal amount of this Note, together with interest and other amounts owing in respect thereof, to the date of acceleration shall become at the Holder's election given by notice pursuant to Section (5), immediately due and payable in cash; provided that, in the case of any event with respect to the Company described in Section (2)(a)(ii), the full unpaid Principal amount of this Note, together with interest and other amounts owing in respect thereof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on one or more occasions all or part of the Note in accordance with Section (3) (and subject to the limitations set out in Section (3)(c)(i) and Section (3)(c)(ii)) at any time after (x) an Event of Default or (y) the Maturity Date at the Conversion Price. The Holder need not provide and the Company hereby waives any presentment, demand, protest or other notice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8" w:name="page9"/>
    <w:bookmarkEnd w:id="8"/>
    <w:p>
      <w:pPr>
        <w:spacing w:after="0" w:line="104"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2"/>
          <w:szCs w:val="22"/>
          <w:color w:val="auto"/>
        </w:rPr>
        <w:t>of any kind, (other than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spacing w:after="0" w:line="180" w:lineRule="exact"/>
        <w:rPr>
          <w:sz w:val="20"/>
          <w:szCs w:val="20"/>
          <w:color w:val="auto"/>
        </w:rPr>
      </w:pPr>
    </w:p>
    <w:p>
      <w:pPr>
        <w:ind w:left="120" w:right="460" w:firstLine="1505"/>
        <w:spacing w:after="0" w:line="258" w:lineRule="auto"/>
        <w:tabs>
          <w:tab w:leader="none" w:pos="209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NOTE</w:t>
      </w:r>
      <w:r>
        <w:rPr>
          <w:rFonts w:ascii="Times New Roman" w:cs="Times New Roman" w:eastAsia="Times New Roman" w:hAnsi="Times New Roman"/>
          <w:sz w:val="22"/>
          <w:szCs w:val="22"/>
          <w:color w:val="auto"/>
        </w:rPr>
        <w:t>. This Note shall be convertible into shares of the Company's Common Shares, on the terms and conditions set forth in this Section (3).</w:t>
      </w:r>
    </w:p>
    <w:p>
      <w:pPr>
        <w:spacing w:after="0" w:line="158" w:lineRule="exact"/>
        <w:rPr>
          <w:rFonts w:ascii="Times New Roman" w:cs="Times New Roman" w:eastAsia="Times New Roman" w:hAnsi="Times New Roman"/>
          <w:sz w:val="22"/>
          <w:szCs w:val="22"/>
          <w:color w:val="auto"/>
        </w:rPr>
      </w:pPr>
    </w:p>
    <w:p>
      <w:pPr>
        <w:jc w:val="both"/>
        <w:ind w:left="120" w:firstLine="2230"/>
        <w:spacing w:after="0" w:line="246" w:lineRule="auto"/>
        <w:tabs>
          <w:tab w:leader="none" w:pos="2649"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Conversion Right</w:t>
      </w:r>
      <w:r>
        <w:rPr>
          <w:rFonts w:ascii="Times New Roman" w:cs="Times New Roman" w:eastAsia="Times New Roman" w:hAnsi="Times New Roman"/>
          <w:sz w:val="21"/>
          <w:szCs w:val="21"/>
          <w:color w:val="auto"/>
        </w:rPr>
        <w:t>. Subject to the limitations of Section (3)(c), at any time or times on or after Issuance Date, the Holder shall be entitled to convert any portion of the outstanding and unpaid Conversion Amount into fully paid and nonassessable Common Shares in accordance with Section (3)(b), at the Conversion Price. The number of Common Shares issuable upon conversion of any Conversion Amount pursuant to this Section (3)(a) shall be determined by dividing (x) such Conversion Amount by (y) the Conversion Price. The Company shall not issue any fraction of a share of Common Shares upon any conversion. All calculations under this Section (3) shall be rounded to the nearest $0.0001. If the issuance would result in the issuance of a fraction of a share of Common Shares, the Company shall round such fraction of a share of Common Shares down to the nearest whole share. The Company shall pay any and all transfer, stamp and similar taxes that may be payable with respect to the issuance and delivery of Common Shares upon conversion of any Conversion Amount.</w:t>
      </w:r>
    </w:p>
    <w:p>
      <w:pPr>
        <w:spacing w:after="0" w:line="175" w:lineRule="exact"/>
        <w:rPr>
          <w:rFonts w:ascii="Times New Roman" w:cs="Times New Roman" w:eastAsia="Times New Roman" w:hAnsi="Times New Roman"/>
          <w:sz w:val="21"/>
          <w:szCs w:val="21"/>
          <w:color w:val="auto"/>
        </w:rPr>
      </w:pPr>
    </w:p>
    <w:p>
      <w:pPr>
        <w:ind w:left="3180" w:hanging="806"/>
        <w:spacing w:after="0"/>
        <w:tabs>
          <w:tab w:leader="none" w:pos="3180"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Conversion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20" w:firstLine="2970"/>
        <w:spacing w:after="0" w:line="233" w:lineRule="auto"/>
        <w:tabs>
          <w:tab w:leader="none" w:pos="3527" w:val="left"/>
        </w:tabs>
        <w:numPr>
          <w:ilvl w:val="3"/>
          <w:numId w:val="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Optional Conversion</w:t>
      </w:r>
      <w:r>
        <w:rPr>
          <w:rFonts w:ascii="Times New Roman" w:cs="Times New Roman" w:eastAsia="Times New Roman" w:hAnsi="Times New Roman"/>
          <w:sz w:val="22"/>
          <w:szCs w:val="22"/>
          <w:color w:val="auto"/>
        </w:rPr>
        <w:t>. To convert any Conversion Amount into Common Shares on any date (a "</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Conversion Notice</w:t>
      </w:r>
      <w:r>
        <w:rPr>
          <w:rFonts w:ascii="Times New Roman" w:cs="Times New Roman" w:eastAsia="Times New Roman" w:hAnsi="Times New Roman"/>
          <w:sz w:val="22"/>
          <w:szCs w:val="22"/>
          <w:color w:val="auto"/>
        </w:rPr>
        <w:t>") to the Company and (B) if required by Section (3)(b)(ii), surrender this Note to a nationally recognized overnight delivery service for delivery to the Company (or an indemnification undertaking reasonably satisfactory to the Company with respect to this Note in the case of its loss, theft or destruction). On or before the third (3</w:t>
      </w:r>
      <w:r>
        <w:rPr>
          <w:rFonts w:ascii="Times New Roman" w:cs="Times New Roman" w:eastAsia="Times New Roman" w:hAnsi="Times New Roman"/>
          <w:sz w:val="14"/>
          <w:szCs w:val="14"/>
          <w:color w:val="auto"/>
        </w:rPr>
        <w:t>rd</w:t>
      </w:r>
      <w:r>
        <w:rPr>
          <w:rFonts w:ascii="Times New Roman" w:cs="Times New Roman" w:eastAsia="Times New Roman" w:hAnsi="Times New Roman"/>
          <w:sz w:val="22"/>
          <w:szCs w:val="22"/>
          <w:color w:val="auto"/>
        </w:rPr>
        <w:t>) Trading Day following the date of receipt of a Conversion Notice (the "</w:t>
      </w:r>
      <w:r>
        <w:rPr>
          <w:rFonts w:ascii="Times New Roman" w:cs="Times New Roman" w:eastAsia="Times New Roman" w:hAnsi="Times New Roman"/>
          <w:sz w:val="22"/>
          <w:szCs w:val="22"/>
          <w:u w:val="single" w:color="auto"/>
          <w:color w:val="auto"/>
        </w:rPr>
        <w:t>Share Delivery Date</w:t>
      </w:r>
      <w:r>
        <w:rPr>
          <w:rFonts w:ascii="Times New Roman" w:cs="Times New Roman" w:eastAsia="Times New Roman" w:hAnsi="Times New Roman"/>
          <w:sz w:val="22"/>
          <w:szCs w:val="22"/>
          <w:color w:val="auto"/>
        </w:rPr>
        <w:t>"), the Company shall (X) if legends are not required to be placed on certificates of Common Shares and provided that the transfer agent is participating in the Depository Trust Company's ("</w:t>
      </w: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Fast Automated Securities Transfer Program, credit such aggregate number of Common Shares to which the Holder shall be entitled to the Holder's or its designee's balance account with DTC through its Deposit Withdrawal Agent Commission system or (Y) if the transfer agent is not participating in the DTC Fast Automated Securities Transfer Program, issue and deliver to the address as specified in the Conversion Notice, a certificate, registered in the name of the Holder or its designee, for the</w:t>
      </w:r>
    </w:p>
    <w:p>
      <w:pPr>
        <w:spacing w:after="0" w:line="47" w:lineRule="exact"/>
        <w:rPr>
          <w:sz w:val="20"/>
          <w:szCs w:val="20"/>
          <w:color w:val="auto"/>
        </w:rPr>
      </w:pPr>
    </w:p>
    <w:p>
      <w:pPr>
        <w:jc w:val="both"/>
        <w:ind w:left="140"/>
        <w:spacing w:after="0" w:line="235" w:lineRule="auto"/>
        <w:rPr>
          <w:sz w:val="20"/>
          <w:szCs w:val="20"/>
          <w:color w:val="auto"/>
        </w:rPr>
      </w:pPr>
      <w:r>
        <w:rPr>
          <w:rFonts w:ascii="Times New Roman" w:cs="Times New Roman" w:eastAsia="Times New Roman" w:hAnsi="Times New Roman"/>
          <w:sz w:val="22"/>
          <w:szCs w:val="22"/>
          <w:color w:val="auto"/>
        </w:rPr>
        <w:t>number of Common Shares to which the Holder shall be entitled which certificates shall not bear any restrictive legends unless required pursuant to rules and regulations of the Commission. If this Note is physically surrendered for conversion and the outstanding Principal of this Note is greater than the Principal portion of the Conversion Amount being converted, then the Company shall as soon as practicable and in no event later than three (3) Business Days after receipt of this Note and at its own expense, issue and deliver to the holder a new Note representing the outstanding Principal not converted. The Person or Persons entitled to receive the Common Shares issuable upon a conversion of this Note shall be treated for all purposes as the record holder or holders 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9" w:name="page10"/>
    <w:bookmarkEnd w:id="9"/>
    <w:p>
      <w:pPr>
        <w:ind w:left="140"/>
        <w:spacing w:after="0"/>
        <w:rPr>
          <w:sz w:val="20"/>
          <w:szCs w:val="20"/>
          <w:color w:val="auto"/>
        </w:rPr>
      </w:pPr>
      <w:r>
        <w:rPr>
          <w:rFonts w:ascii="Times New Roman" w:cs="Times New Roman" w:eastAsia="Times New Roman" w:hAnsi="Times New Roman"/>
          <w:sz w:val="22"/>
          <w:szCs w:val="22"/>
          <w:color w:val="auto"/>
        </w:rPr>
        <w:t>such Common Shares upon the transmission of a Conversion Notice.</w:t>
      </w:r>
    </w:p>
    <w:p>
      <w:pPr>
        <w:spacing w:after="0" w:line="206" w:lineRule="exact"/>
        <w:rPr>
          <w:sz w:val="20"/>
          <w:szCs w:val="20"/>
          <w:color w:val="auto"/>
        </w:rPr>
      </w:pPr>
    </w:p>
    <w:p>
      <w:pPr>
        <w:jc w:val="both"/>
        <w:ind w:left="120" w:firstLine="2970"/>
        <w:spacing w:after="0" w:line="235" w:lineRule="auto"/>
        <w:tabs>
          <w:tab w:leader="none" w:pos="3527" w:val="left"/>
        </w:tabs>
        <w:numPr>
          <w:ilvl w:val="1"/>
          <w:numId w:val="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Book-Entry</w:t>
      </w:r>
      <w:r>
        <w:rPr>
          <w:rFonts w:ascii="Times New Roman" w:cs="Times New Roman" w:eastAsia="Times New Roman" w:hAnsi="Times New Roman"/>
          <w:sz w:val="22"/>
          <w:szCs w:val="22"/>
          <w:color w:val="auto"/>
        </w:rPr>
        <w:t>. Notwithstanding anything to the contrary set forth herein, upon conversion of any portion of this Note in accordance with the terms hereof, the Holder shall not be required to physically surrender this Note to the Company unless (A) the full Conversion Amount represented by this Note is being converted or (B) the Holder has provided the Company with prior written notice (which notice may be included in a Conversion Notice) requesting reissuance of this Note upon physical surrender of this Note. The Holder and the Company shall maintain records showing the Principal and Interest converted and the dates of such conversions or shall use such other method, reasonably satisfactory to the Holder and the Company, so as not to require physical surrender of this Note upon conversion.</w:t>
      </w:r>
    </w:p>
    <w:p>
      <w:pPr>
        <w:spacing w:after="0" w:line="183" w:lineRule="exact"/>
        <w:rPr>
          <w:rFonts w:ascii="Times New Roman" w:cs="Times New Roman" w:eastAsia="Times New Roman" w:hAnsi="Times New Roman"/>
          <w:sz w:val="22"/>
          <w:szCs w:val="22"/>
          <w:u w:val="single" w:color="auto"/>
          <w:color w:val="auto"/>
        </w:rPr>
      </w:pPr>
    </w:p>
    <w:p>
      <w:pPr>
        <w:ind w:left="3180" w:hanging="806"/>
        <w:spacing w:after="0"/>
        <w:tabs>
          <w:tab w:leader="none" w:pos="31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Conversions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20" w:firstLine="2970"/>
        <w:spacing w:after="0" w:line="232" w:lineRule="auto"/>
        <w:tabs>
          <w:tab w:leader="none" w:pos="3527" w:val="left"/>
        </w:tabs>
        <w:numPr>
          <w:ilvl w:val="1"/>
          <w:numId w:val="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The Holder shall not have the right to convert any portion of this Note to the extent that after giving effect to such conversion, the Holder, together with any affiliate thereof, would beneficially own (as determined in accordance with Section 13(d) of the Exchange Act and the rules promulgated thereunder) in excess of 4.99% of the number of Common Shares outstanding immediately after giving effect to such conversion or receipt of shares as payment of interest. Since the Holder will not be obligated to report to the Company the number of Common Shares it may hold at the time of a conversion hereunder, unless the conversion at issue would result in the issuance of Common Shares in excess of 4.99% of the then outstanding Common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Note is convertible shall be the responsibility and obligation of the Holder. If the Holder has delivered a Conversion Notice for a Principal amount of this Note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(3)(a) and, any Principal amount tendered for conversion in excess of the permitted amount hereunder shall remain outstanding under this Note. The provisions of this Section may be waived by a Holder (but only as to itself and not to any other Holder) upon not less than 65 days prior notice to the Company. Other Holders shall be unaffected by any such waiver.</w:t>
      </w:r>
    </w:p>
    <w:p>
      <w:pPr>
        <w:spacing w:after="0" w:line="188" w:lineRule="exact"/>
        <w:rPr>
          <w:sz w:val="20"/>
          <w:szCs w:val="20"/>
          <w:color w:val="auto"/>
        </w:rPr>
      </w:pPr>
    </w:p>
    <w:p>
      <w:pPr>
        <w:jc w:val="both"/>
        <w:ind w:left="120" w:firstLine="2970"/>
        <w:spacing w:after="0" w:line="245" w:lineRule="auto"/>
        <w:tabs>
          <w:tab w:leader="none" w:pos="3527" w:val="left"/>
        </w:tabs>
        <w:numPr>
          <w:ilvl w:val="1"/>
          <w:numId w:val="1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Principal Market Limitation</w:t>
      </w:r>
      <w:r>
        <w:rPr>
          <w:rFonts w:ascii="Times New Roman" w:cs="Times New Roman" w:eastAsia="Times New Roman" w:hAnsi="Times New Roman"/>
          <w:sz w:val="21"/>
          <w:szCs w:val="21"/>
          <w:color w:val="auto"/>
        </w:rPr>
        <w:t>. Notwithstanding anything in this Note to the contrary, the Company shall not issue any Common Shares upon conversion of this Note, or otherwise, if the issuance of such Common Shares, together with any Common Shares issued in connection with the SEPA and with any other related transactions that may be considered part of the same series of transactions, would exceed the aggregate number Common Shares that the Company may issue in a transaction in compliance with the Company’s obligations under the rules or regulations of Nasdaq Stock Market LLC (the “</w:t>
      </w:r>
      <w:r>
        <w:rPr>
          <w:rFonts w:ascii="Times New Roman" w:cs="Times New Roman" w:eastAsia="Times New Roman" w:hAnsi="Times New Roman"/>
          <w:sz w:val="21"/>
          <w:szCs w:val="21"/>
          <w:u w:val="single" w:color="auto"/>
          <w:color w:val="auto"/>
        </w:rPr>
        <w:t>Nasdaq</w:t>
      </w:r>
      <w:r>
        <w:rPr>
          <w:rFonts w:ascii="Times New Roman" w:cs="Times New Roman" w:eastAsia="Times New Roman" w:hAnsi="Times New Roman"/>
          <w:sz w:val="21"/>
          <w:szCs w:val="21"/>
          <w:color w:val="auto"/>
        </w:rPr>
        <w:t>”) and shall be referred to as the “</w:t>
      </w:r>
      <w:r>
        <w:rPr>
          <w:rFonts w:ascii="Times New Roman" w:cs="Times New Roman" w:eastAsia="Times New Roman" w:hAnsi="Times New Roman"/>
          <w:sz w:val="21"/>
          <w:szCs w:val="21"/>
          <w:u w:val="single" w:color="auto"/>
          <w:color w:val="auto"/>
        </w:rPr>
        <w:t>Exchange Cap,</w:t>
      </w:r>
      <w:r>
        <w:rPr>
          <w:rFonts w:ascii="Times New Roman" w:cs="Times New Roman" w:eastAsia="Times New Roman" w:hAnsi="Times New Roman"/>
          <w:sz w:val="21"/>
          <w:szCs w:val="21"/>
          <w:color w:val="auto"/>
        </w:rPr>
        <w:t>” except that such limitation shall not apply if</w:t>
      </w:r>
    </w:p>
    <w:p>
      <w:pPr>
        <w:spacing w:after="0" w:line="2" w:lineRule="exact"/>
        <w:rPr>
          <w:rFonts w:ascii="Times New Roman" w:cs="Times New Roman" w:eastAsia="Times New Roman" w:hAnsi="Times New Roman"/>
          <w:sz w:val="21"/>
          <w:szCs w:val="21"/>
          <w:u w:val="single" w:color="auto"/>
          <w:color w:val="auto"/>
        </w:rPr>
      </w:pPr>
    </w:p>
    <w:p>
      <w:pPr>
        <w:jc w:val="both"/>
        <w:ind w:left="120" w:firstLine="8"/>
        <w:spacing w:after="0" w:line="235"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stockholders have approved such issuances on such terms in excess of the Exchange Cap in accordance with the rules of the Nasdaq or (ii) the Company is permitted to follow its home country practices instead of the stockholder approval requirements of Nasdaq Rule 5635, and has made such election to follow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sectPr>
      </w:pPr>
    </w:p>
    <w:bookmarkStart w:id="10" w:name="page11"/>
    <w:bookmarkEnd w:id="10"/>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home country practice in accordance with the Nasdaq Rules.</w:t>
      </w:r>
    </w:p>
    <w:p>
      <w:pPr>
        <w:spacing w:after="0" w:line="206" w:lineRule="exact"/>
        <w:rPr>
          <w:sz w:val="20"/>
          <w:szCs w:val="20"/>
          <w:color w:val="auto"/>
        </w:rPr>
      </w:pPr>
    </w:p>
    <w:p>
      <w:pPr>
        <w:ind w:left="2800" w:hanging="426"/>
        <w:spacing w:after="0"/>
        <w:tabs>
          <w:tab w:leader="none" w:pos="2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Provisions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540" w:hanging="450"/>
        <w:spacing w:after="0"/>
        <w:tabs>
          <w:tab w:leader="none" w:pos="3540"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calculations under this Section (3) shall be rounded down to the nearest $0.0001 or</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whole share.</w:t>
      </w:r>
    </w:p>
    <w:p>
      <w:pPr>
        <w:spacing w:after="0" w:line="182" w:lineRule="exact"/>
        <w:rPr>
          <w:sz w:val="20"/>
          <w:szCs w:val="20"/>
          <w:color w:val="auto"/>
        </w:rPr>
      </w:pPr>
    </w:p>
    <w:p>
      <w:pPr>
        <w:jc w:val="both"/>
        <w:ind w:left="120" w:firstLine="2970"/>
        <w:spacing w:after="0" w:line="243" w:lineRule="auto"/>
        <w:tabs>
          <w:tab w:leader="none" w:pos="3527"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this Note or any Other Notes remain outstanding, the Company shall have reserved from its duly authorized share capital, and shall have instructed its transfer agent to irrevocably reserve, the maximum number of Common Shares issuable upon conversion of this Note and the Other Notes including any necessary disapplication of pre-emption rights (assuming for purposes hereof that (x) this Note and such Other Notes are convertible at the Floor Price as of the date of determination, (y) any such conversion shall not take into account any limitations on the conversion of the Note or Other Notes set forth herein or therein (the “</w:t>
      </w:r>
      <w:r>
        <w:rPr>
          <w:rFonts w:ascii="Times New Roman" w:cs="Times New Roman" w:eastAsia="Times New Roman" w:hAnsi="Times New Roman"/>
          <w:sz w:val="21"/>
          <w:szCs w:val="21"/>
          <w:u w:val="single" w:color="auto"/>
          <w:color w:val="auto"/>
        </w:rPr>
        <w:t>Required Reserve Amount</w:t>
      </w:r>
      <w:r>
        <w:rPr>
          <w:rFonts w:ascii="Times New Roman" w:cs="Times New Roman" w:eastAsia="Times New Roman" w:hAnsi="Times New Roman"/>
          <w:sz w:val="21"/>
          <w:szCs w:val="21"/>
          <w:color w:val="auto"/>
        </w:rPr>
        <w:t>”), provided that at no time shall the number of Common Shares reserved pursuant to this Section (3)(d)(ii) be reduced other than proportionally with respect to all Common Shares in connection with any conversion (other than pursuant to the conversion of this Note and the Other Notes in accordance with their terms) and/or cancellation, or reverse stock split. If at any time the number of Common Shares authorized but unissued and not otherwise reserved for issuance (including (i) in relation to equity or debt securities convertible into or exchangeable or exercisable for or that can be settled in Common Shares (other than the Note and the Other Notes) and (ii) Common Shares remaining available for issuance under the Company’s equity incentive plans) is not sufficient to meet the Required Reserve Amount, the Company will promptly take all corporate action necessary to propose to its general meeting of shareholders an increase of its authorized share capital necessary to meet the Company's obligations pursuant to this Note, recommending that shareholders vote in favor of such an increase. If at any time the number of Common Shares that remain available for issuance under the Exchange Cap is less than 100% of the maximum number of shares issuable upon conversion of all the Notes and Other Notes then outstanding (assuming for purposes hereof that (x) the Notes are convertible at the Conversion Price then in effect, and (y) any such conversion shall not take into account any limitations on the conversion of the Note, other than the Floor Price then in effect but solely with respect to the Variable Price), the Company will use commercially reasonable efforts to promptly call and hold a shareholder meeting for the purpose of seeking the approval of its shareholders as required by the applicable rules of the Principal Market, for issuances of shares in excess of the Exchange Cap. The Company covenants that, upon issuance in accordance with conversion of this Note in accordance with its terms, the Common Shares, when issued, will be validly issued, fully paid and nonassessable.</w:t>
      </w:r>
    </w:p>
    <w:p>
      <w:pPr>
        <w:spacing w:after="0" w:line="181" w:lineRule="exact"/>
        <w:rPr>
          <w:rFonts w:ascii="Times New Roman" w:cs="Times New Roman" w:eastAsia="Times New Roman" w:hAnsi="Times New Roman"/>
          <w:sz w:val="21"/>
          <w:szCs w:val="21"/>
          <w:color w:val="auto"/>
        </w:rPr>
      </w:pPr>
    </w:p>
    <w:p>
      <w:pPr>
        <w:jc w:val="both"/>
        <w:ind w:left="120" w:firstLine="2970"/>
        <w:spacing w:after="0" w:line="236" w:lineRule="auto"/>
        <w:tabs>
          <w:tab w:leader="none" w:pos="352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limit a Holder's right to pursue actual damages or declare an Event of Default pursuant to Section (2) herein for the Company’s failure to deliver certificates representing Common Shares upon conversion within the period specified herein and such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181" w:lineRule="exact"/>
        <w:rPr>
          <w:rFonts w:ascii="Times New Roman" w:cs="Times New Roman" w:eastAsia="Times New Roman" w:hAnsi="Times New Roman"/>
          <w:sz w:val="22"/>
          <w:szCs w:val="22"/>
          <w:color w:val="auto"/>
        </w:rPr>
      </w:pPr>
    </w:p>
    <w:p>
      <w:pPr>
        <w:ind w:left="120" w:firstLine="2970"/>
        <w:spacing w:after="0" w:line="258" w:lineRule="auto"/>
        <w:tabs>
          <w:tab w:leader="none" w:pos="3527" w:val="left"/>
        </w:tabs>
        <w:numPr>
          <w:ilvl w:val="0"/>
          <w:numId w:val="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The Company is obligated to cause its legal counsel to deliver legal opinions to the Company’s transfer agent in connection with any legend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1" w:name="page12"/>
    <w:bookmarkEnd w:id="11"/>
    <w:p>
      <w:pPr>
        <w:spacing w:after="0" w:line="104" w:lineRule="exact"/>
        <w:rPr>
          <w:sz w:val="20"/>
          <w:szCs w:val="20"/>
          <w:color w:val="auto"/>
        </w:rPr>
      </w:pPr>
    </w:p>
    <w:p>
      <w:pPr>
        <w:jc w:val="both"/>
        <w:ind w:left="120"/>
        <w:spacing w:after="0" w:line="236" w:lineRule="auto"/>
        <w:rPr>
          <w:sz w:val="20"/>
          <w:szCs w:val="20"/>
          <w:color w:val="auto"/>
        </w:rPr>
      </w:pPr>
      <w:r>
        <w:rPr>
          <w:rFonts w:ascii="Times New Roman" w:cs="Times New Roman" w:eastAsia="Times New Roman" w:hAnsi="Times New Roman"/>
          <w:sz w:val="22"/>
          <w:szCs w:val="22"/>
          <w:color w:val="auto"/>
        </w:rPr>
        <w:t>removal upon the expiration of any holding period or other requirement for which the Underlying Shares may bear legends restricting the transfer thereof. To the extent that a legal opinion is not provided (either timely or at all), then, in addition to being an Event of Default hereunder, the Company agrees to reimburse the Holder for all reasonable costs incurred by the Holder in connection with any legal opinions paid for by the Holder in connection with sale or transfer of Underlying Common Shares. The Holder shall notify the Company of any such costs and expenses it incurs that are referred to in this section from time to time and all amounts owed hereunder shall be paid by the Company with reasonable promptness.</w:t>
      </w:r>
    </w:p>
    <w:p>
      <w:pPr>
        <w:spacing w:after="0" w:line="181" w:lineRule="exact"/>
        <w:rPr>
          <w:sz w:val="20"/>
          <w:szCs w:val="20"/>
          <w:color w:val="auto"/>
        </w:rPr>
      </w:pPr>
    </w:p>
    <w:p>
      <w:pPr>
        <w:jc w:val="both"/>
        <w:ind w:left="120" w:firstLine="2230"/>
        <w:spacing w:after="0" w:line="238" w:lineRule="auto"/>
        <w:tabs>
          <w:tab w:leader="none" w:pos="2663"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of Conversion Price upon Subdivision or Combination of Common Shares</w:t>
      </w:r>
      <w:r>
        <w:rPr>
          <w:rFonts w:ascii="Times New Roman" w:cs="Times New Roman" w:eastAsia="Times New Roman" w:hAnsi="Times New Roman"/>
          <w:sz w:val="22"/>
          <w:szCs w:val="22"/>
          <w:color w:val="auto"/>
        </w:rPr>
        <w:t>. If the Company, at any time while this Note is outstanding, shall (a) pay a stock dividend or otherwise make a distribution or distributions on shares of its Common Shares or any other equity or equity equivalent securities payable in Common Shares,</w:t>
      </w:r>
    </w:p>
    <w:p>
      <w:pPr>
        <w:jc w:val="both"/>
        <w:ind w:left="120" w:firstLine="8"/>
        <w:spacing w:after="0" w:line="232" w:lineRule="auto"/>
        <w:tabs>
          <w:tab w:leader="none" w:pos="45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subdivide outstanding Common Shares into a larger number of shares, (c) combine (including by way of reverse stock split) outstanding Common Shares into a smaller number of shares, or (d) issue by reclassification of Common Shares any shares of capital stock of the Company, then each of the Fixed Price and the Floor Price shall be multiplied by a fraction of which the numerator shall be the number of Common Shares (excluding treasury shares, if any) outstanding before such event and of which the denominator shall be the number of Common Shares outstanding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 No adjustment shall be made pursuant to this clause by virtue of the Pre-Closing Demerger or the Business Combination.</w:t>
      </w:r>
    </w:p>
    <w:p>
      <w:pPr>
        <w:spacing w:after="0" w:line="178" w:lineRule="exact"/>
        <w:rPr>
          <w:sz w:val="20"/>
          <w:szCs w:val="20"/>
          <w:color w:val="auto"/>
        </w:rPr>
      </w:pPr>
    </w:p>
    <w:p>
      <w:pPr>
        <w:jc w:val="both"/>
        <w:ind w:left="120" w:firstLine="2222"/>
        <w:spacing w:after="0" w:line="233" w:lineRule="auto"/>
        <w:rPr>
          <w:sz w:val="20"/>
          <w:szCs w:val="20"/>
          <w:color w:val="auto"/>
        </w:rPr>
      </w:pPr>
      <w:r>
        <w:rPr>
          <w:rFonts w:ascii="Times New Roman" w:cs="Times New Roman" w:eastAsia="Times New Roman" w:hAnsi="Times New Roman"/>
          <w:sz w:val="22"/>
          <w:szCs w:val="22"/>
          <w:u w:val="single" w:color="auto"/>
          <w:color w:val="auto"/>
        </w:rPr>
        <w:t>(f)Other Corporate Events</w:t>
      </w:r>
      <w:r>
        <w:rPr>
          <w:rFonts w:ascii="Times New Roman" w:cs="Times New Roman" w:eastAsia="Times New Roman" w:hAnsi="Times New Roman"/>
          <w:sz w:val="22"/>
          <w:szCs w:val="22"/>
          <w:color w:val="auto"/>
        </w:rPr>
        <w:t>. In addition to and not in substitution for any other rights hereunder, prior to the consummation of any Fundamental Transaction pursuant to which holders of Common Shares are entitled to receive securities or other assets with respect to or in exchange for Common Shares (provided that neither the Pre-Closing Demerger nor the Business Combination shall constitute a Corporate Event) (a "</w:t>
      </w:r>
      <w:r>
        <w:rPr>
          <w:rFonts w:ascii="Times New Roman" w:cs="Times New Roman" w:eastAsia="Times New Roman" w:hAnsi="Times New Roman"/>
          <w:sz w:val="22"/>
          <w:szCs w:val="22"/>
          <w:u w:val="single" w:color="auto"/>
          <w:color w:val="auto"/>
        </w:rPr>
        <w:t>Corporate Event</w:t>
      </w:r>
      <w:r>
        <w:rPr>
          <w:rFonts w:ascii="Times New Roman" w:cs="Times New Roman" w:eastAsia="Times New Roman" w:hAnsi="Times New Roman"/>
          <w:sz w:val="22"/>
          <w:szCs w:val="22"/>
          <w:color w:val="auto"/>
        </w:rPr>
        <w:t>"), the Company shall make appropriate provision to ensure that the Holder will thereafter have the right to receive upon a conversion of this Note, at the Holder's option, (i) in addition to the Common Shares receivable upon such conversion, such securities or other assets to which the Holder would have been entitled with respect to such Common Shares had such Common Shares been held by the Holder upon the consummation of such Corporate Event (without taking into account any limitations or restrictions on the convertibility of this Note) or (ii) in lieu of the Common Shares otherwise receivable upon such conversion, such securities or other assets received by the holders of Common Shares in connection with the consummation of such Corporate Event in such amounts as the Holder would have been entitled to receive had this Note initially been issued with conversion rights for the form of such consideration (as opposed to Common Shares) at a conversion rate for such consideration commensurate with the Conversion Price. Provision made pursuant to the preceding sentence shall be in a form and substance satisfactory to the Required Holders. The provisions of this Section shall apply similarly and equally to successive Corporate Events and shall be applied without regard to any limitations on the conversion or redemption of this Note.</w:t>
      </w:r>
    </w:p>
    <w:p>
      <w:pPr>
        <w:spacing w:after="0" w:line="177" w:lineRule="exact"/>
        <w:rPr>
          <w:sz w:val="20"/>
          <w:szCs w:val="20"/>
          <w:color w:val="auto"/>
        </w:rPr>
      </w:pPr>
    </w:p>
    <w:p>
      <w:pPr>
        <w:jc w:val="both"/>
        <w:ind w:left="120" w:firstLine="2222"/>
        <w:spacing w:after="0" w:line="258" w:lineRule="auto"/>
        <w:rPr>
          <w:sz w:val="20"/>
          <w:szCs w:val="20"/>
          <w:color w:val="auto"/>
        </w:rPr>
      </w:pPr>
      <w:r>
        <w:rPr>
          <w:rFonts w:ascii="Times New Roman" w:cs="Times New Roman" w:eastAsia="Times New Roman" w:hAnsi="Times New Roman"/>
          <w:sz w:val="22"/>
          <w:szCs w:val="22"/>
          <w:color w:val="auto"/>
        </w:rPr>
        <w:t>(g)Whenever the Conversion Price is adjusted pursuant to Section (3) hereof, the Company shall promptly provide the Holder with a written notice setting forth the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2" w:name="page13"/>
    <w:bookmarkEnd w:id="12"/>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Conversion Price after such adjustment and setting forth a brief statement of the facts requiring such adjustment.</w:t>
      </w:r>
    </w:p>
    <w:p>
      <w:pPr>
        <w:spacing w:after="0" w:line="206" w:lineRule="exact"/>
        <w:rPr>
          <w:sz w:val="20"/>
          <w:szCs w:val="20"/>
          <w:color w:val="auto"/>
        </w:rPr>
      </w:pPr>
    </w:p>
    <w:p>
      <w:pPr>
        <w:jc w:val="both"/>
        <w:ind w:left="120" w:firstLine="2222"/>
        <w:spacing w:after="0" w:line="249" w:lineRule="auto"/>
        <w:rPr>
          <w:sz w:val="20"/>
          <w:szCs w:val="20"/>
          <w:color w:val="auto"/>
        </w:rPr>
      </w:pPr>
      <w:r>
        <w:rPr>
          <w:rFonts w:ascii="Times New Roman" w:cs="Times New Roman" w:eastAsia="Times New Roman" w:hAnsi="Times New Roman"/>
          <w:sz w:val="21"/>
          <w:szCs w:val="21"/>
          <w:color w:val="auto"/>
        </w:rPr>
        <w:t>(h)In case of any (1) merger or consolidation of the Company or any Subsidiary of the Company with or into another Person, or (2) sale by the Company or any Subsidiary of the Company of more than one-half of the assets of the Company in one or a series of related transactions, a Holder shall have the right to (A) exercise any rights under (2)(a)</w:t>
      </w:r>
    </w:p>
    <w:p>
      <w:pPr>
        <w:spacing w:after="0" w:line="1" w:lineRule="exact"/>
        <w:rPr>
          <w:sz w:val="20"/>
          <w:szCs w:val="20"/>
          <w:color w:val="auto"/>
        </w:rPr>
      </w:pPr>
    </w:p>
    <w:p>
      <w:pPr>
        <w:jc w:val="both"/>
        <w:ind w:left="120" w:firstLine="8"/>
        <w:spacing w:after="0" w:line="242" w:lineRule="auto"/>
        <w:tabs>
          <w:tab w:leader="none" w:pos="467"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convert the aggregate amount of this Note then outstanding into the shares of stock and other securities, cash and property receivable upon or deemed to be held by holders of Common Shares following such merger, consolidation or sale, and such Holder shall be entitled upon such event or series of related events to receive such amount of securities, cash and property as the Common Shares into which such aggregate Principal amount of this Note could have been converted immediately prior to such merger, consolidation or sales would have been entitled, or (C) in the case of a merger or consolidation, require the surviving entity to issue to the Holder a convertible Note with a Principal amount equal to the aggregate Principal amount of this Note then held by such Holder, plus all accrued and unpaid interest and other amounts owing thereon, which such newly issued convertible Note shall have terms identical (including with respect to conversion) to the terms of this Note, and shall be entitled to all of the rights and privileges of the Holder of this Note set forth herein and the agreements pursuant to which this Note was issued. In the case of clause (C), the conversion price applicable for the newly issued shares of convertible preferred stock or convertible debentures shall be based upon the amount of securities, cash and property that each Common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 This provision shall not apply in respect of the Pre-Closing Demerger and/or the Business Combination.</w:t>
      </w:r>
    </w:p>
    <w:p>
      <w:pPr>
        <w:spacing w:after="0" w:line="184" w:lineRule="exact"/>
        <w:rPr>
          <w:rFonts w:ascii="Times New Roman" w:cs="Times New Roman" w:eastAsia="Times New Roman" w:hAnsi="Times New Roman"/>
          <w:sz w:val="21"/>
          <w:szCs w:val="21"/>
          <w:color w:val="auto"/>
        </w:rPr>
      </w:pPr>
    </w:p>
    <w:p>
      <w:pPr>
        <w:ind w:left="2380" w:hanging="755"/>
        <w:spacing w:after="0"/>
        <w:tabs>
          <w:tab w:leader="none" w:pos="2380" w:val="left"/>
        </w:tabs>
        <w:numPr>
          <w:ilvl w:val="1"/>
          <w:numId w:val="1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REISSUANCE OF THIS NOTE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20" w:firstLine="2222"/>
        <w:spacing w:after="0" w:line="239" w:lineRule="auto"/>
        <w:rPr>
          <w:sz w:val="20"/>
          <w:szCs w:val="20"/>
          <w:color w:val="auto"/>
        </w:rPr>
      </w:pPr>
      <w:r>
        <w:rPr>
          <w:rFonts w:ascii="Times New Roman" w:cs="Times New Roman" w:eastAsia="Times New Roman" w:hAnsi="Times New Roman"/>
          <w:sz w:val="22"/>
          <w:szCs w:val="22"/>
          <w:u w:val="single" w:color="auto"/>
          <w:color w:val="auto"/>
        </w:rPr>
        <w:t>(a)Transfer</w:t>
      </w:r>
      <w:r>
        <w:rPr>
          <w:rFonts w:ascii="Times New Roman" w:cs="Times New Roman" w:eastAsia="Times New Roman" w:hAnsi="Times New Roman"/>
          <w:sz w:val="22"/>
          <w:szCs w:val="22"/>
          <w:color w:val="auto"/>
        </w:rPr>
        <w:t>. The Notes are to be freely transferable in whole or in part. If this Note is to be transferred, the Holder shall surrender this Note to the Company, whereupon the Company will forthwith issue and deliver upon the order of the Holder a new Note (in accordance with Section (4)(d)), registered in the name of the registered transferee or assignee,</w:t>
      </w:r>
    </w:p>
    <w:p>
      <w:pPr>
        <w:spacing w:after="0" w:line="45" w:lineRule="exact"/>
        <w:rPr>
          <w:sz w:val="20"/>
          <w:szCs w:val="20"/>
          <w:color w:val="auto"/>
        </w:rPr>
      </w:pPr>
    </w:p>
    <w:p>
      <w:pPr>
        <w:jc w:val="both"/>
        <w:ind w:left="140"/>
        <w:spacing w:after="0" w:line="236" w:lineRule="auto"/>
        <w:rPr>
          <w:sz w:val="20"/>
          <w:szCs w:val="20"/>
          <w:color w:val="auto"/>
        </w:rPr>
      </w:pPr>
      <w:r>
        <w:rPr>
          <w:rFonts w:ascii="Times New Roman" w:cs="Times New Roman" w:eastAsia="Times New Roman" w:hAnsi="Times New Roman"/>
          <w:sz w:val="22"/>
          <w:szCs w:val="22"/>
          <w:color w:val="auto"/>
        </w:rPr>
        <w:t>representing the outstanding Principal being transferred by the Holder (along with any accrued and unpaid interest thereof) and, if less than the entire outstanding Principal is being transferred, a new Note (in accordance with Section (4)(d)) to the Holder representing the outstanding Principal not being transferred. The Holder and any assignee, by acceptance of this Note, acknowledge and agree that, by reason of the provisions of Section (3)(b)(ii) following conversion or redemption of any portion of this Note, the outstanding Principal represented by this Note may be less than the Principal stated on the face of this Note.</w:t>
      </w:r>
    </w:p>
    <w:p>
      <w:pPr>
        <w:spacing w:after="0" w:line="181" w:lineRule="exact"/>
        <w:rPr>
          <w:sz w:val="20"/>
          <w:szCs w:val="20"/>
          <w:color w:val="auto"/>
        </w:rPr>
      </w:pPr>
    </w:p>
    <w:p>
      <w:pPr>
        <w:jc w:val="both"/>
        <w:ind w:left="120" w:firstLine="2222"/>
        <w:spacing w:after="0" w:line="255" w:lineRule="auto"/>
        <w:rPr>
          <w:sz w:val="20"/>
          <w:szCs w:val="20"/>
          <w:color w:val="auto"/>
        </w:rPr>
      </w:pPr>
      <w:r>
        <w:rPr>
          <w:rFonts w:ascii="Times New Roman" w:cs="Times New Roman" w:eastAsia="Times New Roman" w:hAnsi="Times New Roman"/>
          <w:sz w:val="21"/>
          <w:szCs w:val="21"/>
          <w:u w:val="single" w:color="auto"/>
          <w:color w:val="auto"/>
        </w:rPr>
        <w:t>(b)Lost, Stolen or Mutilated Note</w:t>
      </w:r>
      <w:r>
        <w:rPr>
          <w:rFonts w:ascii="Times New Roman" w:cs="Times New Roman" w:eastAsia="Times New Roman" w:hAnsi="Times New Roman"/>
          <w:sz w:val="21"/>
          <w:szCs w:val="21"/>
          <w:color w:val="auto"/>
        </w:rPr>
        <w:t>. Upon receipt by the Company of evidence reasonably satisfactory to the Company of the loss, theft, destruction or mutilation of this Note, and, in the case of loss, theft or destruction, of any indemnification undertaking by the Holder to the Company in customary form and, in the case of mutilation, upon surrender and cancellation of this Note, the Company shall execute and deliver to the Holder a new Note (in accordance 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3" w:name="page14"/>
    <w:bookmarkEnd w:id="13"/>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Section (4)(d)) representing the outstanding Principal.</w:t>
      </w:r>
    </w:p>
    <w:p>
      <w:pPr>
        <w:spacing w:after="0" w:line="206" w:lineRule="exact"/>
        <w:rPr>
          <w:sz w:val="20"/>
          <w:szCs w:val="20"/>
          <w:color w:val="auto"/>
        </w:rPr>
      </w:pPr>
    </w:p>
    <w:p>
      <w:pPr>
        <w:jc w:val="both"/>
        <w:ind w:left="120" w:firstLine="2222"/>
        <w:spacing w:after="0" w:line="239" w:lineRule="auto"/>
        <w:rPr>
          <w:sz w:val="20"/>
          <w:szCs w:val="20"/>
          <w:color w:val="auto"/>
        </w:rPr>
      </w:pPr>
      <w:r>
        <w:rPr>
          <w:rFonts w:ascii="Times New Roman" w:cs="Times New Roman" w:eastAsia="Times New Roman" w:hAnsi="Times New Roman"/>
          <w:sz w:val="22"/>
          <w:szCs w:val="22"/>
          <w:u w:val="single" w:color="auto"/>
          <w:color w:val="auto"/>
        </w:rPr>
        <w:t>(c) Note Exchangeable for Different Denominations</w:t>
      </w:r>
      <w:r>
        <w:rPr>
          <w:rFonts w:ascii="Times New Roman" w:cs="Times New Roman" w:eastAsia="Times New Roman" w:hAnsi="Times New Roman"/>
          <w:sz w:val="22"/>
          <w:szCs w:val="22"/>
          <w:color w:val="auto"/>
        </w:rPr>
        <w:t>. This Note is exchangeable, upon the surrender hereof by the Holder at the principal office of the Company, for a new Note or Notes (in accordance with Section (4)(d)) representing in the aggregate the outstanding Principal of this Note, and each such new Note will represent such portion of such outstanding Principal as is designated by the Holder at the time of such surrender.</w:t>
      </w:r>
    </w:p>
    <w:p>
      <w:pPr>
        <w:spacing w:after="0" w:line="180" w:lineRule="exact"/>
        <w:rPr>
          <w:sz w:val="20"/>
          <w:szCs w:val="20"/>
          <w:color w:val="auto"/>
        </w:rPr>
      </w:pPr>
    </w:p>
    <w:p>
      <w:pPr>
        <w:jc w:val="both"/>
        <w:ind w:left="120" w:firstLine="2222"/>
        <w:spacing w:after="0" w:line="241" w:lineRule="auto"/>
        <w:rPr>
          <w:sz w:val="20"/>
          <w:szCs w:val="20"/>
          <w:color w:val="auto"/>
        </w:rPr>
      </w:pPr>
      <w:r>
        <w:rPr>
          <w:rFonts w:ascii="Times New Roman" w:cs="Times New Roman" w:eastAsia="Times New Roman" w:hAnsi="Times New Roman"/>
          <w:sz w:val="22"/>
          <w:szCs w:val="22"/>
          <w:u w:val="single" w:color="auto"/>
          <w:color w:val="auto"/>
        </w:rPr>
        <w:t>(d)Issuance of New Notes</w:t>
      </w:r>
      <w:r>
        <w:rPr>
          <w:rFonts w:ascii="Times New Roman" w:cs="Times New Roman" w:eastAsia="Times New Roman" w:hAnsi="Times New Roman"/>
          <w:sz w:val="22"/>
          <w:szCs w:val="22"/>
          <w:color w:val="auto"/>
        </w:rPr>
        <w:t>. Whenever the Company is required to issue a new Note pursuant to the terms hereof, such new Note (i) shall be of like tenor with this Note,</w:t>
      </w:r>
    </w:p>
    <w:p>
      <w:pPr>
        <w:spacing w:after="0" w:line="2" w:lineRule="exact"/>
        <w:rPr>
          <w:sz w:val="20"/>
          <w:szCs w:val="20"/>
          <w:color w:val="auto"/>
        </w:rPr>
      </w:pPr>
    </w:p>
    <w:p>
      <w:pPr>
        <w:jc w:val="both"/>
        <w:ind w:left="140" w:hanging="8"/>
        <w:spacing w:after="0" w:line="232" w:lineRule="auto"/>
        <w:tabs>
          <w:tab w:leader="none" w:pos="47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represent, as indicated on the face of such new Note, the Principal remaining outstanding (or in the case of a new Note being issued pursuant to Section 5(4)(a) or Section 5(4)(c), the Principal designated by the Holder which, when added to the Principal represented by the other new Note issued in connection with such issuance, does not exceed the Principal remaining outstanding under this Note immediately prior to such issuance of new Note), (iii) shall have an issuance date, as indicated on the face of such new Note, which is the same as the Issuance Date of this Note, (iv) shall have the same rights and conditions as this Note, and (v) shall represent accrued and unpaid Interest from the Issuance Date.</w:t>
      </w:r>
    </w:p>
    <w:p>
      <w:pPr>
        <w:spacing w:after="0" w:line="182" w:lineRule="exact"/>
        <w:rPr>
          <w:rFonts w:ascii="Times New Roman" w:cs="Times New Roman" w:eastAsia="Times New Roman" w:hAnsi="Times New Roman"/>
          <w:sz w:val="22"/>
          <w:szCs w:val="22"/>
          <w:color w:val="auto"/>
        </w:rPr>
      </w:pPr>
    </w:p>
    <w:p>
      <w:pPr>
        <w:jc w:val="both"/>
        <w:ind w:left="120" w:firstLine="1489"/>
        <w:spacing w:after="0" w:line="238" w:lineRule="auto"/>
        <w:tabs>
          <w:tab w:leader="none" w:pos="2016" w:val="left"/>
        </w:tabs>
        <w:numPr>
          <w:ilvl w:val="1"/>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overnight courier service with next day delivery specified, in each case, properly addressed to the party to receive the same and (B) receipt, when sent by electronic mail. The addresses and e-mail addresses for such communications shall be:</w:t>
      </w:r>
    </w:p>
    <w:p>
      <w:pPr>
        <w:spacing w:after="0" w:line="200" w:lineRule="exact"/>
        <w:rPr>
          <w:sz w:val="20"/>
          <w:szCs w:val="20"/>
          <w:color w:val="auto"/>
        </w:rPr>
      </w:pPr>
    </w:p>
    <w:p>
      <w:pPr>
        <w:spacing w:after="0" w:line="314" w:lineRule="exact"/>
        <w:rPr>
          <w:sz w:val="20"/>
          <w:szCs w:val="20"/>
          <w:color w:val="auto"/>
        </w:rPr>
      </w:pPr>
    </w:p>
    <w:p>
      <w:pPr>
        <w:ind w:left="220"/>
        <w:spacing w:after="0"/>
        <w:tabs>
          <w:tab w:leader="none" w:pos="4080" w:val="left"/>
        </w:tabs>
        <w:rPr>
          <w:sz w:val="20"/>
          <w:szCs w:val="20"/>
          <w:color w:val="auto"/>
        </w:rPr>
      </w:pPr>
      <w:r>
        <w:rPr>
          <w:rFonts w:ascii="Times New Roman" w:cs="Times New Roman" w:eastAsia="Times New Roman" w:hAnsi="Times New Roman"/>
          <w:sz w:val="22"/>
          <w:szCs w:val="22"/>
          <w:color w:val="auto"/>
        </w:rPr>
        <w:t>If to the Company:</w:t>
      </w:r>
      <w:r>
        <w:rPr>
          <w:sz w:val="20"/>
          <w:szCs w:val="20"/>
          <w:color w:val="auto"/>
        </w:rPr>
        <w:tab/>
      </w:r>
      <w:r>
        <w:rPr>
          <w:rFonts w:ascii="Times New Roman" w:cs="Times New Roman" w:eastAsia="Times New Roman" w:hAnsi="Times New Roman"/>
          <w:sz w:val="21"/>
          <w:szCs w:val="21"/>
          <w:color w:val="auto"/>
        </w:rPr>
        <w:t>Rezolve AI Limited</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3rd Floor 80 New Bond Street, Mayfair, London, United Kingdom, W1S 1SB</w:t>
      </w:r>
    </w:p>
    <w:p>
      <w:pPr>
        <w:ind w:left="4100"/>
        <w:spacing w:after="0" w:line="230" w:lineRule="auto"/>
        <w:rPr>
          <w:sz w:val="20"/>
          <w:szCs w:val="20"/>
          <w:color w:val="auto"/>
        </w:rPr>
      </w:pPr>
      <w:r>
        <w:rPr>
          <w:rFonts w:ascii="Times New Roman" w:cs="Times New Roman" w:eastAsia="Times New Roman" w:hAnsi="Times New Roman"/>
          <w:sz w:val="22"/>
          <w:szCs w:val="22"/>
          <w:color w:val="auto"/>
        </w:rPr>
        <w:t>Attention: Dan Wagner</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E-mail: DanWagner@rezolve.com</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240"/>
        <w:spacing w:after="0" w:line="258" w:lineRule="auto"/>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If to the 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right="2880"/>
        <w:spacing w:after="0" w:line="239" w:lineRule="auto"/>
        <w:rPr>
          <w:sz w:val="20"/>
          <w:szCs w:val="20"/>
          <w:color w:val="auto"/>
        </w:rPr>
      </w:pPr>
      <w:r>
        <w:rPr>
          <w:rFonts w:ascii="Times New Roman" w:cs="Times New Roman" w:eastAsia="Times New Roman" w:hAnsi="Times New Roman"/>
          <w:sz w:val="22"/>
          <w:szCs w:val="22"/>
          <w:color w:val="auto"/>
        </w:rPr>
        <w:t>Attention: Robert Fenner Taylor Wessing LLP, 5 New Street Square London EC4A 3TW Telephone: +44 207 300 4986 Email: r.fenner@taylorwessing.com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YA II PN,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Yorkville Advisors Global, LLC</w:t>
      </w:r>
    </w:p>
    <w:p>
      <w:pPr>
        <w:spacing w:after="0" w:line="230" w:lineRule="auto"/>
        <w:rPr>
          <w:sz w:val="20"/>
          <w:szCs w:val="20"/>
          <w:color w:val="auto"/>
        </w:rPr>
      </w:pPr>
      <w:r>
        <w:rPr>
          <w:rFonts w:ascii="Times New Roman" w:cs="Times New Roman" w:eastAsia="Times New Roman" w:hAnsi="Times New Roman"/>
          <w:sz w:val="22"/>
          <w:szCs w:val="22"/>
          <w:color w:val="auto"/>
        </w:rPr>
        <w:t>1012 Springfield Avenue</w:t>
      </w:r>
    </w:p>
    <w:p>
      <w:pPr>
        <w:spacing w:after="0" w:line="231" w:lineRule="auto"/>
        <w:rPr>
          <w:sz w:val="20"/>
          <w:szCs w:val="20"/>
          <w:color w:val="auto"/>
        </w:rPr>
      </w:pPr>
      <w:r>
        <w:rPr>
          <w:rFonts w:ascii="Times New Roman" w:cs="Times New Roman" w:eastAsia="Times New Roman" w:hAnsi="Times New Roman"/>
          <w:sz w:val="22"/>
          <w:szCs w:val="22"/>
          <w:color w:val="auto"/>
        </w:rPr>
        <w:t>Mountainside, NJ 07092</w:t>
      </w:r>
    </w:p>
    <w:p>
      <w:pPr>
        <w:spacing w:after="0" w:line="230" w:lineRule="auto"/>
        <w:rPr>
          <w:sz w:val="20"/>
          <w:szCs w:val="20"/>
          <w:color w:val="auto"/>
        </w:rPr>
      </w:pPr>
      <w:r>
        <w:rPr>
          <w:rFonts w:ascii="Times New Roman" w:cs="Times New Roman" w:eastAsia="Times New Roman" w:hAnsi="Times New Roman"/>
          <w:sz w:val="22"/>
          <w:szCs w:val="22"/>
          <w:color w:val="auto"/>
        </w:rPr>
        <w:t>Attention: Mark Angelo</w:t>
      </w:r>
    </w:p>
    <w:p>
      <w:pPr>
        <w:spacing w:after="0" w:line="231" w:lineRule="auto"/>
        <w:rPr>
          <w:sz w:val="20"/>
          <w:szCs w:val="20"/>
          <w:color w:val="auto"/>
        </w:rPr>
      </w:pPr>
      <w:r>
        <w:rPr>
          <w:rFonts w:ascii="Times New Roman" w:cs="Times New Roman" w:eastAsia="Times New Roman" w:hAnsi="Times New Roman"/>
          <w:sz w:val="22"/>
          <w:szCs w:val="22"/>
          <w:color w:val="auto"/>
        </w:rPr>
        <w:t>Telephone: 201-985-8300</w:t>
      </w:r>
    </w:p>
    <w:p>
      <w:pPr>
        <w:spacing w:after="0"/>
        <w:rPr>
          <w:sz w:val="20"/>
          <w:szCs w:val="20"/>
          <w:color w:val="auto"/>
        </w:rPr>
      </w:pPr>
      <w:r>
        <w:rPr>
          <w:rFonts w:ascii="Times New Roman" w:cs="Times New Roman" w:eastAsia="Times New Roman" w:hAnsi="Times New Roman"/>
          <w:sz w:val="22"/>
          <w:szCs w:val="22"/>
          <w:color w:val="auto"/>
        </w:rPr>
        <w:t>Email: Legal@yorkvilleadvisors.com</w:t>
      </w:r>
    </w:p>
    <w:p>
      <w:pPr>
        <w:spacing w:after="0" w:line="200" w:lineRule="exact"/>
        <w:rPr>
          <w:sz w:val="20"/>
          <w:szCs w:val="20"/>
          <w:color w:val="auto"/>
        </w:rPr>
      </w:pPr>
    </w:p>
    <w:p>
      <w:pPr>
        <w:sectPr>
          <w:pgSz w:w="11900" w:h="16838" w:orient="portrait"/>
          <w:cols w:equalWidth="0" w:num="2">
            <w:col w:w="3580" w:space="620"/>
            <w:col w:w="6920"/>
          </w:cols>
          <w:pgMar w:left="320" w:top="1440" w:right="45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14" w:name="page15"/>
    <w:bookmarkEnd w:id="14"/>
    <w:p>
      <w:pPr>
        <w:jc w:val="both"/>
        <w:ind w:left="140"/>
        <w:spacing w:after="0" w:line="236" w:lineRule="auto"/>
        <w:rPr>
          <w:sz w:val="20"/>
          <w:szCs w:val="20"/>
          <w:color w:val="auto"/>
        </w:rPr>
      </w:pPr>
      <w:r>
        <w:rPr>
          <w:rFonts w:ascii="Times New Roman" w:cs="Times New Roman" w:eastAsia="Times New Roman" w:hAnsi="Times New Roman"/>
          <w:sz w:val="22"/>
          <w:szCs w:val="22"/>
          <w:color w:val="auto"/>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facsimile or receipt from a nationally recognized overnight delivery service in accordance with clause (i), (ii) or (iii) above, respectively.</w:t>
      </w:r>
    </w:p>
    <w:p>
      <w:pPr>
        <w:spacing w:after="0" w:line="181" w:lineRule="exact"/>
        <w:rPr>
          <w:sz w:val="20"/>
          <w:szCs w:val="20"/>
          <w:color w:val="auto"/>
        </w:rPr>
      </w:pPr>
    </w:p>
    <w:p>
      <w:pPr>
        <w:jc w:val="both"/>
        <w:ind w:left="120" w:firstLine="1489"/>
        <w:spacing w:after="0" w:line="245" w:lineRule="auto"/>
        <w:tabs>
          <w:tab w:leader="none" w:pos="2016" w:val="left"/>
        </w:tabs>
        <w:numPr>
          <w:ilvl w:val="1"/>
          <w:numId w:val="1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Except as expressly provided herein, no provision of this Note shall alter or impair the obligations of the Company, which are absolute and unconditional, to pay the Principal of, interest and other charges (if any) on, this Note at the time, place, and rate, and in the currency, herein prescribed. This Note is a direct obligation of the Company. As long as this Note is outstanding, the Company shall not and shall cause their subsidiaries not to, without the consent of the Holder, (i) amend its certificate of incorporation, bylaws or other charter documents so as to adversely affect any rights of the Holder; (ii) repay, repurchase or offer to repay, repurchase or otherwise acquire shares of its Common Shares or other equity securities; or</w:t>
      </w:r>
    </w:p>
    <w:p>
      <w:pPr>
        <w:spacing w:after="0" w:line="2" w:lineRule="exact"/>
        <w:rPr>
          <w:rFonts w:ascii="Times New Roman" w:cs="Times New Roman" w:eastAsia="Times New Roman" w:hAnsi="Times New Roman"/>
          <w:sz w:val="21"/>
          <w:szCs w:val="21"/>
          <w:u w:val="single" w:color="auto"/>
          <w:color w:val="auto"/>
        </w:rPr>
      </w:pPr>
    </w:p>
    <w:p>
      <w:pPr>
        <w:ind w:left="500" w:hanging="372"/>
        <w:spacing w:after="0"/>
        <w:tabs>
          <w:tab w:leader="none" w:pos="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agreement with respect to any of the foregoing.</w:t>
      </w:r>
    </w:p>
    <w:p>
      <w:pPr>
        <w:spacing w:after="0" w:line="182" w:lineRule="exact"/>
        <w:rPr>
          <w:rFonts w:ascii="Times New Roman" w:cs="Times New Roman" w:eastAsia="Times New Roman" w:hAnsi="Times New Roman"/>
          <w:sz w:val="22"/>
          <w:szCs w:val="22"/>
          <w:color w:val="auto"/>
        </w:rPr>
      </w:pPr>
    </w:p>
    <w:p>
      <w:pPr>
        <w:jc w:val="both"/>
        <w:ind w:left="120" w:firstLine="1489"/>
        <w:spacing w:after="0" w:line="239" w:lineRule="auto"/>
        <w:tabs>
          <w:tab w:leader="none" w:pos="2016" w:val="left"/>
        </w:tabs>
        <w:numPr>
          <w:ilvl w:val="1"/>
          <w:numId w:val="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This Note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Common Shares in accordance with the terms hereof.</w:t>
      </w:r>
    </w:p>
    <w:p>
      <w:pPr>
        <w:spacing w:after="0" w:line="180" w:lineRule="exact"/>
        <w:rPr>
          <w:rFonts w:ascii="Times New Roman" w:cs="Times New Roman" w:eastAsia="Times New Roman" w:hAnsi="Times New Roman"/>
          <w:sz w:val="22"/>
          <w:szCs w:val="22"/>
          <w:u w:val="single" w:color="auto"/>
          <w:color w:val="auto"/>
        </w:rPr>
      </w:pPr>
    </w:p>
    <w:p>
      <w:pPr>
        <w:ind w:left="2380" w:hanging="755"/>
        <w:spacing w:after="0"/>
        <w:tabs>
          <w:tab w:leader="none" w:pos="2380" w:val="left"/>
        </w:tabs>
        <w:numPr>
          <w:ilvl w:val="2"/>
          <w:numId w:val="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CHOICE OF LAW; VENUE; WAIVER OF JURY TRIAL</w:t>
      </w:r>
    </w:p>
    <w:p>
      <w:pPr>
        <w:spacing w:after="0" w:line="206" w:lineRule="exact"/>
        <w:rPr>
          <w:sz w:val="20"/>
          <w:szCs w:val="20"/>
          <w:color w:val="auto"/>
        </w:rPr>
      </w:pPr>
    </w:p>
    <w:p>
      <w:pPr>
        <w:jc w:val="both"/>
        <w:ind w:left="120" w:firstLine="2222"/>
        <w:spacing w:after="0" w:line="239" w:lineRule="auto"/>
        <w:rPr>
          <w:sz w:val="20"/>
          <w:szCs w:val="20"/>
          <w:color w:val="auto"/>
        </w:rPr>
      </w:pPr>
      <w:r>
        <w:rPr>
          <w:rFonts w:ascii="Times New Roman" w:cs="Times New Roman" w:eastAsia="Times New Roman" w:hAnsi="Times New Roman"/>
          <w:sz w:val="22"/>
          <w:szCs w:val="22"/>
          <w:u w:val="single" w:color="auto"/>
          <w:color w:val="auto"/>
        </w:rPr>
        <w:t>(a)Governing Law</w:t>
      </w:r>
      <w:r>
        <w:rPr>
          <w:rFonts w:ascii="Times New Roman" w:cs="Times New Roman" w:eastAsia="Times New Roman" w:hAnsi="Times New Roman"/>
          <w:sz w:val="22"/>
          <w:szCs w:val="22"/>
          <w:color w:val="auto"/>
        </w:rPr>
        <w:t>. This Note and the rights and obligations of the Parties hereunder shall, in all respects, be governed by, and construed in accordance with, the laws (excluding the principles of conflict of laws) of the State of New York (the “</w:t>
      </w:r>
      <w:r>
        <w:rPr>
          <w:rFonts w:ascii="Times New Roman" w:cs="Times New Roman" w:eastAsia="Times New Roman" w:hAnsi="Times New Roman"/>
          <w:sz w:val="22"/>
          <w:szCs w:val="22"/>
          <w:u w:val="single" w:color="auto"/>
          <w:color w:val="auto"/>
        </w:rPr>
        <w:t>Governing Jurisdiction</w:t>
      </w:r>
      <w:r>
        <w:rPr>
          <w:rFonts w:ascii="Times New Roman" w:cs="Times New Roman" w:eastAsia="Times New Roman" w:hAnsi="Times New Roman"/>
          <w:sz w:val="22"/>
          <w:szCs w:val="22"/>
          <w:color w:val="auto"/>
        </w:rPr>
        <w:t>”) (including Section 5-1401 and Section 5-1402 of the General Obligations Law of the State of New York), including all matters of construction, validity and performance.</w:t>
      </w:r>
    </w:p>
    <w:p>
      <w:pPr>
        <w:spacing w:after="0" w:line="180" w:lineRule="exact"/>
        <w:rPr>
          <w:sz w:val="20"/>
          <w:szCs w:val="20"/>
          <w:color w:val="auto"/>
        </w:rPr>
      </w:pPr>
    </w:p>
    <w:p>
      <w:pPr>
        <w:ind w:left="2740" w:hanging="366"/>
        <w:spacing w:after="0"/>
        <w:tabs>
          <w:tab w:leader="none" w:pos="2740"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Jurisdiction; Venue; Service.</w:t>
      </w:r>
    </w:p>
    <w:p>
      <w:pPr>
        <w:spacing w:after="0" w:line="206" w:lineRule="exact"/>
        <w:rPr>
          <w:rFonts w:ascii="Times New Roman" w:cs="Times New Roman" w:eastAsia="Times New Roman" w:hAnsi="Times New Roman"/>
          <w:sz w:val="22"/>
          <w:szCs w:val="22"/>
          <w:u w:val="single" w:color="auto"/>
          <w:color w:val="auto"/>
        </w:rPr>
      </w:pPr>
    </w:p>
    <w:p>
      <w:pPr>
        <w:jc w:val="both"/>
        <w:ind w:left="120" w:firstLine="2970"/>
        <w:spacing w:after="0" w:line="244" w:lineRule="auto"/>
        <w:tabs>
          <w:tab w:leader="none" w:pos="3527"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irrevocably consents to the non- exclusive personal jurisdiction of the state courts of the Governing Jurisdiction and, if a basis for federal jurisdiction exists, the non-exclusive personal jurisdiction of any United States District Court for the Governing Jurisdiction.</w:t>
      </w:r>
    </w:p>
    <w:p>
      <w:pPr>
        <w:spacing w:after="0" w:line="173" w:lineRule="exact"/>
        <w:rPr>
          <w:rFonts w:ascii="Times New Roman" w:cs="Times New Roman" w:eastAsia="Times New Roman" w:hAnsi="Times New Roman"/>
          <w:sz w:val="22"/>
          <w:szCs w:val="22"/>
          <w:color w:val="auto"/>
        </w:rPr>
      </w:pPr>
    </w:p>
    <w:p>
      <w:pPr>
        <w:jc w:val="both"/>
        <w:ind w:left="120" w:firstLine="2970"/>
        <w:spacing w:after="0" w:line="238" w:lineRule="auto"/>
        <w:tabs>
          <w:tab w:leader="none" w:pos="3527"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venue shall be proper in any court of the Governing Jurisdiction selected by the Holder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176" w:lineRule="exact"/>
        <w:rPr>
          <w:rFonts w:ascii="Times New Roman" w:cs="Times New Roman" w:eastAsia="Times New Roman" w:hAnsi="Times New Roman"/>
          <w:sz w:val="22"/>
          <w:szCs w:val="22"/>
          <w:color w:val="auto"/>
        </w:rPr>
      </w:pPr>
    </w:p>
    <w:p>
      <w:pPr>
        <w:ind w:left="3540" w:hanging="450"/>
        <w:spacing w:after="0"/>
        <w:tabs>
          <w:tab w:leader="none" w:pos="354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suit, claim, action, litigation or proceeding of any kind 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27" w:right="459" w:bottom="1440" w:gutter="0" w:footer="0" w:header="0"/>
        </w:sectPr>
      </w:pPr>
    </w:p>
    <w:bookmarkStart w:id="15" w:name="page16"/>
    <w:bookmarkEnd w:id="15"/>
    <w:p>
      <w:pPr>
        <w:spacing w:after="0" w:line="104" w:lineRule="exact"/>
        <w:rPr>
          <w:sz w:val="20"/>
          <w:szCs w:val="20"/>
          <w:color w:val="auto"/>
        </w:rPr>
      </w:pPr>
    </w:p>
    <w:p>
      <w:pPr>
        <w:jc w:val="both"/>
        <w:ind w:left="120"/>
        <w:spacing w:after="0" w:line="232" w:lineRule="auto"/>
        <w:rPr>
          <w:sz w:val="20"/>
          <w:szCs w:val="20"/>
          <w:color w:val="auto"/>
        </w:rPr>
      </w:pPr>
      <w:r>
        <w:rPr>
          <w:rFonts w:ascii="Times New Roman" w:cs="Times New Roman" w:eastAsia="Times New Roman" w:hAnsi="Times New Roman"/>
          <w:sz w:val="22"/>
          <w:szCs w:val="22"/>
          <w:color w:val="auto"/>
        </w:rPr>
        <w:t>description, whether in law or equity, whether in contract or tort or otherwise, brought by the Company against the Holder arising out of or based upon this Note or any matter relating to this Note, or any other Transaction Document, or any contemplated transaction, shall be brought in a court only in the Governing Jurisdiction. The Company shall not file any counterclaim against the Holder in any suit, claim, action, litigation or proceeding brought by the Holder against the Company in a jurisdiction outside of the Governing Jurisdiction unless under the rules of the court in which the Holder brought such suit, claim, action, litigation or proceeding the counterclaim is mandatory, and not permissive, and would be considered waived unless filed as a counterclaim in the suit, claim, action, litigation or proceeding instituted by the Holder against the Company. The Company agrees that any forum outside the Governing Jurisdiction is an inconvenient forum and that any suit, claim, action, litigation or proceeding brought by the Company against the Holder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Holder arising out of or based upon this Note or any matter relating to this Note,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Holder agree that a final judgment in any such suit, claim, action, litigation or proceeding shall be conclusive and may be enforced in other jurisdictions by suit on the judgment or in any other manner provided by law.</w:t>
      </w:r>
    </w:p>
    <w:p>
      <w:pPr>
        <w:spacing w:after="0" w:line="185" w:lineRule="exact"/>
        <w:rPr>
          <w:sz w:val="20"/>
          <w:szCs w:val="20"/>
          <w:color w:val="auto"/>
        </w:rPr>
      </w:pPr>
    </w:p>
    <w:p>
      <w:pPr>
        <w:jc w:val="both"/>
        <w:ind w:left="120" w:firstLine="2970"/>
        <w:spacing w:after="0" w:line="239" w:lineRule="auto"/>
        <w:tabs>
          <w:tab w:leader="none" w:pos="352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Holder irrevocably consent to the service of process out of any of the aforementioned courts in any such suit, claim, action, litigation or proceeding by the mailing of copies thereof by registered or certified mail postage prepaid, to it at the address provided for notices in this Note, such service to become effective thirty (30) days after the date of mailing.</w:t>
      </w:r>
    </w:p>
    <w:p>
      <w:pPr>
        <w:spacing w:after="0" w:line="180" w:lineRule="exact"/>
        <w:rPr>
          <w:rFonts w:ascii="Times New Roman" w:cs="Times New Roman" w:eastAsia="Times New Roman" w:hAnsi="Times New Roman"/>
          <w:sz w:val="22"/>
          <w:szCs w:val="22"/>
          <w:color w:val="auto"/>
        </w:rPr>
      </w:pPr>
    </w:p>
    <w:p>
      <w:pPr>
        <w:jc w:val="both"/>
        <w:ind w:left="120" w:firstLine="2970"/>
        <w:spacing w:after="0" w:line="244" w:lineRule="auto"/>
        <w:tabs>
          <w:tab w:leader="none" w:pos="352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affect the right of the Holder to serve process in any other manner permitted by law or to commence legal proceedings or to otherwise proceed against the Company or any other Person in the Governing Jurisdiction or in any other jurisdiction.</w:t>
      </w:r>
    </w:p>
    <w:p>
      <w:pPr>
        <w:spacing w:after="0" w:line="173" w:lineRule="exact"/>
        <w:rPr>
          <w:sz w:val="20"/>
          <w:szCs w:val="20"/>
          <w:color w:val="auto"/>
        </w:rPr>
      </w:pPr>
    </w:p>
    <w:p>
      <w:pPr>
        <w:jc w:val="both"/>
        <w:ind w:left="120" w:firstLine="2222"/>
        <w:spacing w:after="0" w:line="235"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THE PARTIES MUTUALLY WAIVE ALL RIGHT TO TRIAL BY JURY OF ALL CLAIMS OF ANY KIND ARISING OUT OF OR BASED UPON THIS NOTE OR ANY MATTER RELATING TO THIS NOTE,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p>
    <w:p>
      <w:pPr>
        <w:spacing w:after="0" w:line="183" w:lineRule="exact"/>
        <w:rPr>
          <w:sz w:val="20"/>
          <w:szCs w:val="20"/>
          <w:color w:val="auto"/>
        </w:rPr>
      </w:pPr>
    </w:p>
    <w:p>
      <w:pPr>
        <w:ind w:left="2020" w:hanging="411"/>
        <w:spacing w:after="0"/>
        <w:tabs>
          <w:tab w:leader="none" w:pos="2020" w:val="left"/>
        </w:tabs>
        <w:numPr>
          <w:ilvl w:val="0"/>
          <w:numId w:val="2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If the Company fails to strictly comply with the terms of this Note, then the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6" w:name="page17"/>
    <w:bookmarkEnd w:id="16"/>
    <w:p>
      <w:pPr>
        <w:spacing w:after="0" w:line="10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21"/>
          <w:szCs w:val="21"/>
          <w:color w:val="auto"/>
        </w:rPr>
        <w:t>Company shall reimburse the Holder promptly for all fees, costs and expenses, including, without limitation, attorneys’ fees and expenses incurred by the Holder in any action in connection with this Note, including, without limitation, those incurred:</w:t>
      </w:r>
    </w:p>
    <w:p>
      <w:pPr>
        <w:spacing w:after="0" w:line="1" w:lineRule="exact"/>
        <w:rPr>
          <w:sz w:val="20"/>
          <w:szCs w:val="20"/>
          <w:color w:val="auto"/>
        </w:rPr>
      </w:pPr>
    </w:p>
    <w:p>
      <w:pPr>
        <w:jc w:val="both"/>
        <w:ind w:left="120" w:firstLine="8"/>
        <w:spacing w:after="0" w:line="234" w:lineRule="auto"/>
        <w:tabs>
          <w:tab w:leader="none" w:pos="39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pacing w:after="0" w:line="177" w:lineRule="exact"/>
        <w:rPr>
          <w:rFonts w:ascii="Times New Roman" w:cs="Times New Roman" w:eastAsia="Times New Roman" w:hAnsi="Times New Roman"/>
          <w:sz w:val="22"/>
          <w:szCs w:val="22"/>
          <w:color w:val="auto"/>
        </w:rPr>
      </w:pPr>
    </w:p>
    <w:p>
      <w:pPr>
        <w:jc w:val="both"/>
        <w:ind w:left="120" w:firstLine="1489"/>
        <w:spacing w:after="0" w:line="238" w:lineRule="auto"/>
        <w:tabs>
          <w:tab w:leader="none" w:pos="2016" w:val="left"/>
        </w:tabs>
        <w:numPr>
          <w:ilvl w:val="1"/>
          <w:numId w:val="2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waiver by the Holder of a breach of any provision of this Note shall not operate as or be construed to be a waiver of any other breach of such provision or of any breach of any other provision of this Note. The failure of the Holder to insist upon strict adherence to any term of this Note on one or more occasions shall not be considered a waiver or deprive that party of the right thereafter to insist upon strict adherence to that term or any other term of this Note. Any waiver must be in writing.</w:t>
      </w:r>
    </w:p>
    <w:p>
      <w:pPr>
        <w:spacing w:after="0" w:line="176" w:lineRule="exact"/>
        <w:rPr>
          <w:rFonts w:ascii="Times New Roman" w:cs="Times New Roman" w:eastAsia="Times New Roman" w:hAnsi="Times New Roman"/>
          <w:sz w:val="22"/>
          <w:szCs w:val="22"/>
          <w:u w:val="single" w:color="auto"/>
          <w:color w:val="auto"/>
        </w:rPr>
      </w:pPr>
    </w:p>
    <w:p>
      <w:pPr>
        <w:jc w:val="both"/>
        <w:ind w:left="120" w:firstLine="1489"/>
        <w:spacing w:after="0" w:line="233" w:lineRule="auto"/>
        <w:tabs>
          <w:tab w:leader="none" w:pos="2016" w:val="left"/>
        </w:tabs>
        <w:numPr>
          <w:ilvl w:val="1"/>
          <w:numId w:val="2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If any provision of this Note is invalid, illegal or unenforceable, the balance of this Note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Note as contemplated herein, wherever enacted, now or at any time hereafter in 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spacing w:after="0" w:line="184" w:lineRule="exact"/>
        <w:rPr>
          <w:rFonts w:ascii="Times New Roman" w:cs="Times New Roman" w:eastAsia="Times New Roman" w:hAnsi="Times New Roman"/>
          <w:sz w:val="22"/>
          <w:szCs w:val="22"/>
          <w:u w:val="single" w:color="auto"/>
          <w:color w:val="auto"/>
        </w:rPr>
      </w:pPr>
    </w:p>
    <w:p>
      <w:pPr>
        <w:ind w:left="2020" w:hanging="411"/>
        <w:spacing w:after="0"/>
        <w:tabs>
          <w:tab w:leader="none" w:pos="2020" w:val="left"/>
        </w:tabs>
        <w:numPr>
          <w:ilvl w:val="1"/>
          <w:numId w:val="2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xml:space="preserve"> For purposes of this Note, the following terms shall have the following</w:t>
      </w:r>
    </w:p>
    <w:p>
      <w:pPr>
        <w:spacing w:after="0" w:line="14" w:lineRule="exact"/>
        <w:rPr>
          <w:rFonts w:ascii="Times New Roman" w:cs="Times New Roman" w:eastAsia="Times New Roman" w:hAnsi="Times New Roman"/>
          <w:sz w:val="22"/>
          <w:szCs w:val="22"/>
          <w:u w:val="single" w:color="auto"/>
          <w:color w:val="auto"/>
        </w:rPr>
      </w:pPr>
    </w:p>
    <w:p>
      <w:pPr>
        <w:ind w:left="120"/>
        <w:spacing w:after="0"/>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meanings:</w:t>
      </w:r>
    </w:p>
    <w:p>
      <w:pPr>
        <w:spacing w:after="0" w:line="182" w:lineRule="exact"/>
        <w:rPr>
          <w:rFonts w:ascii="Times New Roman" w:cs="Times New Roman" w:eastAsia="Times New Roman" w:hAnsi="Times New Roman"/>
          <w:sz w:val="22"/>
          <w:szCs w:val="22"/>
          <w:u w:val="single" w:color="auto"/>
          <w:color w:val="auto"/>
        </w:rPr>
      </w:pPr>
    </w:p>
    <w:p>
      <w:pPr>
        <w:ind w:left="3120" w:hanging="746"/>
        <w:spacing w:after="0"/>
        <w:tabs>
          <w:tab w:leader="none" w:pos="3120" w:val="left"/>
        </w:tabs>
        <w:numPr>
          <w:ilvl w:val="2"/>
          <w:numId w:val="2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Bloomberg</w:t>
      </w:r>
      <w:r>
        <w:rPr>
          <w:rFonts w:ascii="Times New Roman" w:cs="Times New Roman" w:eastAsia="Times New Roman" w:hAnsi="Times New Roman"/>
          <w:sz w:val="22"/>
          <w:szCs w:val="22"/>
          <w:color w:val="auto"/>
        </w:rPr>
        <w:t>" means Bloomberg Financial Markets.</w:t>
      </w:r>
    </w:p>
    <w:p>
      <w:pPr>
        <w:spacing w:after="0" w:line="206" w:lineRule="exact"/>
        <w:rPr>
          <w:sz w:val="20"/>
          <w:szCs w:val="20"/>
          <w:color w:val="auto"/>
        </w:rPr>
      </w:pPr>
    </w:p>
    <w:p>
      <w:pPr>
        <w:jc w:val="both"/>
        <w:ind w:left="120" w:firstLine="2222"/>
        <w:spacing w:after="0" w:line="244"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except Saturday, Sunday and any day which shall be a federal legal holiday in the United States or a day on which banking institutions are authorized or required by law or other government action to close.</w:t>
      </w:r>
    </w:p>
    <w:p>
      <w:pPr>
        <w:spacing w:after="0" w:line="173" w:lineRule="exact"/>
        <w:rPr>
          <w:sz w:val="20"/>
          <w:szCs w:val="20"/>
          <w:color w:val="auto"/>
        </w:rPr>
      </w:pPr>
    </w:p>
    <w:p>
      <w:pPr>
        <w:ind w:left="3120" w:hanging="746"/>
        <w:spacing w:after="0"/>
        <w:tabs>
          <w:tab w:leader="none" w:pos="3120" w:val="left"/>
        </w:tabs>
        <w:numPr>
          <w:ilvl w:val="0"/>
          <w:numId w:val="2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Month</w:t>
      </w:r>
      <w:r>
        <w:rPr>
          <w:rFonts w:ascii="Times New Roman" w:cs="Times New Roman" w:eastAsia="Times New Roman" w:hAnsi="Times New Roman"/>
          <w:sz w:val="22"/>
          <w:szCs w:val="22"/>
          <w:color w:val="auto"/>
        </w:rPr>
        <w:t>” means one of the months as named in the</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calendar.</w:t>
      </w:r>
    </w:p>
    <w:p>
      <w:pPr>
        <w:spacing w:after="0" w:line="182" w:lineRule="exact"/>
        <w:rPr>
          <w:sz w:val="20"/>
          <w:szCs w:val="20"/>
          <w:color w:val="auto"/>
        </w:rPr>
      </w:pPr>
    </w:p>
    <w:p>
      <w:pPr>
        <w:ind w:left="3120" w:hanging="746"/>
        <w:spacing w:after="0"/>
        <w:tabs>
          <w:tab w:leader="none" w:pos="3120" w:val="left"/>
        </w:tabs>
        <w:numPr>
          <w:ilvl w:val="0"/>
          <w:numId w:val="2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Transaction</w:t>
      </w:r>
      <w:r>
        <w:rPr>
          <w:rFonts w:ascii="Times New Roman" w:cs="Times New Roman" w:eastAsia="Times New Roman" w:hAnsi="Times New Roman"/>
          <w:sz w:val="22"/>
          <w:szCs w:val="22"/>
          <w:color w:val="auto"/>
        </w:rPr>
        <w:t>” means the occurrence of (a) an</w:t>
      </w:r>
    </w:p>
    <w:p>
      <w:pPr>
        <w:spacing w:after="0" w:line="14" w:lineRule="exact"/>
        <w:rPr>
          <w:sz w:val="20"/>
          <w:szCs w:val="20"/>
          <w:color w:val="auto"/>
        </w:rPr>
      </w:pPr>
    </w:p>
    <w:p>
      <w:pPr>
        <w:jc w:val="both"/>
        <w:ind w:left="140"/>
        <w:spacing w:after="0" w:line="234" w:lineRule="auto"/>
        <w:rPr>
          <w:sz w:val="20"/>
          <w:szCs w:val="20"/>
          <w:color w:val="auto"/>
        </w:rPr>
      </w:pPr>
      <w:r>
        <w:rPr>
          <w:rFonts w:ascii="Times New Roman" w:cs="Times New Roman" w:eastAsia="Times New Roman" w:hAnsi="Times New Roman"/>
          <w:sz w:val="22"/>
          <w:szCs w:val="22"/>
          <w:color w:val="auto"/>
        </w:rPr>
        <w:t>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7" w:name="page18"/>
    <w:bookmarkEnd w:id="17"/>
    <w:p>
      <w:pPr>
        <w:jc w:val="both"/>
        <w:ind w:left="140" w:right="120"/>
        <w:spacing w:after="0" w:line="233" w:lineRule="auto"/>
        <w:rPr>
          <w:sz w:val="20"/>
          <w:szCs w:val="20"/>
          <w:color w:val="auto"/>
        </w:rPr>
      </w:pPr>
      <w:r>
        <w:rPr>
          <w:rFonts w:ascii="Times New Roman" w:cs="Times New Roman" w:eastAsia="Times New Roman" w:hAnsi="Times New Roman"/>
          <w:sz w:val="22"/>
          <w:szCs w:val="22"/>
          <w:color w:val="auto"/>
        </w:rPr>
        <w:t>securities by the Holder or any other current holder of convertible securities of the Company shall not constitute a Change of Control Transaction for purposes hereof), (b) a replacement at one time or over time of more than one-half of the members of the board of directors of the Company (other than as due to the death or disability of a member of the board of directors) which is not approved by a majority of those individuals who are members of the board of directors on the date hereof (or by those individuals who are serving as members of the board of directors on any date whose nomination to the board of directors was approved by a majority of the members of the board of directors who are members on the date hereof), (c) 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nor shall the Pre-Closing Demerger nor the Business Combination shall be deemed a Change of Control Transaction.</w:t>
      </w:r>
    </w:p>
    <w:p>
      <w:pPr>
        <w:spacing w:after="0" w:line="187" w:lineRule="exact"/>
        <w:rPr>
          <w:sz w:val="20"/>
          <w:szCs w:val="20"/>
          <w:color w:val="auto"/>
        </w:rPr>
      </w:pPr>
    </w:p>
    <w:p>
      <w:pPr>
        <w:jc w:val="both"/>
        <w:ind w:left="120" w:right="140" w:firstLine="2222"/>
        <w:spacing w:after="0" w:line="258"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Price</w:t>
      </w:r>
      <w:r>
        <w:rPr>
          <w:rFonts w:ascii="Times New Roman" w:cs="Times New Roman" w:eastAsia="Times New Roman" w:hAnsi="Times New Roman"/>
          <w:sz w:val="22"/>
          <w:szCs w:val="22"/>
          <w:color w:val="auto"/>
        </w:rPr>
        <w:t>” means the price per share in the last reported trade of the Common Shares on a Primary Market or on the exchange which the Common Shares are then listed as quoted by Bloomberg.</w:t>
      </w:r>
    </w:p>
    <w:p>
      <w:pPr>
        <w:spacing w:after="0" w:line="158" w:lineRule="exact"/>
        <w:rPr>
          <w:sz w:val="20"/>
          <w:szCs w:val="20"/>
          <w:color w:val="auto"/>
        </w:rPr>
      </w:pPr>
    </w:p>
    <w:p>
      <w:pPr>
        <w:ind w:left="3120" w:hanging="746"/>
        <w:spacing w:after="0"/>
        <w:tabs>
          <w:tab w:leader="none" w:pos="3120" w:val="left"/>
        </w:tabs>
        <w:numPr>
          <w:ilvl w:val="0"/>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means the Securities and Exchange Commission.</w:t>
      </w:r>
    </w:p>
    <w:p>
      <w:pPr>
        <w:spacing w:after="0" w:line="206" w:lineRule="exact"/>
        <w:rPr>
          <w:sz w:val="20"/>
          <w:szCs w:val="20"/>
          <w:color w:val="auto"/>
        </w:rPr>
      </w:pPr>
    </w:p>
    <w:p>
      <w:pPr>
        <w:ind w:left="120" w:right="120" w:firstLine="2222"/>
        <w:spacing w:after="0" w:line="258" w:lineRule="auto"/>
        <w:rPr>
          <w:sz w:val="20"/>
          <w:szCs w:val="20"/>
          <w:color w:val="auto"/>
        </w:rPr>
      </w:pP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 means the ordinary shares, par value £0.0001, of the Company, and shares of any other class into which such shares may hereafter be changed or reclassified.</w:t>
      </w:r>
    </w:p>
    <w:p>
      <w:pPr>
        <w:spacing w:after="0" w:line="23" w:lineRule="exact"/>
        <w:rPr>
          <w:sz w:val="20"/>
          <w:szCs w:val="20"/>
          <w:color w:val="auto"/>
        </w:rPr>
      </w:pPr>
    </w:p>
    <w:p>
      <w:pPr>
        <w:ind w:left="120" w:right="120" w:firstLine="2222"/>
        <w:spacing w:after="0" w:line="258" w:lineRule="auto"/>
        <w:rPr>
          <w:sz w:val="20"/>
          <w:szCs w:val="20"/>
          <w:color w:val="auto"/>
        </w:rPr>
      </w:pP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Amount</w:t>
      </w:r>
      <w:r>
        <w:rPr>
          <w:rFonts w:ascii="Times New Roman" w:cs="Times New Roman" w:eastAsia="Times New Roman" w:hAnsi="Times New Roman"/>
          <w:sz w:val="22"/>
          <w:szCs w:val="22"/>
          <w:color w:val="auto"/>
        </w:rPr>
        <w:t>” means the portion of the Principal, Interest, or other amounts outstanding under this Note to be converted, redeemed or otherwise with respect to which this determination is being made.</w:t>
      </w:r>
    </w:p>
    <w:p>
      <w:pPr>
        <w:spacing w:after="0" w:line="158" w:lineRule="exact"/>
        <w:rPr>
          <w:sz w:val="20"/>
          <w:szCs w:val="20"/>
          <w:color w:val="auto"/>
        </w:rPr>
      </w:pPr>
    </w:p>
    <w:p>
      <w:pPr>
        <w:ind w:left="3120" w:hanging="746"/>
        <w:spacing w:after="0"/>
        <w:tabs>
          <w:tab w:leader="none" w:pos="3120"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shall have the meaning set forth in Section</w:t>
      </w:r>
    </w:p>
    <w:p>
      <w:pPr>
        <w:spacing w:after="0" w:line="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(3)(b)(i)</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left="3120" w:hanging="746"/>
        <w:spacing w:after="0"/>
        <w:tabs>
          <w:tab w:leader="none" w:pos="3120"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shall have the meaning set forth in Section</w:t>
      </w:r>
    </w:p>
    <w:p>
      <w:pPr>
        <w:spacing w:after="0" w:line="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(3)(b)(i).</w:t>
      </w:r>
    </w:p>
    <w:p>
      <w:pPr>
        <w:ind w:left="120" w:firstLine="2374"/>
        <w:spacing w:after="0" w:line="233" w:lineRule="auto"/>
        <w:tabs>
          <w:tab w:leader="none" w:pos="3055" w:val="left"/>
        </w:tabs>
        <w:numPr>
          <w:ilvl w:val="1"/>
          <w:numId w:val="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Pric</w:t>
      </w:r>
      <w:r>
        <w:rPr>
          <w:rFonts w:ascii="Times New Roman" w:cs="Times New Roman" w:eastAsia="Times New Roman" w:hAnsi="Times New Roman"/>
          <w:sz w:val="22"/>
          <w:szCs w:val="22"/>
          <w:color w:val="auto"/>
        </w:rPr>
        <w:t>e" means, as of any Conversion Date or other date of determination the lower of (i) $10.00 per Common Share (the “Fixed Price”), or (ii) 90% of the lowest daily VWAP during the ten (10) consecutive Trading Days immediately preceding the Conversion Date or other date of determination (the “Variable Price”), but which Variable Price shall not be lower than the Floor Price then in effect. The Conversion Price shall be adjusted from time to time pursuant to the other terms and conditions of this Note.</w:t>
      </w:r>
    </w:p>
    <w:p>
      <w:pPr>
        <w:spacing w:after="0" w:line="179" w:lineRule="exact"/>
        <w:rPr>
          <w:rFonts w:ascii="Times New Roman" w:cs="Times New Roman" w:eastAsia="Times New Roman" w:hAnsi="Times New Roman"/>
          <w:sz w:val="22"/>
          <w:szCs w:val="22"/>
          <w:u w:val="single" w:color="auto"/>
          <w:color w:val="auto"/>
        </w:rPr>
      </w:pPr>
    </w:p>
    <w:p>
      <w:pPr>
        <w:ind w:left="3120" w:hanging="746"/>
        <w:spacing w:after="0"/>
        <w:tabs>
          <w:tab w:leader="none" w:pos="3120" w:val="left"/>
        </w:tabs>
        <w:numPr>
          <w:ilvl w:val="0"/>
          <w:numId w:val="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amended.</w:t>
      </w:r>
    </w:p>
    <w:p>
      <w:pPr>
        <w:spacing w:after="0" w:line="182" w:lineRule="exact"/>
        <w:rPr>
          <w:sz w:val="20"/>
          <w:szCs w:val="20"/>
          <w:color w:val="auto"/>
        </w:rPr>
      </w:pPr>
    </w:p>
    <w:p>
      <w:pPr>
        <w:ind w:left="3120" w:hanging="746"/>
        <w:spacing w:after="0"/>
        <w:tabs>
          <w:tab w:leader="none" w:pos="3120"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 Price</w:t>
      </w:r>
      <w:r>
        <w:rPr>
          <w:rFonts w:ascii="Times New Roman" w:cs="Times New Roman" w:eastAsia="Times New Roman" w:hAnsi="Times New Roman"/>
          <w:sz w:val="22"/>
          <w:szCs w:val="22"/>
          <w:color w:val="auto"/>
        </w:rPr>
        <w:t>” solely with respect to the Variable Price, shall mean</w:t>
      </w:r>
    </w:p>
    <w:p>
      <w:pPr>
        <w:spacing w:after="0" w:line="14" w:lineRule="exact"/>
        <w:rPr>
          <w:sz w:val="20"/>
          <w:szCs w:val="20"/>
          <w:color w:val="auto"/>
        </w:rPr>
      </w:pPr>
    </w:p>
    <w:p>
      <w:pPr>
        <w:ind w:left="140" w:right="140"/>
        <w:spacing w:after="0" w:line="237" w:lineRule="auto"/>
        <w:rPr>
          <w:sz w:val="20"/>
          <w:szCs w:val="20"/>
          <w:color w:val="auto"/>
        </w:rPr>
      </w:pPr>
      <w:r>
        <w:rPr>
          <w:rFonts w:ascii="Times New Roman" w:cs="Times New Roman" w:eastAsia="Times New Roman" w:hAnsi="Times New Roman"/>
          <w:sz w:val="22"/>
          <w:szCs w:val="22"/>
          <w:color w:val="auto"/>
        </w:rPr>
        <w:t>$0.25 per share. Notwithstanding the foregoing, the Company may reduce the Floor Price to any amounts set forth in a written notice to the Holder; provided that such reduction shall be irrevocable and shall not be subject to increase thereafter.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8" w:name="page19"/>
    <w:bookmarkEnd w:id="18"/>
    <w:p>
      <w:pPr>
        <w:spacing w:after="0" w:line="100" w:lineRule="exact"/>
        <w:rPr>
          <w:sz w:val="20"/>
          <w:szCs w:val="20"/>
          <w:color w:val="auto"/>
        </w:rPr>
      </w:pPr>
    </w:p>
    <w:p>
      <w:pPr>
        <w:jc w:val="both"/>
        <w:ind w:left="120" w:firstLine="2222"/>
        <w:spacing w:after="0" w:line="235" w:lineRule="auto"/>
        <w:rPr>
          <w:sz w:val="20"/>
          <w:szCs w:val="20"/>
          <w:color w:val="auto"/>
        </w:rPr>
      </w:pP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Common Shares are permitted to tender or exchange their shares for other securities, cash or property, or (4) the Company effects any reclassification of the Common Shares or any compulsory share exchange pursuant to which the Common Shares is effectively converted into or exchanged for other securities, cash or property, provided that neither the Pre-Closing Demerger nor the Business Combination shall be a Fundamental Transaction.</w:t>
      </w:r>
    </w:p>
    <w:p>
      <w:pPr>
        <w:spacing w:after="0" w:line="178" w:lineRule="exact"/>
        <w:rPr>
          <w:sz w:val="20"/>
          <w:szCs w:val="20"/>
          <w:color w:val="auto"/>
        </w:rPr>
      </w:pPr>
    </w:p>
    <w:p>
      <w:pPr>
        <w:jc w:val="both"/>
        <w:ind w:left="120" w:firstLine="2222"/>
        <w:spacing w:after="0" w:line="258" w:lineRule="auto"/>
        <w:rPr>
          <w:sz w:val="20"/>
          <w:szCs w:val="20"/>
          <w:color w:val="auto"/>
        </w:rPr>
      </w:pP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Global Guaranty</w:t>
      </w:r>
      <w:r>
        <w:rPr>
          <w:rFonts w:ascii="Times New Roman" w:cs="Times New Roman" w:eastAsia="Times New Roman" w:hAnsi="Times New Roman"/>
          <w:sz w:val="22"/>
          <w:szCs w:val="22"/>
          <w:color w:val="auto"/>
        </w:rPr>
        <w:t>” means global guaranty agreement entered into by those certain Subsidiaries of the Company in favor of the Holder on the date hereof.</w:t>
      </w:r>
    </w:p>
    <w:p>
      <w:pPr>
        <w:spacing w:after="0" w:line="158" w:lineRule="exact"/>
        <w:rPr>
          <w:sz w:val="20"/>
          <w:szCs w:val="20"/>
          <w:color w:val="auto"/>
        </w:rPr>
      </w:pPr>
    </w:p>
    <w:p>
      <w:pPr>
        <w:jc w:val="both"/>
        <w:ind w:left="120" w:firstLine="2222"/>
        <w:spacing w:after="0" w:line="238" w:lineRule="auto"/>
        <w:rPr>
          <w:sz w:val="20"/>
          <w:szCs w:val="20"/>
          <w:color w:val="auto"/>
        </w:rPr>
      </w:pP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Notes</w:t>
      </w:r>
      <w:r>
        <w:rPr>
          <w:rFonts w:ascii="Times New Roman" w:cs="Times New Roman" w:eastAsia="Times New Roman" w:hAnsi="Times New Roman"/>
          <w:sz w:val="22"/>
          <w:szCs w:val="22"/>
          <w:color w:val="auto"/>
        </w:rPr>
        <w:t>” means the promissory note in the original principal amount of $2,500,000 executed and delivered by the Company (as successor-in-interest to the REZOLVE LIMITED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 company incorporated in England and Wales with registered number 09773823) to the Holder and bearing Note Number RZLV-1, all other promissory notes issued pursuant to the SEPA to the Holder, and any other notes, debentures, or other instruments issued in exchange, replacement, or modification of the foregoing.</w:t>
      </w:r>
    </w:p>
    <w:p>
      <w:pPr>
        <w:spacing w:after="0" w:line="177" w:lineRule="exact"/>
        <w:rPr>
          <w:sz w:val="20"/>
          <w:szCs w:val="20"/>
          <w:color w:val="auto"/>
        </w:rPr>
      </w:pPr>
    </w:p>
    <w:p>
      <w:pPr>
        <w:ind w:left="3120" w:hanging="746"/>
        <w:spacing w:after="0"/>
        <w:tabs>
          <w:tab w:leader="none" w:pos="3120"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Premium</w:t>
      </w:r>
      <w:r>
        <w:rPr>
          <w:rFonts w:ascii="Times New Roman" w:cs="Times New Roman" w:eastAsia="Times New Roman" w:hAnsi="Times New Roman"/>
          <w:sz w:val="22"/>
          <w:szCs w:val="22"/>
          <w:color w:val="auto"/>
        </w:rPr>
        <w:t>” means 10% of the Principal amount being paid.</w:t>
      </w:r>
    </w:p>
    <w:p>
      <w:pPr>
        <w:spacing w:after="0" w:line="71" w:lineRule="exact"/>
        <w:rPr>
          <w:sz w:val="20"/>
          <w:szCs w:val="20"/>
          <w:color w:val="auto"/>
        </w:rPr>
      </w:pPr>
    </w:p>
    <w:p>
      <w:pPr>
        <w:jc w:val="both"/>
        <w:ind w:left="120" w:firstLine="2222"/>
        <w:spacing w:after="0" w:line="236" w:lineRule="auto"/>
        <w:rPr>
          <w:sz w:val="20"/>
          <w:szCs w:val="20"/>
          <w:color w:val="auto"/>
        </w:rPr>
      </w:pP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Periodic Reports</w:t>
      </w:r>
      <w:r>
        <w:rPr>
          <w:rFonts w:ascii="Times New Roman" w:cs="Times New Roman" w:eastAsia="Times New Roman" w:hAnsi="Times New Roman"/>
          <w:sz w:val="22"/>
          <w:szCs w:val="22"/>
          <w:color w:val="auto"/>
        </w:rPr>
        <w:t xml:space="preserve">” shall mean the Company’s (i) Shell Company Report on Form 20-F filed with the Commission on August 21, 2024, (ii) any current report to be filed on Form 6-K and (iii) all other reports required to be filed by the Company with the Commission under applicable laws and regulations (including, without limitation, Regulation S- K) for so long as any amounts are outstanding under this Note or any Other Note;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spacing w:after="0" w:line="181" w:lineRule="exact"/>
        <w:rPr>
          <w:sz w:val="20"/>
          <w:szCs w:val="20"/>
          <w:color w:val="auto"/>
        </w:rPr>
      </w:pPr>
    </w:p>
    <w:p>
      <w:pPr>
        <w:jc w:val="both"/>
        <w:ind w:left="120" w:right="20" w:firstLine="2222"/>
        <w:spacing w:after="0" w:line="258" w:lineRule="auto"/>
        <w:rPr>
          <w:sz w:val="20"/>
          <w:szCs w:val="20"/>
          <w:color w:val="auto"/>
        </w:rPr>
      </w:pP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corporation, an association, a partnership, organization, a business, an individual, a government or political subdivision thereof or a governmental agency.</w:t>
      </w:r>
    </w:p>
    <w:p>
      <w:pPr>
        <w:spacing w:after="0" w:line="15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Demerger</w:t>
      </w:r>
      <w:r>
        <w:rPr>
          <w:rFonts w:ascii="Times New Roman" w:cs="Times New Roman" w:eastAsia="Times New Roman" w:hAnsi="Times New Roman"/>
          <w:sz w:val="22"/>
          <w:szCs w:val="22"/>
          <w:color w:val="auto"/>
        </w:rPr>
        <w:t>" bears the meaning attributed thereto in the SEPA;</w:t>
      </w:r>
    </w:p>
    <w:p>
      <w:pPr>
        <w:spacing w:after="0" w:line="206" w:lineRule="exact"/>
        <w:rPr>
          <w:sz w:val="20"/>
          <w:szCs w:val="20"/>
          <w:color w:val="auto"/>
        </w:rPr>
      </w:pPr>
    </w:p>
    <w:p>
      <w:pPr>
        <w:jc w:val="both"/>
        <w:ind w:left="120" w:right="20" w:firstLine="2222"/>
        <w:spacing w:after="0" w:line="244" w:lineRule="auto"/>
        <w:rPr>
          <w:sz w:val="20"/>
          <w:szCs w:val="20"/>
          <w:color w:val="auto"/>
        </w:rPr>
      </w:pPr>
      <w:r>
        <w:rPr>
          <w:rFonts w:ascii="Times New Roman" w:cs="Times New Roman" w:eastAsia="Times New Roman" w:hAnsi="Times New Roman"/>
          <w:sz w:val="22"/>
          <w:szCs w:val="22"/>
          <w:u w:val="single" w:color="auto"/>
          <w:color w:val="auto"/>
        </w:rPr>
        <w:t>(u)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Primary Market</w:t>
      </w:r>
      <w:r>
        <w:rPr>
          <w:rFonts w:ascii="Times New Roman" w:cs="Times New Roman" w:eastAsia="Times New Roman" w:hAnsi="Times New Roman"/>
          <w:sz w:val="22"/>
          <w:szCs w:val="22"/>
          <w:color w:val="auto"/>
        </w:rPr>
        <w:t>” means any of The New York Stock Exchange, the NYSE American, the Nasdaq Capital Market, the Nasdaq Global Market or the Nasdaq Global Select Market, and any successor to any of the foregoing markets or exchanges.</w:t>
      </w:r>
    </w:p>
    <w:p>
      <w:pPr>
        <w:spacing w:after="0" w:line="173" w:lineRule="exact"/>
        <w:rPr>
          <w:sz w:val="20"/>
          <w:szCs w:val="20"/>
          <w:color w:val="auto"/>
        </w:rPr>
      </w:pPr>
    </w:p>
    <w:p>
      <w:pPr>
        <w:ind w:left="3120" w:hanging="746"/>
        <w:spacing w:after="0"/>
        <w:tabs>
          <w:tab w:leader="none" w:pos="31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Premium</w:t>
      </w:r>
      <w:r>
        <w:rPr>
          <w:rFonts w:ascii="Times New Roman" w:cs="Times New Roman" w:eastAsia="Times New Roman" w:hAnsi="Times New Roman"/>
          <w:sz w:val="22"/>
          <w:szCs w:val="22"/>
          <w:color w:val="auto"/>
        </w:rPr>
        <w:t>” means 10% of the Principal amount being</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redeemed.</w:t>
      </w:r>
    </w:p>
    <w:p>
      <w:pPr>
        <w:spacing w:after="0" w:line="182" w:lineRule="exact"/>
        <w:rPr>
          <w:sz w:val="20"/>
          <w:szCs w:val="20"/>
          <w:color w:val="auto"/>
        </w:rPr>
      </w:pPr>
    </w:p>
    <w:p>
      <w:pPr>
        <w:ind w:left="3120" w:hanging="746"/>
        <w:spacing w:after="0"/>
        <w:tabs>
          <w:tab w:leader="none" w:pos="31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means the registration rights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9" w:name="page20"/>
    <w:bookmarkEnd w:id="19"/>
    <w:p>
      <w:pPr>
        <w:ind w:left="140"/>
        <w:spacing w:after="0"/>
        <w:rPr>
          <w:sz w:val="20"/>
          <w:szCs w:val="20"/>
          <w:color w:val="auto"/>
        </w:rPr>
      </w:pPr>
      <w:r>
        <w:rPr>
          <w:rFonts w:ascii="Times New Roman" w:cs="Times New Roman" w:eastAsia="Times New Roman" w:hAnsi="Times New Roman"/>
          <w:sz w:val="22"/>
          <w:szCs w:val="22"/>
          <w:color w:val="auto"/>
        </w:rPr>
        <w:t>agreement entered into between the Company and the Holder on the date hereof.</w:t>
      </w:r>
    </w:p>
    <w:p>
      <w:pPr>
        <w:spacing w:after="0" w:line="206" w:lineRule="exact"/>
        <w:rPr>
          <w:sz w:val="20"/>
          <w:szCs w:val="20"/>
          <w:color w:val="auto"/>
        </w:rPr>
      </w:pPr>
    </w:p>
    <w:p>
      <w:pPr>
        <w:jc w:val="both"/>
        <w:ind w:left="120" w:firstLine="2222"/>
        <w:spacing w:after="0" w:line="244" w:lineRule="auto"/>
        <w:rPr>
          <w:sz w:val="20"/>
          <w:szCs w:val="20"/>
          <w:color w:val="auto"/>
        </w:rPr>
      </w:pPr>
      <w:r>
        <w:rPr>
          <w:rFonts w:ascii="Times New Roman" w:cs="Times New Roman" w:eastAsia="Times New Roman" w:hAnsi="Times New Roman"/>
          <w:sz w:val="22"/>
          <w:szCs w:val="22"/>
          <w:color w:val="auto"/>
        </w:rPr>
        <w:t>(x)“</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a registration statement meeting the requirements set forth in the Registration Rights Agreement, covering among other things the resale of the Underlying Shares and naming the Holder as a “selling stockholder” thereunder.</w:t>
      </w:r>
    </w:p>
    <w:p>
      <w:pPr>
        <w:spacing w:after="0" w:line="17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(y)“</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promulgated thereunder.</w:t>
      </w:r>
    </w:p>
    <w:p>
      <w:pPr>
        <w:spacing w:after="0" w:line="182" w:lineRule="exact"/>
        <w:rPr>
          <w:sz w:val="20"/>
          <w:szCs w:val="20"/>
          <w:color w:val="auto"/>
        </w:rPr>
      </w:pPr>
    </w:p>
    <w:p>
      <w:pPr>
        <w:ind w:left="3120" w:hanging="746"/>
        <w:spacing w:after="0"/>
        <w:tabs>
          <w:tab w:leader="none" w:pos="31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 Delivery Date</w:t>
      </w:r>
      <w:r>
        <w:rPr>
          <w:rFonts w:ascii="Times New Roman" w:cs="Times New Roman" w:eastAsia="Times New Roman" w:hAnsi="Times New Roman"/>
          <w:sz w:val="22"/>
          <w:szCs w:val="22"/>
          <w:color w:val="auto"/>
        </w:rPr>
        <w:t>" shall have the meaning set forth in Section</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(3)(b)(i).</w:t>
      </w:r>
    </w:p>
    <w:p>
      <w:pPr>
        <w:spacing w:after="0" w:line="18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(aa)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corporation,</w:t>
      </w:r>
    </w:p>
    <w:p>
      <w:pPr>
        <w:spacing w:after="0" w:line="14" w:lineRule="exact"/>
        <w:rPr>
          <w:sz w:val="20"/>
          <w:szCs w:val="20"/>
          <w:color w:val="auto"/>
        </w:rPr>
      </w:pPr>
    </w:p>
    <w:p>
      <w:pPr>
        <w:jc w:val="both"/>
        <w:ind w:left="140"/>
        <w:spacing w:after="0" w:line="241" w:lineRule="auto"/>
        <w:rPr>
          <w:sz w:val="20"/>
          <w:szCs w:val="20"/>
          <w:color w:val="auto"/>
        </w:rPr>
      </w:pPr>
      <w:r>
        <w:rPr>
          <w:rFonts w:ascii="Times New Roman" w:cs="Times New Roman" w:eastAsia="Times New Roman" w:hAnsi="Times New Roman"/>
          <w:sz w:val="21"/>
          <w:szCs w:val="21"/>
          <w:color w:val="auto"/>
        </w:rPr>
        <w:t>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w:t>
      </w:r>
    </w:p>
    <w:p>
      <w:pPr>
        <w:spacing w:after="0" w:line="2" w:lineRule="exact"/>
        <w:rPr>
          <w:sz w:val="20"/>
          <w:szCs w:val="20"/>
          <w:color w:val="auto"/>
        </w:rPr>
      </w:pPr>
    </w:p>
    <w:p>
      <w:pPr>
        <w:ind w:left="400" w:hanging="268"/>
        <w:spacing w:after="0"/>
        <w:tabs>
          <w:tab w:leader="none" w:pos="4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Person; (ii) such Person and one or more Subsidiaries of such Person; or (iii) one or more Subsidiaries of such Person.</w:t>
      </w:r>
    </w:p>
    <w:p>
      <w:pPr>
        <w:spacing w:after="0" w:line="193" w:lineRule="exact"/>
        <w:rPr>
          <w:rFonts w:ascii="Times New Roman" w:cs="Times New Roman" w:eastAsia="Times New Roman" w:hAnsi="Times New Roman"/>
          <w:sz w:val="21"/>
          <w:szCs w:val="21"/>
          <w:color w:val="auto"/>
        </w:rPr>
      </w:pPr>
    </w:p>
    <w:p>
      <w:pPr>
        <w:jc w:val="both"/>
        <w:ind w:left="140" w:firstLine="2239"/>
        <w:spacing w:after="0" w:line="244" w:lineRule="auto"/>
        <w:tabs>
          <w:tab w:leader="none" w:pos="281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Common Shares are quoted or traded on a Primary Market on which the Common Shares are then quoted or listed; provided, that in the event that the Common Shares are not listed or quoted, then Trading Day shall mean a Business Day.</w:t>
      </w:r>
    </w:p>
    <w:p>
      <w:pPr>
        <w:spacing w:after="0" w:line="38" w:lineRule="exact"/>
        <w:rPr>
          <w:rFonts w:ascii="Times New Roman" w:cs="Times New Roman" w:eastAsia="Times New Roman" w:hAnsi="Times New Roman"/>
          <w:sz w:val="22"/>
          <w:szCs w:val="22"/>
          <w:color w:val="auto"/>
        </w:rPr>
      </w:pPr>
    </w:p>
    <w:p>
      <w:pPr>
        <w:jc w:val="both"/>
        <w:ind w:left="140" w:firstLine="2239"/>
        <w:spacing w:after="0" w:line="244" w:lineRule="auto"/>
        <w:tabs>
          <w:tab w:leader="none" w:pos="2789"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w:t>
      </w:r>
      <w:r>
        <w:rPr>
          <w:rFonts w:ascii="Times New Roman" w:cs="Times New Roman" w:eastAsia="Times New Roman" w:hAnsi="Times New Roman"/>
          <w:sz w:val="22"/>
          <w:szCs w:val="22"/>
          <w:color w:val="auto"/>
        </w:rPr>
        <w:t>” means, each of, the Other Notes, the SEPA, the Registration Rights Agreement, the Global Guaranty and any and all documents, agreements, instruments or other items executed or delivered in connection with any of the foregoing.</w:t>
      </w:r>
    </w:p>
    <w:p>
      <w:pPr>
        <w:spacing w:after="0" w:line="173" w:lineRule="exact"/>
        <w:rPr>
          <w:rFonts w:ascii="Times New Roman" w:cs="Times New Roman" w:eastAsia="Times New Roman" w:hAnsi="Times New Roman"/>
          <w:sz w:val="22"/>
          <w:szCs w:val="22"/>
          <w:color w:val="auto"/>
        </w:rPr>
      </w:pPr>
    </w:p>
    <w:p>
      <w:pPr>
        <w:jc w:val="both"/>
        <w:ind w:left="140" w:firstLine="2239"/>
        <w:spacing w:after="0" w:line="235" w:lineRule="auto"/>
        <w:tabs>
          <w:tab w:leader="none" w:pos="2881"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Trigger Event</w:t>
      </w:r>
      <w:r>
        <w:rPr>
          <w:rFonts w:ascii="Times New Roman" w:cs="Times New Roman" w:eastAsia="Times New Roman" w:hAnsi="Times New Roman"/>
          <w:sz w:val="22"/>
          <w:szCs w:val="22"/>
          <w:color w:val="auto"/>
        </w:rPr>
        <w:t>” shall mean (i) the daily VWAP is less than the Floor Price then in effect for five Trading Days during a period of seven consecutive Trading Days (a “</w:t>
      </w:r>
      <w:r>
        <w:rPr>
          <w:rFonts w:ascii="Times New Roman" w:cs="Times New Roman" w:eastAsia="Times New Roman" w:hAnsi="Times New Roman"/>
          <w:sz w:val="22"/>
          <w:szCs w:val="22"/>
          <w:u w:val="single" w:color="auto"/>
          <w:color w:val="auto"/>
        </w:rPr>
        <w:t>Floor Price Trigger</w:t>
      </w:r>
      <w:r>
        <w:rPr>
          <w:rFonts w:ascii="Times New Roman" w:cs="Times New Roman" w:eastAsia="Times New Roman" w:hAnsi="Times New Roman"/>
          <w:sz w:val="22"/>
          <w:szCs w:val="22"/>
          <w:color w:val="auto"/>
        </w:rPr>
        <w:t>”), and (ii) unless (x) the Company has obtained the approval from its stockholders in accordance with the rules of the Principal Market for the issuance of Shares pursuant to the transactions contemplated in this Note and the SEPA in excess of the Exchange Cap, or (y) the Company is permitted to follow its home country practices instead of the stockholder approval requirements of Nasdaq Rule 5635, and has made such election to follow home country practice in accordance with the Nasdaq Rules, the Company has issued in excess of 99% of the Common Shares available under the Exchange Cap (an “</w:t>
      </w:r>
      <w:r>
        <w:rPr>
          <w:rFonts w:ascii="Times New Roman" w:cs="Times New Roman" w:eastAsia="Times New Roman" w:hAnsi="Times New Roman"/>
          <w:sz w:val="22"/>
          <w:szCs w:val="22"/>
          <w:u w:val="single" w:color="auto"/>
          <w:color w:val="auto"/>
        </w:rPr>
        <w:t>Exchange Cap Trigger</w:t>
      </w:r>
      <w:r>
        <w:rPr>
          <w:rFonts w:ascii="Times New Roman" w:cs="Times New Roman" w:eastAsia="Times New Roman" w:hAnsi="Times New Roman"/>
          <w:sz w:val="22"/>
          <w:szCs w:val="22"/>
          <w:color w:val="auto"/>
        </w:rPr>
        <w:t>”) (the last such day of each such occurrence, a “</w:t>
      </w:r>
      <w:r>
        <w:rPr>
          <w:rFonts w:ascii="Times New Roman" w:cs="Times New Roman" w:eastAsia="Times New Roman" w:hAnsi="Times New Roman"/>
          <w:sz w:val="22"/>
          <w:szCs w:val="22"/>
          <w:u w:val="single" w:color="auto"/>
          <w:color w:val="auto"/>
        </w:rPr>
        <w:t>Trigger Date</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2820" w:hanging="441"/>
        <w:spacing w:after="0"/>
        <w:tabs>
          <w:tab w:leader="none" w:pos="282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Triggered Principal Amount</w:t>
      </w:r>
      <w:r>
        <w:rPr>
          <w:rFonts w:ascii="Times New Roman" w:cs="Times New Roman" w:eastAsia="Times New Roman" w:hAnsi="Times New Roman"/>
          <w:sz w:val="22"/>
          <w:szCs w:val="22"/>
          <w:color w:val="auto"/>
        </w:rPr>
        <w:t>” shall have the meaning set forth in</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Section (1)(c).</w:t>
      </w:r>
    </w:p>
    <w:p>
      <w:pPr>
        <w:spacing w:after="0" w:line="182" w:lineRule="exact"/>
        <w:rPr>
          <w:sz w:val="20"/>
          <w:szCs w:val="20"/>
          <w:color w:val="auto"/>
        </w:rPr>
      </w:pPr>
    </w:p>
    <w:p>
      <w:pPr>
        <w:ind w:left="2820" w:hanging="441"/>
        <w:spacing w:after="0"/>
        <w:tabs>
          <w:tab w:leader="none" w:pos="2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Underlying Shares</w:t>
      </w:r>
      <w:r>
        <w:rPr>
          <w:rFonts w:ascii="Times New Roman" w:cs="Times New Roman" w:eastAsia="Times New Roman" w:hAnsi="Times New Roman"/>
          <w:sz w:val="22"/>
          <w:szCs w:val="22"/>
          <w:color w:val="auto"/>
        </w:rPr>
        <w:t>” means the Common Shares issuable upon</w:t>
      </w:r>
    </w:p>
    <w:p>
      <w:pPr>
        <w:spacing w:after="0" w:line="14" w:lineRule="exact"/>
        <w:rPr>
          <w:rFonts w:ascii="Times New Roman" w:cs="Times New Roman" w:eastAsia="Times New Roman" w:hAnsi="Times New Roman"/>
          <w:sz w:val="22"/>
          <w:szCs w:val="22"/>
          <w:color w:val="auto"/>
        </w:rPr>
      </w:pPr>
    </w:p>
    <w:p>
      <w:pPr>
        <w:ind w:left="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 of this Note or as payment of interest in accordance with the terms hereof.</w:t>
      </w:r>
    </w:p>
    <w:p>
      <w:pPr>
        <w:spacing w:after="0" w:line="182" w:lineRule="exact"/>
        <w:rPr>
          <w:rFonts w:ascii="Times New Roman" w:cs="Times New Roman" w:eastAsia="Times New Roman" w:hAnsi="Times New Roman"/>
          <w:sz w:val="22"/>
          <w:szCs w:val="22"/>
          <w:color w:val="auto"/>
        </w:rPr>
      </w:pPr>
    </w:p>
    <w:p>
      <w:pPr>
        <w:jc w:val="both"/>
        <w:ind w:left="140" w:firstLine="2239"/>
        <w:spacing w:after="0" w:line="244" w:lineRule="auto"/>
        <w:tabs>
          <w:tab w:leader="none" w:pos="28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security as of any date, the daily dollar volume-weighted average price for such security on the Primary Market during regular trading hours as reported by Bloomberg through its “Historical Prices – Px Table with Average Daily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27" w:right="459" w:bottom="1440" w:gutter="0" w:footer="0" w:header="0"/>
        </w:sectPr>
      </w:pPr>
    </w:p>
    <w:bookmarkStart w:id="20" w:name="page21"/>
    <w:bookmarkEnd w:id="20"/>
    <w:p>
      <w:pPr>
        <w:spacing w:after="0" w:line="1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Volume” functions.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1" w:name="page22"/>
    <w:bookmarkEnd w:id="21"/>
    <w:p>
      <w:pPr>
        <w:ind w:left="140" w:right="2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below have caused this Convertible Promissory Note to be duly executed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duly authorized officer as of the date set forth above.</w:t>
      </w:r>
    </w:p>
    <w:p>
      <w:pPr>
        <w:spacing w:after="0" w:line="200" w:lineRule="exact"/>
        <w:rPr>
          <w:sz w:val="20"/>
          <w:szCs w:val="20"/>
          <w:color w:val="auto"/>
        </w:rPr>
      </w:pPr>
    </w:p>
    <w:p>
      <w:pPr>
        <w:spacing w:after="0" w:line="2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REZOLVE AI LIMITED</w:t>
      </w:r>
    </w:p>
    <w:p>
      <w:pPr>
        <w:spacing w:after="0" w:line="182" w:lineRule="exact"/>
        <w:rPr>
          <w:sz w:val="20"/>
          <w:szCs w:val="20"/>
          <w:color w:val="auto"/>
        </w:rPr>
      </w:pPr>
    </w:p>
    <w:tbl>
      <w:tblPr>
        <w:tblLayout w:type="fixed"/>
        <w:tblInd w:w="5640" w:type="dxa"/>
        <w:tblCellMar>
          <w:top w:w="0" w:type="dxa"/>
          <w:left w:w="0" w:type="dxa"/>
          <w:bottom w:w="0" w:type="dxa"/>
          <w:right w:w="0" w:type="dxa"/>
        </w:tblCellMar>
      </w:tblP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Daniel Wagner</w:t>
            </w:r>
          </w:p>
        </w:tc>
      </w:tr>
      <w:tr>
        <w:trPr>
          <w:trHeight w:val="209"/>
        </w:trPr>
        <w:tc>
          <w:tcPr>
            <w:tcW w:w="8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Pr>
          <w:p>
            <w:pPr>
              <w:ind w:left="40"/>
              <w:spacing w:after="0" w:line="209" w:lineRule="exact"/>
              <w:rPr>
                <w:sz w:val="20"/>
                <w:szCs w:val="20"/>
                <w:color w:val="auto"/>
              </w:rPr>
            </w:pPr>
            <w:r>
              <w:rPr>
                <w:rFonts w:ascii="Times New Roman" w:cs="Times New Roman" w:eastAsia="Times New Roman" w:hAnsi="Times New Roman"/>
                <w:sz w:val="22"/>
                <w:szCs w:val="22"/>
                <w:color w:val="auto"/>
              </w:rPr>
              <w:t>Daniel Wagner</w:t>
            </w:r>
          </w:p>
        </w:tc>
      </w:t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CEO</w:t>
            </w: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512445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22" w:name="page23"/>
    <w:bookmarkEnd w:id="22"/>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EXHIBIT I </w:t>
      </w:r>
      <w:r>
        <w:rPr>
          <w:rFonts w:ascii="Times New Roman" w:cs="Times New Roman" w:eastAsia="Times New Roman" w:hAnsi="Times New Roman"/>
          <w:sz w:val="22"/>
          <w:szCs w:val="22"/>
          <w:b w:val="1"/>
          <w:bCs w:val="1"/>
          <w:u w:val="single" w:color="auto"/>
          <w:color w:val="auto"/>
        </w:rPr>
        <w:t>CONVERSION NOTICE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executed by the Holder in order to Convert the Note)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Rezolve AI Limited.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Via Email:</w:t>
      </w:r>
    </w:p>
    <w:p>
      <w:pPr>
        <w:spacing w:after="0" w:line="189" w:lineRule="exact"/>
        <w:rPr>
          <w:sz w:val="20"/>
          <w:szCs w:val="20"/>
          <w:color w:val="auto"/>
        </w:rPr>
      </w:pPr>
    </w:p>
    <w:p>
      <w:pPr>
        <w:jc w:val="both"/>
        <w:ind w:left="20"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The undersigned hereby irrevocably elects to convert a portion of the outstanding and unpaid Conversion Amount of Note No. </w:t>
      </w:r>
      <w:r>
        <w:rPr>
          <w:rFonts w:ascii="Times New Roman" w:cs="Times New Roman" w:eastAsia="Times New Roman" w:hAnsi="Times New Roman"/>
          <w:sz w:val="22"/>
          <w:szCs w:val="22"/>
          <w:u w:val="single" w:color="auto"/>
          <w:color w:val="auto"/>
        </w:rPr>
        <w:t>RZLV-3</w:t>
      </w:r>
      <w:r>
        <w:rPr>
          <w:rFonts w:ascii="Times New Roman" w:cs="Times New Roman" w:eastAsia="Times New Roman" w:hAnsi="Times New Roman"/>
          <w:sz w:val="22"/>
          <w:szCs w:val="22"/>
          <w:color w:val="auto"/>
        </w:rPr>
        <w:t xml:space="preserve"> into Common Shares of </w:t>
      </w:r>
      <w:r>
        <w:rPr>
          <w:rFonts w:ascii="Times New Roman" w:cs="Times New Roman" w:eastAsia="Times New Roman" w:hAnsi="Times New Roman"/>
          <w:sz w:val="22"/>
          <w:szCs w:val="22"/>
          <w:b w:val="1"/>
          <w:bCs w:val="1"/>
          <w:color w:val="auto"/>
        </w:rPr>
        <w:t>Rezolve AI Limited.</w:t>
      </w:r>
      <w:r>
        <w:rPr>
          <w:rFonts w:ascii="Times New Roman" w:cs="Times New Roman" w:eastAsia="Times New Roman" w:hAnsi="Times New Roman"/>
          <w:sz w:val="22"/>
          <w:szCs w:val="22"/>
          <w:color w:val="auto"/>
        </w:rPr>
        <w:t>, according to the conditions stated therein, as of the Conversion Date written below.</w:t>
      </w: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Conversion Date:</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Principal Amount to be Converted:</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Accrued Interest to be Converted:</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Total Conversion Amount to be converted:</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Fixed Price:</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Variable Price:</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Applicable Conversion Price:</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Number of Common Shares to be issued:</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Please issue the Common Shares in the following name and deliver them to the following account:</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Issue to:</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Broker DTC Participant Code:</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Account Number:</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Authorized Signature:</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363855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lvl w:ilvl="1">
      <w:lvlJc w:val="left"/>
      <w:lvlText w:val="(%2)"/>
      <w:numFmt w:val="lowerLetter"/>
      <w:start w:val="1"/>
    </w:lvl>
  </w:abstractNum>
  <w:abstractNum w:abstractNumId="1">
    <w:nsid w:val="257130A3"/>
    <w:multiLevelType w:val="hybridMultilevel"/>
    <w:lvl w:ilvl="0">
      <w:lvlJc w:val="left"/>
      <w:lvlText w:val="(%1)"/>
      <w:numFmt w:val="lowerLetter"/>
      <w:start w:val="5"/>
    </w:lvl>
  </w:abstractNum>
  <w:abstractNum w:abstractNumId="2">
    <w:nsid w:val="62BBD95A"/>
    <w:multiLevelType w:val="hybridMultilevel"/>
    <w:lvl w:ilvl="0">
      <w:lvlJc w:val="left"/>
      <w:lvlText w:val="(%1)"/>
      <w:numFmt w:val="decimal"/>
      <w:start w:val="2"/>
    </w:lvl>
  </w:abstractNum>
  <w:abstractNum w:abstractNumId="3">
    <w:nsid w:val="436C6125"/>
    <w:multiLevelType w:val="hybridMultilevel"/>
    <w:lvl w:ilvl="0">
      <w:lvlJc w:val="left"/>
      <w:lvlText w:val="(%1)"/>
      <w:numFmt w:val="lowerRoman"/>
      <w:start w:val="1"/>
    </w:lvl>
  </w:abstractNum>
  <w:abstractNum w:abstractNumId="4">
    <w:nsid w:val="628C895D"/>
    <w:multiLevelType w:val="hybridMultilevel"/>
    <w:lvl w:ilvl="0">
      <w:lvlJc w:val="left"/>
      <w:lvlText w:val="(%1)"/>
      <w:numFmt w:val="lowerRoman"/>
      <w:start w:val="3"/>
    </w:lvl>
  </w:abstractNum>
  <w:abstractNum w:abstractNumId="5">
    <w:nsid w:val="333AB105"/>
    <w:multiLevelType w:val="hybridMultilevel"/>
    <w:lvl w:ilvl="0">
      <w:lvlJc w:val="left"/>
      <w:lvlText w:val="(%1)"/>
      <w:numFmt w:val="lowerRoman"/>
      <w:start w:val="9"/>
    </w:lvl>
  </w:abstractNum>
  <w:abstractNum w:abstractNumId="6">
    <w:nsid w:val="721DA31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lvl w:ilvl="3">
      <w:lvlJc w:val="left"/>
      <w:lvlText w:val="(%4)"/>
      <w:numFmt w:val="lowerLetter"/>
      <w:start w:val="9"/>
    </w:lvl>
  </w:abstractNum>
  <w:abstractNum w:abstractNumId="7">
    <w:nsid w:val="2443A858"/>
    <w:multiLevelType w:val="hybridMultilevel"/>
    <w:lvl w:ilvl="0">
      <w:lvlJc w:val="left"/>
      <w:lvlText w:val="%1"/>
      <w:numFmt w:val="lowerLetter"/>
      <w:start w:val="1"/>
    </w:lvl>
    <w:lvl w:ilvl="1">
      <w:lvlJc w:val="left"/>
      <w:lvlText w:val="(%2)"/>
      <w:numFmt w:val="lowerLetter"/>
      <w:start w:val="35"/>
    </w:lvl>
  </w:abstractNum>
  <w:abstractNum w:abstractNumId="8">
    <w:nsid w:val="2D1D5AE9"/>
    <w:multiLevelType w:val="hybridMultilevel"/>
    <w:lvl w:ilvl="0">
      <w:lvlJc w:val="left"/>
      <w:lvlText w:val="(%1)"/>
      <w:numFmt w:val="lowerLetter"/>
      <w:start w:val="3"/>
    </w:lvl>
    <w:lvl w:ilvl="1">
      <w:lvlJc w:val="left"/>
      <w:lvlText w:val="(%2)"/>
      <w:numFmt w:val="lowerLetter"/>
      <w:start w:val="9"/>
    </w:lvl>
  </w:abstractNum>
  <w:abstractNum w:abstractNumId="9">
    <w:nsid w:val="6763845E"/>
    <w:multiLevelType w:val="hybridMultilevel"/>
    <w:lvl w:ilvl="0">
      <w:lvlJc w:val="left"/>
      <w:lvlText w:val="%1"/>
      <w:numFmt w:val="lowerRoman"/>
      <w:start w:val="1"/>
    </w:lvl>
    <w:lvl w:ilvl="1">
      <w:lvlJc w:val="left"/>
      <w:lvlText w:val="(%2)"/>
      <w:numFmt w:val="lowerRoman"/>
      <w:start w:val="2"/>
    </w:lvl>
  </w:abstractNum>
  <w:abstractNum w:abstractNumId="10">
    <w:nsid w:val="75A2A8D4"/>
    <w:multiLevelType w:val="hybridMultilevel"/>
    <w:lvl w:ilvl="0">
      <w:lvlJc w:val="left"/>
      <w:lvlText w:val="(%1)"/>
      <w:numFmt w:val="lowerRoman"/>
      <w:start w:val="1"/>
    </w:lvl>
    <w:lvl w:ilvl="1">
      <w:lvlJc w:val="left"/>
      <w:lvlText w:val="%2"/>
      <w:numFmt w:val="lowerRoman"/>
      <w:start w:val="1"/>
    </w:lvl>
  </w:abstractNum>
  <w:abstractNum w:abstractNumId="11">
    <w:nsid w:val="8EDBDAB"/>
    <w:multiLevelType w:val="hybridMultilevel"/>
    <w:lvl w:ilvl="0">
      <w:lvlJc w:val="left"/>
      <w:lvlText w:val="(%1)"/>
      <w:numFmt w:val="lowerLetter"/>
      <w:start w:val="4"/>
    </w:lvl>
    <w:lvl w:ilvl="1">
      <w:lvlJc w:val="left"/>
      <w:lvlText w:val="(%2)"/>
      <w:numFmt w:val="lowerLetter"/>
      <w:start w:val="9"/>
    </w:lvl>
  </w:abstractNum>
  <w:abstractNum w:abstractNumId="12">
    <w:nsid w:val="79838CB2"/>
    <w:multiLevelType w:val="hybridMultilevel"/>
    <w:lvl w:ilvl="0">
      <w:lvlJc w:val="left"/>
      <w:lvlText w:val="(%1)"/>
      <w:numFmt w:val="lowerRoman"/>
      <w:start w:val="2"/>
    </w:lvl>
  </w:abstractNum>
  <w:abstractNum w:abstractNumId="13">
    <w:nsid w:val="4353D0CD"/>
    <w:multiLevelType w:val="hybridMultilevel"/>
    <w:lvl w:ilvl="0">
      <w:lvlJc w:val="left"/>
      <w:lvlText w:val="%1"/>
      <w:numFmt w:val="lowerLetter"/>
      <w:start w:val="1"/>
    </w:lvl>
    <w:lvl w:ilvl="1">
      <w:lvlJc w:val="left"/>
      <w:lvlText w:val="(%2)"/>
      <w:numFmt w:val="lowerLetter"/>
      <w:start w:val="5"/>
    </w:lvl>
  </w:abstractNum>
  <w:abstractNum w:abstractNumId="14">
    <w:nsid w:val="B03E0C6"/>
    <w:multiLevelType w:val="hybridMultilevel"/>
    <w:lvl w:ilvl="0">
      <w:lvlJc w:val="left"/>
      <w:lvlText w:val="(%1)"/>
      <w:numFmt w:val="lowerLetter"/>
      <w:start w:val="2"/>
    </w:lvl>
    <w:lvl w:ilvl="1">
      <w:lvlJc w:val="left"/>
      <w:lvlText w:val="%2"/>
      <w:numFmt w:val="lowerLetter"/>
      <w:start w:val="1"/>
    </w:lvl>
  </w:abstractNum>
  <w:abstractNum w:abstractNumId="15">
    <w:nsid w:val="189A769B"/>
    <w:multiLevelType w:val="hybridMultilevel"/>
    <w:lvl w:ilvl="0">
      <w:lvlJc w:val="left"/>
      <w:lvlText w:val="(%1)"/>
      <w:numFmt w:val="upperLetter"/>
      <w:start w:val="2"/>
    </w:lvl>
    <w:lvl w:ilvl="1">
      <w:lvlJc w:val="left"/>
      <w:lvlText w:val="(%2)"/>
      <w:numFmt w:val="decimal"/>
      <w:start w:val="4"/>
    </w:lvl>
  </w:abstractNum>
  <w:abstractNum w:abstractNumId="16">
    <w:nsid w:val="54E49EB4"/>
    <w:multiLevelType w:val="hybridMultilevel"/>
    <w:lvl w:ilvl="0">
      <w:lvlJc w:val="left"/>
      <w:lvlText w:val="(%1)"/>
      <w:numFmt w:val="lowerRoman"/>
      <w:start w:val="2"/>
    </w:lvl>
    <w:lvl w:ilvl="1">
      <w:lvlJc w:val="left"/>
      <w:lvlText w:val="(%2)"/>
      <w:numFmt w:val="decimal"/>
      <w:start w:val="5"/>
    </w:lvl>
  </w:abstractNum>
  <w:abstractNum w:abstractNumId="17">
    <w:nsid w:val="71F32454"/>
    <w:multiLevelType w:val="hybridMultilevel"/>
    <w:lvl w:ilvl="0">
      <w:lvlJc w:val="left"/>
      <w:lvlText w:val="%1"/>
      <w:numFmt w:val="lowerRoman"/>
      <w:start w:val="1"/>
    </w:lvl>
    <w:lvl w:ilvl="1">
      <w:lvlJc w:val="left"/>
      <w:lvlText w:val="(%2)"/>
      <w:numFmt w:val="decimal"/>
      <w:start w:val="6"/>
    </w:lvl>
    <w:lvl w:ilvl="2">
      <w:lvlJc w:val="left"/>
      <w:lvlText w:val="%3"/>
      <w:numFmt w:val="decimal"/>
      <w:start w:val="1"/>
    </w:lvl>
  </w:abstractNum>
  <w:abstractNum w:abstractNumId="18">
    <w:nsid w:val="2CA88611"/>
    <w:multiLevelType w:val="hybridMultilevel"/>
    <w:lvl w:ilvl="0">
      <w:lvlJc w:val="left"/>
      <w:lvlText w:val="(%1)"/>
      <w:numFmt w:val="lowerRoman"/>
      <w:start w:val="3"/>
    </w:lvl>
    <w:lvl w:ilvl="1">
      <w:lvlJc w:val="left"/>
      <w:lvlText w:val="(%2)"/>
      <w:numFmt w:val="decimal"/>
      <w:start w:val="7"/>
    </w:lvl>
    <w:lvl w:ilvl="2">
      <w:lvlJc w:val="left"/>
      <w:lvlText w:val="(%3)"/>
      <w:numFmt w:val="decimal"/>
      <w:start w:val="8"/>
    </w:lvl>
  </w:abstractNum>
  <w:abstractNum w:abstractNumId="19">
    <w:nsid w:val="836C40E"/>
    <w:multiLevelType w:val="hybridMultilevel"/>
    <w:lvl w:ilvl="0">
      <w:lvlJc w:val="left"/>
      <w:lvlText w:val="(%1)"/>
      <w:numFmt w:val="lowerLetter"/>
      <w:start w:val="2"/>
    </w:lvl>
    <w:lvl w:ilvl="1">
      <w:lvlJc w:val="left"/>
      <w:lvlText w:val="(%2)"/>
      <w:numFmt w:val="lowerRoman"/>
      <w:start w:val="1"/>
    </w:lvl>
  </w:abstractNum>
  <w:abstractNum w:abstractNumId="20">
    <w:nsid w:val="2901D82"/>
    <w:multiLevelType w:val="hybridMultilevel"/>
    <w:lvl w:ilvl="0">
      <w:lvlJc w:val="left"/>
      <w:lvlText w:val="(%1)"/>
      <w:numFmt w:val="lowerRoman"/>
      <w:start w:val="4"/>
    </w:lvl>
  </w:abstractNum>
  <w:abstractNum w:abstractNumId="21">
    <w:nsid w:val="3A95F874"/>
    <w:multiLevelType w:val="hybridMultilevel"/>
    <w:lvl w:ilvl="0">
      <w:lvlJc w:val="left"/>
      <w:lvlText w:val="(%1)"/>
      <w:numFmt w:val="decimal"/>
      <w:start w:val="9"/>
    </w:lvl>
  </w:abstractNum>
  <w:abstractNum w:abstractNumId="22">
    <w:nsid w:val="8138641"/>
    <w:multiLevelType w:val="hybridMultilevel"/>
    <w:lvl w:ilvl="0">
      <w:lvlJc w:val="left"/>
      <w:lvlText w:val="(%1)"/>
      <w:numFmt w:val="lowerLetter"/>
      <w:start w:val="9"/>
    </w:lvl>
    <w:lvl w:ilvl="1">
      <w:lvlJc w:val="left"/>
      <w:lvlText w:val="(%2)"/>
      <w:numFmt w:val="decimal"/>
      <w:start w:val="10"/>
    </w:lvl>
    <w:lvl w:ilvl="2">
      <w:lvlJc w:val="left"/>
      <w:lvlText w:val="(%3)"/>
      <w:numFmt w:val="lowerLetter"/>
      <w:start w:val="1"/>
    </w:lvl>
  </w:abstractNum>
  <w:abstractNum w:abstractNumId="23">
    <w:nsid w:val="1E7FF521"/>
    <w:multiLevelType w:val="hybridMultilevel"/>
    <w:lvl w:ilvl="0">
      <w:lvlJc w:val="left"/>
      <w:lvlText w:val="(%1)"/>
      <w:numFmt w:val="lowerLetter"/>
      <w:start w:val="3"/>
    </w:lvl>
  </w:abstractNum>
  <w:abstractNum w:abstractNumId="24">
    <w:nsid w:val="7C3DBD3D"/>
    <w:multiLevelType w:val="hybridMultilevel"/>
    <w:lvl w:ilvl="0">
      <w:lvlJc w:val="left"/>
      <w:lvlText w:val="(%1)"/>
      <w:numFmt w:val="lowerLetter"/>
      <w:start w:val="4"/>
    </w:lvl>
  </w:abstractNum>
  <w:abstractNum w:abstractNumId="25">
    <w:nsid w:val="737B8DDC"/>
    <w:multiLevelType w:val="hybridMultilevel"/>
    <w:lvl w:ilvl="0">
      <w:lvlJc w:val="left"/>
      <w:lvlText w:val="(%1)"/>
      <w:numFmt w:val="lowerLetter"/>
      <w:start w:val="6"/>
    </w:lvl>
  </w:abstractNum>
  <w:abstractNum w:abstractNumId="26">
    <w:nsid w:val="6CEAF087"/>
    <w:multiLevelType w:val="hybridMultilevel"/>
    <w:lvl w:ilvl="0">
      <w:lvlJc w:val="left"/>
      <w:lvlText w:val="(%1)"/>
      <w:numFmt w:val="lowerRoman"/>
      <w:start w:val="1"/>
    </w:lvl>
  </w:abstractNum>
  <w:abstractNum w:abstractNumId="27">
    <w:nsid w:val="22221A70"/>
    <w:multiLevelType w:val="hybridMultilevel"/>
    <w:lvl w:ilvl="0">
      <w:lvlJc w:val="left"/>
      <w:lvlText w:val="(%1)"/>
      <w:numFmt w:val="lowerLetter"/>
      <w:start w:val="10"/>
    </w:lvl>
  </w:abstractNum>
  <w:abstractNum w:abstractNumId="28">
    <w:nsid w:val="4516DDE9"/>
    <w:multiLevelType w:val="hybridMultilevel"/>
    <w:lvl w:ilvl="0">
      <w:lvlJc w:val="left"/>
      <w:lvlText w:val="%1"/>
      <w:numFmt w:val="lowerLetter"/>
      <w:start w:val="1"/>
    </w:lvl>
    <w:lvl w:ilvl="1">
      <w:lvlJc w:val="left"/>
      <w:lvlText w:val="(%2)"/>
      <w:numFmt w:val="lowerLetter"/>
      <w:start w:val="11"/>
    </w:lvl>
  </w:abstractNum>
  <w:abstractNum w:abstractNumId="29">
    <w:nsid w:val="3006C83E"/>
    <w:multiLevelType w:val="hybridMultilevel"/>
    <w:lvl w:ilvl="0">
      <w:lvlJc w:val="left"/>
      <w:lvlText w:val="(%1)"/>
      <w:numFmt w:val="lowerLetter"/>
      <w:start w:val="12"/>
    </w:lvl>
    <w:lvl w:ilvl="1">
      <w:lvlJc w:val="left"/>
      <w:lvlText w:val="%2"/>
      <w:numFmt w:val="lowerLetter"/>
      <w:start w:val="1"/>
    </w:lvl>
  </w:abstractNum>
  <w:abstractNum w:abstractNumId="30">
    <w:nsid w:val="614FD4A1"/>
    <w:multiLevelType w:val="hybridMultilevel"/>
    <w:lvl w:ilvl="0">
      <w:lvlJc w:val="left"/>
      <w:lvlText w:val="(%1)"/>
      <w:numFmt w:val="lowerLetter"/>
      <w:start w:val="13"/>
    </w:lvl>
  </w:abstractNum>
  <w:abstractNum w:abstractNumId="31">
    <w:nsid w:val="419AC241"/>
    <w:multiLevelType w:val="hybridMultilevel"/>
    <w:lvl w:ilvl="0">
      <w:lvlJc w:val="left"/>
      <w:lvlText w:val="(%1)"/>
      <w:numFmt w:val="lowerLetter"/>
      <w:start w:val="17"/>
    </w:lvl>
  </w:abstractNum>
  <w:abstractNum w:abstractNumId="32">
    <w:nsid w:val="5577F8E1"/>
    <w:multiLevelType w:val="hybridMultilevel"/>
    <w:lvl w:ilvl="0">
      <w:lvlJc w:val="left"/>
      <w:lvlText w:val="(%1)"/>
      <w:numFmt w:val="lowerRoman"/>
      <w:start w:val="5"/>
    </w:lvl>
  </w:abstractNum>
  <w:abstractNum w:abstractNumId="33">
    <w:nsid w:val="440BADFC"/>
    <w:multiLevelType w:val="hybridMultilevel"/>
    <w:lvl w:ilvl="0">
      <w:lvlJc w:val="left"/>
      <w:lvlText w:val="(%1)"/>
      <w:numFmt w:val="lowerLetter"/>
      <w:start w:val="23"/>
    </w:lvl>
  </w:abstractNum>
  <w:abstractNum w:abstractNumId="34">
    <w:nsid w:val="5072367"/>
    <w:multiLevelType w:val="hybridMultilevel"/>
    <w:lvl w:ilvl="0">
      <w:lvlJc w:val="left"/>
      <w:lvlText w:val="(%1)"/>
      <w:numFmt w:val="lowerLetter"/>
      <w:start w:val="26"/>
    </w:lvl>
  </w:abstractNum>
  <w:abstractNum w:abstractNumId="35">
    <w:nsid w:val="3804823E"/>
    <w:multiLevelType w:val="hybridMultilevel"/>
    <w:lvl w:ilvl="0">
      <w:lvlJc w:val="left"/>
      <w:lvlText w:val="(%1)"/>
      <w:numFmt w:val="lowerLetter"/>
      <w:start w:val="9"/>
    </w:lvl>
    <w:lvl w:ilvl="1">
      <w:lvlJc w:val="left"/>
      <w:lvlText w:val="(%2)"/>
      <w:numFmt w:val="lowerLetter"/>
      <w:start w:val="28"/>
    </w:lvl>
  </w:abstractNum>
  <w:abstractNum w:abstractNumId="36">
    <w:nsid w:val="77465F01"/>
    <w:multiLevelType w:val="hybridMultilevel"/>
    <w:lvl w:ilvl="0">
      <w:lvlJc w:val="left"/>
      <w:lvlText w:val="(%1)"/>
      <w:numFmt w:val="lowerLetter"/>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2024-12-05T15:57:29Z</dcterms:created>
  <dcterms:modified xsi:type="dcterms:W3CDTF">2024-12-05T15:57:29Z</dcterms:modified>
</cp:coreProperties>
</file>