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14,861,840.00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14,861,840.00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14,861,840.00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20" w:h="16838" w:orient="portrait"/>
          <w:cols w:equalWidth="0" w:num="2">
            <w:col w:w="1040" w:space="60"/>
            <w:col w:w="8998"/>
          </w:cols>
          <w:pgMar w:left="380" w:top="161" w:right="1440" w:bottom="24"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61" w:right="1440" w:bottom="24"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14,861,840.00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14,861,840.00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14,861,840.00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20" w:h="16838" w:orient="portrait"/>
          <w:cols w:equalWidth="0" w:num="2">
            <w:col w:w="1040" w:space="60"/>
            <w:col w:w="8998"/>
          </w:cols>
          <w:pgMar w:left="380" w:top="161" w:right="1440" w:bottom="24" w:gutter="0" w:footer="0" w:header="0"/>
          <w:type w:val="continuous"/>
        </w:sectPr>
      </w:pPr>
    </w:p>
    <w:bookmarkStart w:id="2" w:name="page3"/>
    <w:bookmarkEnd w:id="2"/>
    <w:p>
      <w:pPr>
        <w:ind w:left="1100"/>
        <w:spacing w:after="0"/>
        <w:rPr>
          <w:sz w:val="20"/>
          <w:szCs w:val="20"/>
          <w:color w:val="auto"/>
        </w:rPr>
      </w:pPr>
      <w:r>
        <w:rPr>
          <w:rFonts w:ascii="Times New Roman" w:cs="Times New Roman" w:eastAsia="Times New Roman" w:hAnsi="Times New Roman"/>
          <w:sz w:val="22"/>
          <w:szCs w:val="22"/>
          <w:color w:val="auto"/>
        </w:rPr>
        <w:t>4.44 %</w:t>
      </w:r>
    </w:p>
    <w:p>
      <w:pPr>
        <w:spacing w:after="0" w:line="4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0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14,861,840.00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14,861,840.00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14,861,840.00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20" w:h="16838" w:orient="portrait"/>
          <w:cols w:equalWidth="0" w:num="2">
            <w:col w:w="1040" w:space="60"/>
            <w:col w:w="8998"/>
          </w:cols>
          <w:pgMar w:left="380" w:top="10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 SACKVILLE STREET, LONDON, United Kingdom W1S 3DN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2118"/>
        <w:spacing w:after="0"/>
        <w:rPr>
          <w:sz w:val="20"/>
          <w:szCs w:val="20"/>
          <w:color w:val="auto"/>
        </w:rPr>
      </w:pPr>
      <w:r>
        <w:rPr>
          <w:rFonts w:ascii="Times New Roman" w:cs="Times New Roman" w:eastAsia="Times New Roman" w:hAnsi="Times New Roman"/>
          <w:sz w:val="22"/>
          <w:szCs w:val="22"/>
          <w:color w:val="auto"/>
        </w:rPr>
        <w:t>(i) Alyeska Investment Group, L.P. (ii) Alyeska Fund GP, LLC (iii) Anand Parekh</w:t>
      </w:r>
    </w:p>
    <w:p>
      <w:pPr>
        <w:sectPr>
          <w:pgSz w:w="11920" w:h="16838" w:orient="portrait"/>
          <w:cols w:equalWidth="0" w:num="1">
            <w:col w:w="10098"/>
          </w:cols>
          <w:pgMar w:left="380" w:top="106" w:right="1440" w:bottom="0" w:gutter="0" w:footer="0" w:header="0"/>
          <w:type w:val="continuous"/>
        </w:sectPr>
      </w:pPr>
    </w:p>
    <w:bookmarkStart w:id="3" w:name="page4"/>
    <w:bookmarkEnd w:id="3"/>
    <w:p>
      <w:pPr>
        <w:ind w:left="927"/>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7" w:right="60" w:hanging="927"/>
        <w:spacing w:after="0" w:line="185" w:lineRule="auto"/>
        <w:tabs>
          <w:tab w:leader="none" w:pos="927"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7"/>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ectPr>
          <w:pgSz w:w="11920" w:h="16838" w:orient="portrait"/>
          <w:cols w:equalWidth="0" w:num="1">
            <w:col w:w="11127"/>
          </w:cols>
          <w:pgMar w:left="373" w:top="121" w:right="418" w:bottom="0" w:gutter="0" w:footer="0" w:header="0"/>
        </w:sectPr>
      </w:pPr>
    </w:p>
    <w:p>
      <w:pPr>
        <w:spacing w:after="0" w:line="1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(k)</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 w:right="360" w:hanging="4"/>
        <w:spacing w:after="0" w:line="256" w:lineRule="auto"/>
        <w:tabs>
          <w:tab w:leader="none" w:pos="2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Alyeska Investment Group, L.P. - Delaware (ii) Alyeska Fund GP, LLC - Delaware (iii) Anand Parekh - United States of America</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Class A Common Stock, $0.001 par value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G75398100</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4" w:right="680" w:hanging="3"/>
        <w:spacing w:after="0" w:line="258" w:lineRule="auto"/>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4" w:hanging="3"/>
        <w:spacing w:after="0" w:line="241"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14,861,840</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20" w:h="16838" w:orient="portrait"/>
          <w:cols w:equalWidth="0" w:num="2">
            <w:col w:w="607" w:space="316"/>
            <w:col w:w="10204"/>
          </w:cols>
          <w:pgMar w:left="373" w:top="121" w:right="418" w:bottom="0" w:gutter="0" w:footer="0" w:header="0"/>
          <w:type w:val="continuous"/>
        </w:sectPr>
      </w:pPr>
    </w:p>
    <w:p>
      <w:pPr>
        <w:ind w:left="927"/>
        <w:spacing w:after="0"/>
        <w:rPr>
          <w:sz w:val="20"/>
          <w:szCs w:val="20"/>
          <w:color w:val="auto"/>
        </w:rPr>
      </w:pPr>
      <w:r>
        <w:rPr>
          <w:rFonts w:ascii="Times New Roman" w:cs="Times New Roman" w:eastAsia="Times New Roman" w:hAnsi="Times New Roman"/>
          <w:sz w:val="22"/>
          <w:szCs w:val="22"/>
          <w:color w:val="auto"/>
        </w:rPr>
        <w:t>4.44% %</w:t>
      </w:r>
    </w:p>
    <w:p>
      <w:pPr>
        <w:spacing w:after="0" w:line="20" w:lineRule="exact"/>
        <w:rPr>
          <w:sz w:val="20"/>
          <w:szCs w:val="20"/>
          <w:color w:val="auto"/>
        </w:rPr>
      </w:pPr>
    </w:p>
    <w:p>
      <w:pPr>
        <w:ind w:left="927" w:hanging="927"/>
        <w:spacing w:after="0"/>
        <w:tabs>
          <w:tab w:leader="none" w:pos="927"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7"/>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20" w:h="16838" w:orient="portrait"/>
          <w:cols w:equalWidth="0" w:num="1">
            <w:col w:w="11127"/>
          </w:cols>
          <w:pgMar w:left="373" w:top="121" w:right="418"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4" w:right="6240" w:hanging="4"/>
        <w:spacing w:after="0" w:line="486" w:lineRule="auto"/>
        <w:tabs>
          <w:tab w:leader="none" w:pos="3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14,861,840</w:t>
      </w:r>
    </w:p>
    <w:p>
      <w:pPr>
        <w:spacing w:after="0" w:line="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4" w:right="5100" w:hanging="4"/>
        <w:spacing w:after="0" w:line="486" w:lineRule="auto"/>
        <w:tabs>
          <w:tab w:leader="none" w:pos="3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14,861,840</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20" w:h="16838" w:orient="portrait"/>
          <w:cols w:equalWidth="0" w:num="2">
            <w:col w:w="607" w:space="316"/>
            <w:col w:w="10204"/>
          </w:cols>
          <w:pgMar w:left="373" w:top="121" w:right="418"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The reporting persons are the beneficial owners of 14,861,840 shares of Common Stock of the Issuer. The percentage calculation assumes that there are currently 334,934,054 outstanding Common Stock of the Issuer, based on the Issuer's Prospectus filed with the Securities and Exchange Commission on December 30,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20" w:h="16838" w:orient="portrait"/>
      <w:cols w:equalWidth="0" w:num="1">
        <w:col w:w="11180"/>
      </w:cols>
      <w:pgMar w:left="380" w:top="121"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2026-02-17T17:55:26Z</dcterms:created>
  <dcterms:modified xsi:type="dcterms:W3CDTF">2026-02-17T17:55:26Z</dcterms:modified>
</cp:coreProperties>
</file>