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Aptos;sans-serif" w:hAnsi="Aptos;sans-serif"/>
          <w:color w:val="000000"/>
          <w:sz w:val="24"/>
        </w:rPr>
      </w:pPr>
      <w:bookmarkStart w:id="0" w:name="425_august_6_2026.htm"/>
      <w:bookmarkStart w:id="1" w:name="ks425_august_6_2026"/>
      <w:bookmarkEnd w:id="0"/>
      <w:bookmarkEnd w:id="1"/>
      <w:r>
        <w:rPr>
          <w:rFonts w:ascii="Aptos;sans-serif" w:hAnsi="Aptos;sans-serif"/>
          <w:color w:val="000000"/>
          <w:sz w:val="24"/>
        </w:rPr>
        <w:t>Filed by Rezolve AI plc</w:t>
      </w:r>
    </w:p>
    <w:p>
      <w:pPr>
        <w:pStyle w:val="TextBody"/>
        <w:bidi w:val="0"/>
        <w:jc w:val="right"/>
        <w:rPr>
          <w:rFonts w:ascii="Aptos;sans-serif" w:hAnsi="Aptos;sans-serif"/>
          <w:color w:val="000000"/>
          <w:sz w:val="24"/>
        </w:rPr>
      </w:pPr>
      <w:r>
        <w:rPr>
          <w:rFonts w:ascii="Aptos;sans-serif" w:hAnsi="Aptos;sans-serif"/>
          <w:color w:val="000000"/>
          <w:sz w:val="24"/>
        </w:rPr>
        <w:t>Pursuant to Rule 425 under the Securities Act of 1933</w:t>
      </w:r>
    </w:p>
    <w:p>
      <w:pPr>
        <w:pStyle w:val="TextBody"/>
        <w:bidi w:val="0"/>
        <w:jc w:val="right"/>
        <w:rPr>
          <w:rFonts w:ascii="Aptos;sans-serif" w:hAnsi="Aptos;sans-serif"/>
          <w:color w:val="000000"/>
          <w:sz w:val="24"/>
        </w:rPr>
      </w:pPr>
      <w:r>
        <w:rPr>
          <w:rFonts w:ascii="Aptos;sans-serif" w:hAnsi="Aptos;sans-serif"/>
          <w:color w:val="000000"/>
          <w:sz w:val="24"/>
        </w:rPr>
        <w:t>and deemed filed pursuant to Rule 14a-12</w:t>
      </w:r>
    </w:p>
    <w:p>
      <w:pPr>
        <w:pStyle w:val="TextBody"/>
        <w:bidi w:val="0"/>
        <w:jc w:val="right"/>
        <w:rPr>
          <w:rFonts w:ascii="Aptos;sans-serif" w:hAnsi="Aptos;sans-serif"/>
          <w:color w:val="000000"/>
          <w:sz w:val="24"/>
        </w:rPr>
      </w:pPr>
      <w:r>
        <w:rPr>
          <w:rFonts w:ascii="Aptos;sans-serif" w:hAnsi="Aptos;sans-serif"/>
          <w:color w:val="000000"/>
          <w:sz w:val="24"/>
        </w:rPr>
        <w:t>under the Securities Exchange Act of 1934</w:t>
      </w:r>
    </w:p>
    <w:p>
      <w:pPr>
        <w:pStyle w:val="TextBody"/>
        <w:bidi w:val="0"/>
        <w:jc w:val="right"/>
        <w:rPr>
          <w:rFonts w:ascii="Aptos;sans-serif" w:hAnsi="Aptos;sans-serif"/>
          <w:color w:val="000000"/>
          <w:sz w:val="24"/>
        </w:rPr>
      </w:pPr>
      <w:r>
        <w:rPr>
          <w:rFonts w:ascii="Aptos;sans-serif" w:hAnsi="Aptos;sans-serif"/>
          <w:color w:val="000000"/>
          <w:sz w:val="24"/>
        </w:rPr>
        <w:t>Subject Company: Commerce.com, Inc.</w:t>
      </w:r>
    </w:p>
    <w:p>
      <w:pPr>
        <w:pStyle w:val="TextBody"/>
        <w:bidi w:val="0"/>
        <w:jc w:val="right"/>
        <w:rPr>
          <w:rFonts w:ascii="Aptos;sans-serif" w:hAnsi="Aptos;sans-serif"/>
          <w:color w:val="000000"/>
          <w:sz w:val="24"/>
        </w:rPr>
      </w:pPr>
      <w:r>
        <w:rPr>
          <w:rFonts w:ascii="Aptos;sans-serif" w:hAnsi="Aptos;sans-serif"/>
          <w:color w:val="000000"/>
          <w:sz w:val="24"/>
        </w:rPr>
        <w:t>(Commission File No. 001-39423)</w:t>
      </w:r>
    </w:p>
    <w:p>
      <w:pPr>
        <w:pStyle w:val="TextBody"/>
        <w:bidi w:val="0"/>
        <w:jc w:val="lef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Commerce.com’s Q2 Results Validate Rezolve Ai’s Strategic Case as Standalone Outlook Deteriorates</w:t>
      </w:r>
    </w:p>
    <w:p>
      <w:pPr>
        <w:pStyle w:val="TextBody"/>
        <w:bidi w:val="0"/>
        <w:jc w:val="left"/>
        <w:rPr/>
      </w:pPr>
      <w:r>
        <w:rPr/>
        <w:t> </w:t>
      </w:r>
    </w:p>
    <w:p>
      <w:pPr>
        <w:pStyle w:val="TextBody"/>
        <w:bidi w:val="0"/>
        <w:jc w:val="left"/>
        <w:rPr>
          <w:rFonts w:ascii="Aptos;sans-serif" w:hAnsi="Aptos;sans-serif"/>
          <w:i/>
          <w:color w:val="000000"/>
          <w:sz w:val="24"/>
        </w:rPr>
      </w:pPr>
      <w:r>
        <w:rPr>
          <w:rFonts w:ascii="Aptos;sans-serif" w:hAnsi="Aptos;sans-serif"/>
          <w:i/>
          <w:color w:val="000000"/>
          <w:sz w:val="24"/>
        </w:rPr>
        <w:t>Flat revenue, declining subscription sales, margin compression and reduced FY26 guidance contrast with Rezolve Ai’s nearly 20x expected H1 growth and reaffirmed approximately $360 million revenue outlook</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NEW YORK, August 6, 2026 – Rezolve Ai PLC (NASDAQ: RZLV), a global leader in agentic commerce and AI-powered customer engagement, today commented on the second-quarter results announced by Commerce.com, Inc. which Rezolve Ai believes validate the concerns it raised when Commerce.com’s Board rejected the proposed strategic combination earlier this year.</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Commerce.com today reported:</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 Second-quarter revenue of $84.5 million, representing growth of just 0.1% year-on-year. When adjusted for inflation of 3.5%, this represents a -3.4% decline;</w:t>
      </w:r>
    </w:p>
    <w:p>
      <w:pPr>
        <w:pStyle w:val="TextBody"/>
        <w:bidi w:val="0"/>
        <w:jc w:val="left"/>
        <w:rPr>
          <w:rFonts w:ascii="Aptos;sans-serif" w:hAnsi="Aptos;sans-serif"/>
          <w:color w:val="000000"/>
          <w:sz w:val="24"/>
        </w:rPr>
      </w:pPr>
      <w:r>
        <w:rPr>
          <w:rFonts w:ascii="Aptos;sans-serif" w:hAnsi="Aptos;sans-serif"/>
          <w:color w:val="000000"/>
          <w:sz w:val="24"/>
        </w:rPr>
        <w:t>- Subscription solutions revenue declining by 1%;</w:t>
      </w:r>
    </w:p>
    <w:p>
      <w:pPr>
        <w:pStyle w:val="TextBody"/>
        <w:bidi w:val="0"/>
        <w:jc w:val="left"/>
        <w:rPr>
          <w:rFonts w:ascii="Aptos;sans-serif" w:hAnsi="Aptos;sans-serif"/>
          <w:color w:val="000000"/>
          <w:sz w:val="24"/>
        </w:rPr>
      </w:pPr>
      <w:r>
        <w:rPr>
          <w:rFonts w:ascii="Aptos;sans-serif" w:hAnsi="Aptos;sans-serif"/>
          <w:color w:val="000000"/>
          <w:sz w:val="24"/>
        </w:rPr>
        <w:t>- GAAP gross margin falling to 75% from 79%;</w:t>
      </w:r>
    </w:p>
    <w:p>
      <w:pPr>
        <w:pStyle w:val="TextBody"/>
        <w:bidi w:val="0"/>
        <w:jc w:val="left"/>
        <w:rPr>
          <w:rFonts w:ascii="Times New Roman" w:hAnsi="Times New Roman"/>
          <w:sz w:val="20"/>
        </w:rPr>
      </w:pPr>
      <w:r>
        <w:rPr>
          <w:rFonts w:ascii="Aptos;sans-serif" w:hAnsi="Aptos;sans-serif"/>
          <w:color w:val="000000"/>
          <w:sz w:val="24"/>
        </w:rPr>
        <w:t>- GMV grew by 14% yet revenue grew only 0.1%, which shows declining revenue per GMV;</w:t>
      </w:r>
      <w:r>
        <w:rPr>
          <w:rFonts w:ascii="Times New Roman" w:hAnsi="Times New Roman"/>
          <w:color w:val="000000"/>
          <w:sz w:val="20"/>
        </w:rPr>
        <w:t xml:space="preserve"> </w:t>
      </w:r>
    </w:p>
    <w:p>
      <w:pPr>
        <w:pStyle w:val="TextBody"/>
        <w:bidi w:val="0"/>
        <w:jc w:val="left"/>
        <w:rPr>
          <w:rFonts w:ascii="Aptos;sans-serif" w:hAnsi="Aptos;sans-serif"/>
          <w:color w:val="000000"/>
          <w:sz w:val="24"/>
        </w:rPr>
      </w:pPr>
      <w:r>
        <w:rPr>
          <w:rFonts w:ascii="Aptos;sans-serif" w:hAnsi="Aptos;sans-serif"/>
          <w:color w:val="000000"/>
          <w:sz w:val="24"/>
        </w:rPr>
        <w:t>- Free cash flow declining to $0.1 million from $11.9 million in the prior-year period;</w:t>
      </w:r>
    </w:p>
    <w:p>
      <w:pPr>
        <w:pStyle w:val="TextBody"/>
        <w:bidi w:val="0"/>
        <w:jc w:val="left"/>
        <w:rPr>
          <w:rFonts w:ascii="Aptos;sans-serif" w:hAnsi="Aptos;sans-serif"/>
          <w:color w:val="000000"/>
          <w:sz w:val="24"/>
        </w:rPr>
      </w:pPr>
      <w:r>
        <w:rPr>
          <w:rFonts w:ascii="Aptos;sans-serif" w:hAnsi="Aptos;sans-serif"/>
          <w:color w:val="000000"/>
          <w:sz w:val="24"/>
        </w:rPr>
        <w:t>- Full-year revenue guidance reduced to $336.5 million–$344.5 million from $347.5 million–$369.5 million; and</w:t>
      </w:r>
    </w:p>
    <w:p>
      <w:pPr>
        <w:pStyle w:val="TextBody"/>
        <w:bidi w:val="0"/>
        <w:jc w:val="left"/>
        <w:rPr>
          <w:rFonts w:ascii="Aptos;sans-serif" w:hAnsi="Aptos;sans-serif"/>
          <w:color w:val="000000"/>
          <w:sz w:val="24"/>
        </w:rPr>
      </w:pPr>
      <w:r>
        <w:rPr>
          <w:rFonts w:ascii="Aptos;sans-serif" w:hAnsi="Aptos;sans-serif"/>
          <w:color w:val="000000"/>
          <w:sz w:val="24"/>
        </w:rPr>
        <w:t>- Full-year non-GAAP operating income guidance reduced to $28 million–$34 million from $34 million–$53 million.</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revised revenue outlook implies a full-year performance ranging from a decline to less than 1% growth against Commerce.com’s 2025 revenue of $342.3 million.</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While cost reductions enabled Commerce.com to report GAAP net income of $1.1 million and adjusted EBITDA of $9.7 million, Rezolve Ai believes these improvements do not address the more fundamental challenge confronting the business: the absence of meaningful growth as commerce rapidly shifts towards proprietary, AI-native infrastructure.</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At 8:42 a.m. Eastern Time, Commerce.com shares were quoted at approximately $2.24 in pre-market trading, down approximately 34% from the previous close, according to Nasdaq market data.</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Daniel M. Wagner, Chairman and CEO of Rezolve Ai, said: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In April, Commerce.com’s Board rejected the opportunity to engage with Rezolve Ai, arguing that our proposal undervalued the company and that its standalone transformation would deliver greater shareholder value. Today, Commerce.com has revealed the flaws in that strategy through its own results: virtually no revenue growth, declining subscription revenue, contracting gross margins, collapsing free cash flow and materially reduced guidance.</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The market’s reaction is understandable. A rebrand is not a transformation, incremental features are not proprietary AI and cost reductions cannot create enduring growth. Commerce.com’s Board rejected strategic change without demonstrating a credible alternative capable of restoring growth.”</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Rezolve’s Growth Trajectory Moves Ahead</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contrast with Rezolve Ai’s performance has continued to widen.</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Based on preliminary, unaudited management accounts, Rezolve Ai expects H1 2026 revenue of approximately $127 million, compared with $6.32 million in H1 2025, representing nearly 20x year-on-year growth and more than 2.7 times Rezolve Ai’s entire audited FY2025 revenue of $46.8 million.</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 has reaffirmed approximately $360 million of revenue guidance for FY2026, representing approximately 7.5 times its FY2025 revenue. That guidance now exceeds the top of Commerce.com’s reduced full-year revenue range.</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 also continues to target an exit 2026 annual recurring revenue run rate of at least $500 million, supported by more than 1,000 enterprise customers, expanding production deployments and partner-led distribution through global technology and consulting relationships.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Mr. Wagner continued:</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Rezolve Ai and Commerce.com are now moving at fundamentally different velocities. One business is attempting to attach AI capabilities to a legacy commerce platform while managing contraction. Rezolve Ai has been built from the ground up for agentic commerce and is scaling proprietary AI, enterprise services and global distribution together.</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Commerce.com still possesses valuable assets, including its merchant ecosystem, enterprise relationships and product-data infrastructure. We continue to believe those assets could generate substantially greater value when combined with Rezolve Ai’s Brain Suite, proprietary AI and transaction capabilities.</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4"/>
        </w:rPr>
        <w:t>The strategic logic for a combination is even stronger today than when we first approached Commerce.com. But time and execution have consequences. Commerce.com and its shareholders are in a weaker position today and any future discussion would necessarily need to reflect current operating performance, market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conditions and the additional risks created by the Board’s delay. Rezolve Ai will remain disciplined and will not ask its shareholders to pay for that delay.”</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 is not announcing a new or amended proposal through this release. The Company remains focused on executing its standalone growth strategy and will report its H1 2026 results and host an investor call on September 1, 2026.</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About Rezolve Ai</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 is a global leader in AI-powered commerce technology. Its Brain Suite platform helps retailers, brands and financial institutions deliver intelligent search, conversational engagement, personalized recommendations and AI-powered transactions through secure, commerce-tuned and auditable artificial intelligence.</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For more information, visit rezolve.com.</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Media Contact</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Urmee Khan</w:t>
      </w:r>
    </w:p>
    <w:p>
      <w:pPr>
        <w:pStyle w:val="TextBody"/>
        <w:bidi w:val="0"/>
        <w:jc w:val="left"/>
        <w:rPr>
          <w:rFonts w:ascii="Aptos;sans-serif" w:hAnsi="Aptos;sans-serif"/>
          <w:color w:val="000000"/>
          <w:sz w:val="24"/>
        </w:rPr>
      </w:pPr>
      <w:r>
        <w:rPr>
          <w:rFonts w:ascii="Aptos;sans-serif" w:hAnsi="Aptos;sans-serif"/>
          <w:color w:val="000000"/>
          <w:sz w:val="24"/>
        </w:rPr>
        <w:t>Global Head of Communications</w:t>
      </w:r>
    </w:p>
    <w:p>
      <w:pPr>
        <w:pStyle w:val="TextBody"/>
        <w:bidi w:val="0"/>
        <w:jc w:val="left"/>
        <w:rPr>
          <w:rFonts w:ascii="Aptos;sans-serif" w:hAnsi="Aptos;sans-serif"/>
          <w:color w:val="000000"/>
          <w:sz w:val="24"/>
        </w:rPr>
      </w:pPr>
      <w:r>
        <w:rPr>
          <w:rFonts w:ascii="Aptos;sans-serif" w:hAnsi="Aptos;sans-serif"/>
          <w:color w:val="000000"/>
          <w:sz w:val="24"/>
        </w:rPr>
        <w:t>urmeekhan@rezolve.com</w:t>
      </w:r>
    </w:p>
    <w:p>
      <w:pPr>
        <w:pStyle w:val="TextBody"/>
        <w:bidi w:val="0"/>
        <w:jc w:val="left"/>
        <w:rPr>
          <w:rFonts w:ascii="Aptos;sans-serif" w:hAnsi="Aptos;sans-serif"/>
          <w:color w:val="000000"/>
          <w:sz w:val="24"/>
        </w:rPr>
      </w:pPr>
      <w:r>
        <w:rPr>
          <w:rFonts w:ascii="Aptos;sans-serif" w:hAnsi="Aptos;sans-serif"/>
          <w:color w:val="000000"/>
          <w:sz w:val="24"/>
        </w:rPr>
        <w:t>+44 7576 094 040</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Investor Contact</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investors@rezolve.com</w:t>
      </w:r>
    </w:p>
    <w:p>
      <w:pPr>
        <w:pStyle w:val="TextBody"/>
        <w:bidi w:val="0"/>
        <w:jc w:val="left"/>
        <w:rPr/>
      </w:pPr>
      <w:r>
        <w:rPr/>
        <w:t> </w:t>
      </w:r>
    </w:p>
    <w:p>
      <w:pPr>
        <w:pStyle w:val="TextBody"/>
        <w:bidi w:val="0"/>
        <w:jc w:val="left"/>
        <w:rPr>
          <w:rFonts w:ascii="Aptos;sans-serif" w:hAnsi="Aptos;sans-serif"/>
          <w:b/>
          <w:i/>
          <w:color w:val="000000"/>
          <w:sz w:val="24"/>
        </w:rPr>
      </w:pPr>
      <w:r>
        <w:rPr>
          <w:rFonts w:ascii="Aptos;sans-serif" w:hAnsi="Aptos;sans-serif"/>
          <w:b/>
          <w:i/>
          <w:color w:val="000000"/>
          <w:sz w:val="24"/>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i/>
          <w:color w:val="000000"/>
          <w:sz w:val="24"/>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i/>
          <w:color w:val="000000"/>
          <w:sz w:val="24"/>
        </w:rPr>
      </w:pPr>
      <w:r>
        <w:rPr>
          <w:rFonts w:ascii="Aptos;sans-serif" w:hAnsi="Aptos;sans-serif"/>
          <w:i/>
          <w:color w:val="000000"/>
          <w:sz w:val="24"/>
        </w:rPr>
        <w:t>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pStyle w:val="TextBody"/>
        <w:bidi w:val="0"/>
        <w:jc w:val="left"/>
        <w:rPr>
          <w:rFonts w:ascii="Aptos;sans-serif" w:hAnsi="Aptos;sans-serif"/>
          <w:b/>
          <w:i/>
          <w:color w:val="000000"/>
          <w:sz w:val="24"/>
        </w:rPr>
      </w:pPr>
      <w:r>
        <w:rPr>
          <w:rFonts w:ascii="Aptos;sans-serif" w:hAnsi="Aptos;sans-serif"/>
          <w:b/>
          <w:i/>
          <w:color w:val="000000"/>
          <w:sz w:val="24"/>
        </w:rPr>
        <w:t>Additional Information Regarding the Proposed Transaction</w:t>
      </w:r>
    </w:p>
    <w:p>
      <w:pPr>
        <w:pStyle w:val="TextBody"/>
        <w:bidi w:val="0"/>
        <w:jc w:val="left"/>
        <w:rPr/>
      </w:pPr>
      <w:r>
        <w:rPr/>
        <w:t> </w:t>
      </w:r>
    </w:p>
    <w:p>
      <w:pPr>
        <w:pStyle w:val="TextBody"/>
        <w:bidi w:val="0"/>
        <w:jc w:val="left"/>
        <w:rPr>
          <w:rFonts w:ascii="Aptos;sans-serif" w:hAnsi="Aptos;sans-serif"/>
          <w:i/>
          <w:color w:val="000000"/>
          <w:sz w:val="24"/>
        </w:rPr>
      </w:pPr>
      <w:r>
        <w:rPr>
          <w:rFonts w:ascii="Aptos;sans-serif" w:hAnsi="Aptos;sans-serif"/>
          <w:i/>
          <w:color w:val="000000"/>
          <w:sz w:val="24"/>
        </w:rPr>
        <w:t>This press release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press release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pStyle w:val="TextBody"/>
        <w:bidi w:val="0"/>
        <w:jc w:val="left"/>
        <w:rPr>
          <w:rFonts w:ascii="Times New Roman" w:hAnsi="Times New Roman"/>
          <w:sz w:val="20"/>
        </w:rPr>
      </w:pPr>
      <w:r>
        <w:rPr>
          <w:rFonts w:ascii="Aptos;sans-serif" w:hAnsi="Aptos;sans-serif"/>
          <w:i/>
          <w:color w:val="000000"/>
          <w:sz w:val="24"/>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i/>
          <w:color w:val="000000"/>
          <w:sz w:val="24"/>
        </w:rPr>
      </w:pPr>
      <w:r>
        <w:rPr>
          <w:rFonts w:ascii="Aptos;sans-serif" w:hAnsi="Aptos;sans-serif"/>
          <w:i/>
          <w:color w:val="000000"/>
          <w:sz w:val="24"/>
        </w:rPr>
        <w:t>security holders will be able to obtain free copies of these documents (if and when available) and other documents filed with the SEC by Rezolve through the web site maintained by the SEC at www.sec.gov, and by visiting Rezolve's investor relations site at investor.rezolve.com.</w:t>
      </w:r>
    </w:p>
    <w:p>
      <w:pPr>
        <w:pStyle w:val="TextBody"/>
        <w:bidi w:val="0"/>
        <w:jc w:val="left"/>
        <w:rPr>
          <w:rFonts w:ascii="Aptos;sans-serif" w:hAnsi="Aptos;sans-serif"/>
          <w:i/>
          <w:color w:val="000000"/>
          <w:sz w:val="24"/>
        </w:rPr>
      </w:pPr>
      <w:r>
        <w:rPr>
          <w:rFonts w:ascii="Aptos;sans-serif" w:hAnsi="Aptos;sans-serif"/>
          <w:i/>
          <w:color w:val="000000"/>
          <w:sz w:val="24"/>
        </w:rPr>
        <w:t>This press release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investor.rezolve.com.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ptos">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1766</Words>
  <Characters>10545</Characters>
  <CharactersWithSpaces>12296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