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333-272751</w:t>
      </w:r>
    </w:p>
    <w:p>
      <w:pPr>
        <w:spacing w:after="0" w:line="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PROXY STATEMENT, DATED JULY 10, 2024</w:t>
      </w:r>
    </w:p>
    <w:p>
      <w:pPr>
        <w:spacing w:after="0" w:line="20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117" w:lineRule="exact"/>
        <w:rPr>
          <w:sz w:val="24"/>
          <w:szCs w:val="24"/>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w:t>
      </w:r>
    </w:p>
    <w:p>
      <w:pPr>
        <w:spacing w:after="0" w:line="196" w:lineRule="exact"/>
        <w:rPr>
          <w:sz w:val="24"/>
          <w:szCs w:val="24"/>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one Rezolve Ordinary Share; (ii) each issued and outstanding warrant of Armada (an “Armada Warrant”) immediately prior to the Merger Effective Time will be exchanged for one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one Rezolve Ordinary Share and each Armada Warrant to be exchanged for one Rezolve Warrant. Accordingly, this proxy statement/prospectus covers the issuance by Rezolve of an aggregate of 173,320,660 Rezolve Ordinary Shares, 7,499,994 Rezolve Warrants and 7,499,994 Rezolve Ordinary Shares issuable upon exercise of Rezolve Warrants.</w:t>
      </w:r>
    </w:p>
    <w:p>
      <w:pPr>
        <w:spacing w:after="0" w:line="188" w:lineRule="exact"/>
        <w:rPr>
          <w:sz w:val="24"/>
          <w:szCs w:val="24"/>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0.82% and 95.89%, respectively, of the Rezolve Ordinary Shares to be outstanding immediately after the Business Combination. If 1,417,687 shares of Armada’s Common Stock (the maximum number of Armada Common Stock that can be redeemed in order to consummate the Business Combination) are converted into cash, such percentages will be approximately 0.00% and 96.68%, respectively, of the voting power of the Rezolve Ordinary Shares.</w:t>
      </w:r>
    </w:p>
    <w:p>
      <w:pPr>
        <w:spacing w:after="0" w:line="194" w:lineRule="exact"/>
        <w:rPr>
          <w:sz w:val="24"/>
          <w:szCs w:val="24"/>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Proposals to approve the Business Combination Agreement and the other matters discussed in this proxy statement/prospectus will be presented at the Special Meeting of Armada scheduled to be held on July 30, 2024 (the “Armada Special Meeting”).</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 Combination, of the Rezolve Ordinary Shares and the Rezolve Warrants on the Nasdaq under the proposed symbols “RZLV” and “RZLV.W,”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Each of Armada and Rezolve is an “emerging growth company” as defined in the Jumpstart Our Business Startups Act of 2012 and has elected to comply with certain reduced public company reporting requirements.</w:t>
      </w:r>
    </w:p>
    <w:p>
      <w:pPr>
        <w:spacing w:after="0" w:line="158" w:lineRule="exact"/>
        <w:rPr>
          <w:sz w:val="20"/>
          <w:szCs w:val="20"/>
          <w:color w:val="auto"/>
        </w:rPr>
      </w:pPr>
    </w:p>
    <w:p>
      <w:pPr>
        <w:ind w:left="120"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 “RISK FACTORS” BEGINNING ON PAGE 48 OF THIS PROXY STATEMENT/PROSPECTUS.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 The notice of meeting is and the proxy statement/prospectus relating to the Business Combination will be available at         .</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proxy statement/prospectus is dated July 10, 2024, and is first being mailed to shareholders of Armada on or about July 10,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Stephen P. Herbert</w:t>
      </w:r>
    </w:p>
    <w:p>
      <w:pPr>
        <w:spacing w:after="0" w:line="1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Stephen P. Herbert, Chief Executive Officer of Armada</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2005 Market Street Suite 3120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Philadelphia, PA 19103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(215) 543-6886</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July 30,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ARMADA ACQUISITION CORP. 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 IS HEREBY GIVEN that a Special Meeting of the stockholders of Armada Acquisition Corp. I, a Delaware corporation (“we,”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“Armada” or the “Company”), will be held on July 30, 2024 at 10:00 a.m., Eastern Time, virtually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Armada has determined that the Special Meeting will be a virtual meeting in order to facilitate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attendance and participation. You or your proxyholder will be able to attend and vote at the Special Meeting online by visiting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https://</w:t>
      </w:r>
      <w:r>
        <w:rPr>
          <w:rFonts w:ascii="Times New Roman" w:cs="Times New Roman" w:eastAsia="Times New Roman" w:hAnsi="Times New Roman"/>
          <w:sz w:val="17"/>
          <w:szCs w:val="17"/>
          <w:i w:val="1"/>
          <w:iCs w:val="1"/>
          <w:color w:val="auto"/>
        </w:rPr>
        <w:t>www.cstproxy.com/armadaacqi/ext2024</w:t>
      </w:r>
      <w:r>
        <w:rPr>
          <w:rFonts w:ascii="Times New Roman" w:cs="Times New Roman" w:eastAsia="Times New Roman" w:hAnsi="Times New Roman"/>
          <w:sz w:val="17"/>
          <w:szCs w:val="17"/>
          <w:color w:val="auto"/>
        </w:rPr>
        <w:t xml:space="preserve"> and using a control number assigned by the transfer agent, Continental Stock Transfer &amp; Trust Company.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 register and receive access to the virtual meeting, registered stockholders and beneficial stockholders (those holding shares through a stock brokerage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account or by a bank or other holder of record) will need to follow the instructions applicable to them provided in the proxy statement/prospectus. Please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that you will only be able to access the Special Meeting by means of remote communication. You are cordially invited to attend the Special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to conduct the following items of business which you will be asked to consider and vote on:</w:t>
      </w:r>
    </w:p>
    <w:p>
      <w:pPr>
        <w:spacing w:after="0" w:line="108" w:lineRule="exact"/>
        <w:rPr>
          <w:sz w:val="20"/>
          <w:szCs w:val="20"/>
          <w:color w:val="auto"/>
        </w:rPr>
      </w:pPr>
    </w:p>
    <w:p>
      <w:pPr>
        <w:ind w:left="1080" w:right="60" w:hanging="532"/>
        <w:spacing w:after="0" w:line="25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w:t>
      </w:r>
    </w:p>
    <w:p>
      <w:pPr>
        <w:spacing w:after="0" w:line="94" w:lineRule="exact"/>
        <w:rPr>
          <w:rFonts w:ascii="Times New Roman" w:cs="Times New Roman" w:eastAsia="Times New Roman" w:hAnsi="Times New Roman"/>
          <w:sz w:val="18"/>
          <w:szCs w:val="18"/>
          <w:color w:val="auto"/>
        </w:rPr>
      </w:pPr>
    </w:p>
    <w:p>
      <w:pPr>
        <w:ind w:left="1540" w:right="140" w:hanging="439"/>
        <w:spacing w:after="0" w:line="253" w:lineRule="auto"/>
        <w:tabs>
          <w:tab w:leader="none" w:pos="15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w:t>
      </w:r>
    </w:p>
    <w:p>
      <w:pPr>
        <w:spacing w:after="0" w:line="5"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be assigned, assume and/or reissue the secured Convertible Notes currently issued by Rezolve Limited and</w:t>
      </w:r>
    </w:p>
    <w:p>
      <w:pPr>
        <w:spacing w:after="0" w:line="9" w:lineRule="exact"/>
        <w:rPr>
          <w:rFonts w:ascii="Times New Roman" w:cs="Times New Roman" w:eastAsia="Times New Roman" w:hAnsi="Times New Roman"/>
          <w:sz w:val="18"/>
          <w:szCs w:val="18"/>
          <w:color w:val="auto"/>
        </w:rPr>
      </w:pPr>
    </w:p>
    <w:p>
      <w:pPr>
        <w:ind w:left="1780" w:hanging="247"/>
        <w:spacing w:after="0"/>
        <w:tabs>
          <w:tab w:leader="none" w:pos="17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Limited will then be wound up;</w:t>
      </w:r>
    </w:p>
    <w:p>
      <w:pPr>
        <w:spacing w:after="0" w:line="112" w:lineRule="exact"/>
        <w:rPr>
          <w:sz w:val="20"/>
          <w:szCs w:val="20"/>
          <w:color w:val="auto"/>
        </w:rPr>
      </w:pPr>
    </w:p>
    <w:p>
      <w:pPr>
        <w:ind w:left="1540" w:right="180" w:hanging="439"/>
        <w:spacing w:after="0" w:line="256"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certain of the Escrow Shares (as defined in the Escrow Agreement) prior to the expiration of the Escrow Period (as defined in the Escrow Agreement).</w:t>
      </w:r>
    </w:p>
    <w:p>
      <w:pPr>
        <w:spacing w:after="0" w:line="81" w:lineRule="exact"/>
        <w:rPr>
          <w:sz w:val="20"/>
          <w:szCs w:val="20"/>
          <w:color w:val="auto"/>
        </w:rPr>
      </w:pPr>
    </w:p>
    <w:p>
      <w:pPr>
        <w:ind w:left="1080" w:right="80" w:hanging="532"/>
        <w:spacing w:after="0" w:line="26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(the “Rezolve Incentive Equity Plan”), which will become effective on or before the Closing Date and will be used by Rezolve following the Closing (the “Incentive Equity Plan Proposal”);</w:t>
      </w:r>
    </w:p>
    <w:p>
      <w:pPr>
        <w:spacing w:after="0" w:line="76"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w:t>
      </w:r>
      <w:r>
        <w:rPr>
          <w:rFonts w:ascii="Times New Roman" w:cs="Times New Roman" w:eastAsia="Times New Roman" w:hAnsi="Times New Roman"/>
          <w:sz w:val="18"/>
          <w:szCs w:val="18"/>
          <w:color w:val="auto"/>
        </w:rPr>
        <w:t>— to consider and vote upon a proposal to amend Armada’s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(as amended, the “Armada Charter”) to eliminate from the Armada Charter the limitation that Armada may not consummate a business combination to the extent Armada would have net tangible assets of less than $5,000,001, which amendment will be effective immediately prior to or upon consummation of a business combination (the “Charter Limitation”) in order to allow Armada to consummate the Business Combination irrespective of whether Armada would exceed the Charter Limitation (the “Charter Limitation Amendment Proposal”); and</w:t>
      </w:r>
    </w:p>
    <w:p>
      <w:pPr>
        <w:spacing w:after="0" w:line="87" w:lineRule="exact"/>
        <w:rPr>
          <w:rFonts w:ascii="Times New Roman" w:cs="Times New Roman" w:eastAsia="Times New Roman" w:hAnsi="Times New Roman"/>
          <w:sz w:val="18"/>
          <w:szCs w:val="18"/>
          <w:color w:val="auto"/>
        </w:rPr>
      </w:pPr>
    </w:p>
    <w:p>
      <w:pPr>
        <w:ind w:left="1080" w:right="80" w:hanging="532"/>
        <w:spacing w:after="0" w:line="278" w:lineRule="auto"/>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16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the accompanying proxy statement/prospectus, which also includes, as Annex A copy of the Business Combination Agreement. </w:t>
      </w:r>
      <w:r>
        <w:rPr>
          <w:rFonts w:ascii="Times New Roman" w:cs="Times New Roman" w:eastAsia="Times New Roman" w:hAnsi="Times New Roman"/>
          <w:sz w:val="18"/>
          <w:szCs w:val="18"/>
          <w:b w:val="1"/>
          <w:bCs w:val="1"/>
          <w:color w:val="auto"/>
        </w:rPr>
        <w:t>We urge you to read carefully the accompanying proxy statement/prospectus in its entirety,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Annexes and accompanying financial statements of Armada and Rezolve.</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record date for the Special Meeting is July 3, 2024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the Incentive Equity Plan Proposal and the Charter Limitation Amendment Proposal require the affirmative vote of a majority of the votes cast at the Special Meeting. </w:t>
      </w:r>
      <w:r>
        <w:rPr>
          <w:rFonts w:ascii="Times New Roman" w:cs="Times New Roman" w:eastAsia="Times New Roman" w:hAnsi="Times New Roman"/>
          <w:sz w:val="18"/>
          <w:szCs w:val="18"/>
          <w:b w:val="1"/>
          <w:bCs w:val="1"/>
          <w:color w:val="auto"/>
        </w:rPr>
        <w:t>The Board unanimously recommends that you vote “FOR” each of these proposals.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ARMADA ACQUISITION CORP. I</w:t>
      </w:r>
    </w:p>
    <w:p>
      <w:pPr>
        <w:spacing w:after="0" w:line="47" w:lineRule="exact"/>
        <w:rPr>
          <w:sz w:val="20"/>
          <w:szCs w:val="20"/>
          <w:color w:val="auto"/>
        </w:rPr>
      </w:pPr>
    </w:p>
    <w:p>
      <w:pPr>
        <w:jc w:val="center"/>
        <w:ind w:left="440" w:right="2280"/>
        <w:spacing w:after="0" w:line="253" w:lineRule="auto"/>
        <w:rPr>
          <w:sz w:val="20"/>
          <w:szCs w:val="20"/>
          <w:color w:val="auto"/>
        </w:rPr>
      </w:pPr>
      <w:r>
        <w:rPr>
          <w:rFonts w:ascii="Times New Roman" w:cs="Times New Roman" w:eastAsia="Times New Roman" w:hAnsi="Times New Roman"/>
          <w:sz w:val="21"/>
          <w:szCs w:val="21"/>
          <w:b w:val="1"/>
          <w:bCs w:val="1"/>
          <w:color w:val="auto"/>
        </w:rPr>
        <w:t>PROSPECTUS FOR UP TO 173,320,660 ORDINARY SHARES 7,499,994 WARRANTS TO PURCHASE ORDINARY SHARES AND 7,499,994 ORDINARY SHARES UNDERLYING WARRANTS</w:t>
      </w: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REZOLVE AI LIMITED[</w:t>
      </w:r>
      <w:r>
        <w:rPr>
          <w:rFonts w:ascii="Times New Roman" w:cs="Times New Roman" w:eastAsia="Times New Roman" w:hAnsi="Times New Roman"/>
          <w:sz w:val="53"/>
          <w:szCs w:val="53"/>
          <w:b w:val="1"/>
          <w:bCs w:val="1"/>
          <w:color w:val="auto"/>
          <w:vertAlign w:val="superscript"/>
        </w:rPr>
        <w:t>2</w:t>
      </w:r>
      <w:r>
        <w:rPr>
          <w:rFonts w:ascii="Times New Roman" w:cs="Times New Roman" w:eastAsia="Times New Roman" w:hAnsi="Times New Roman"/>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120" w:firstLine="440"/>
        <w:spacing w:after="0" w:line="226" w:lineRule="auto"/>
        <w:rPr>
          <w:sz w:val="20"/>
          <w:szCs w:val="20"/>
          <w:color w:val="auto"/>
        </w:rPr>
      </w:pPr>
      <w:r>
        <w:rPr>
          <w:rFonts w:ascii="Times New Roman" w:cs="Times New Roman" w:eastAsia="Times New Roman" w:hAnsi="Times New Roman"/>
          <w:sz w:val="14"/>
          <w:szCs w:val="14"/>
          <w:color w:val="auto"/>
        </w:rPr>
        <w:t>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w:t>
      </w:r>
    </w:p>
    <w:p>
      <w:pPr>
        <w:spacing w:after="0" w:line="3" w:lineRule="exact"/>
        <w:rPr>
          <w:sz w:val="20"/>
          <w:szCs w:val="20"/>
          <w:color w:val="auto"/>
        </w:rPr>
      </w:pPr>
    </w:p>
    <w:p>
      <w:pPr>
        <w:ind w:left="120" w:right="60" w:firstLine="440"/>
        <w:spacing w:after="0" w:line="229" w:lineRule="auto"/>
        <w:rPr>
          <w:sz w:val="20"/>
          <w:szCs w:val="20"/>
          <w:color w:val="auto"/>
        </w:rPr>
      </w:pPr>
      <w:r>
        <w:rPr>
          <w:rFonts w:ascii="Times New Roman" w:cs="Times New Roman" w:eastAsia="Times New Roman" w:hAnsi="Times New Roman"/>
          <w:sz w:val="14"/>
          <w:szCs w:val="14"/>
          <w:color w:val="auto"/>
        </w:rPr>
        <w:t>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one Rezolve ordinary share (an “Ordinary Share”); (ii) each issued and outstanding warrant of Armada (an “Armada Warrant”) immediately prior to the Merger Effective Time will be exchanged for one warrant of Rezolve (a “Rezolve Warrant”);</w:t>
      </w:r>
    </w:p>
    <w:p>
      <w:pPr>
        <w:spacing w:after="0" w:line="1" w:lineRule="exact"/>
        <w:rPr>
          <w:sz w:val="20"/>
          <w:szCs w:val="20"/>
          <w:color w:val="auto"/>
        </w:rPr>
      </w:pPr>
    </w:p>
    <w:p>
      <w:pPr>
        <w:ind w:left="120" w:hanging="4"/>
        <w:spacing w:after="0" w:line="230" w:lineRule="auto"/>
        <w:tabs>
          <w:tab w:leader="none" w:pos="37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issued and outstanding unit of Armada (an “Armada Unit”) immediately prior to the Merger Effective Time will be separated into one share of Armada common stock and one-half of one Armada Warrant, with each share of Armada Common Stock to be exchanged for one Rezolve Ordinary Share and each Armada Warrant to be exchanged for one Rezolve Warrant. Accordingly, this proxy statement/prospectus addresses the issuance by Rezolve of an aggregate of 173,320,660 Rezolve Ordinary Shares, 7,499,994 Rezolve Warrants and 7,499,994 Rezolve Ordinary Shares issuable upon exercise of Rezolve Warrants.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As a result of the Business Combination, Rezolve will become a new listed company and Armada will become a wholly-owned subsidiary of Rezolve.</w:t>
      </w:r>
    </w:p>
    <w:p>
      <w:pPr>
        <w:spacing w:after="0" w:line="27" w:lineRule="exact"/>
        <w:rPr>
          <w:sz w:val="20"/>
          <w:szCs w:val="20"/>
          <w:color w:val="auto"/>
        </w:rPr>
      </w:pPr>
    </w:p>
    <w:p>
      <w:pPr>
        <w:ind w:left="120" w:right="20" w:firstLine="440"/>
        <w:spacing w:after="0" w:line="227" w:lineRule="auto"/>
        <w:rPr>
          <w:sz w:val="20"/>
          <w:szCs w:val="20"/>
          <w:color w:val="auto"/>
        </w:rPr>
      </w:pPr>
      <w:r>
        <w:rPr>
          <w:rFonts w:ascii="Times New Roman" w:cs="Times New Roman" w:eastAsia="Times New Roman" w:hAnsi="Times New Roman"/>
          <w:sz w:val="14"/>
          <w:szCs w:val="14"/>
          <w:color w:val="auto"/>
        </w:rPr>
        <w:t>It is anticipated that, upon completion of the Business Combination (assuming minimum redemptions): (i) Armada’s public stockholders will own approximately 0.82% of the Rezolve Shares; (ii) the Sponsor and current Armada directors will own approximately 2.28% of the Rezolve Shares; and (iii) the existing Rezolve shareholders will own approximately 95.89% of the Rezolve Shares with 75% of the voting power of Rezolve being held by Daniel Wagner as the “Rezolve Founder.” As a result of Daniel Wagner’s ownership of 75% of the voting power of Rezolve, Rezolve will be a “controlled company” within the meaning of the corporate governance standards of the Nasdaq.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w:t>
      </w:r>
    </w:p>
    <w:p>
      <w:pPr>
        <w:spacing w:after="0" w:line="1" w:lineRule="exact"/>
        <w:rPr>
          <w:sz w:val="20"/>
          <w:szCs w:val="20"/>
          <w:color w:val="auto"/>
        </w:rPr>
      </w:pPr>
    </w:p>
    <w:p>
      <w:pPr>
        <w:ind w:left="120" w:right="340" w:firstLine="440"/>
        <w:spacing w:after="0" w:line="251" w:lineRule="auto"/>
        <w:rPr>
          <w:sz w:val="20"/>
          <w:szCs w:val="20"/>
          <w:color w:val="auto"/>
        </w:rPr>
      </w:pPr>
      <w:r>
        <w:rPr>
          <w:rFonts w:ascii="Times New Roman" w:cs="Times New Roman" w:eastAsia="Times New Roman" w:hAnsi="Times New Roman"/>
          <w:sz w:val="14"/>
          <w:szCs w:val="14"/>
          <w:color w:val="auto"/>
        </w:rPr>
        <w:t>Proposals to approve the Business Combination Agreement and the other matters discussed in this proxy statement/prospectus will be presented at the special meeting of Armada Stockholders scheduled to be held on July 30, 2024 in virtual format.</w:t>
      </w:r>
    </w:p>
    <w:p>
      <w:pPr>
        <w:spacing w:after="0" w:line="1" w:lineRule="exact"/>
        <w:rPr>
          <w:sz w:val="20"/>
          <w:szCs w:val="20"/>
          <w:color w:val="auto"/>
        </w:rPr>
      </w:pPr>
    </w:p>
    <w:p>
      <w:pPr>
        <w:ind w:left="120" w:firstLine="440"/>
        <w:spacing w:after="0" w:line="229" w:lineRule="auto"/>
        <w:rPr>
          <w:sz w:val="20"/>
          <w:szCs w:val="20"/>
          <w:color w:val="auto"/>
        </w:rPr>
      </w:pPr>
      <w:r>
        <w:rPr>
          <w:rFonts w:ascii="Times New Roman" w:cs="Times New Roman" w:eastAsia="Times New Roman" w:hAnsi="Times New Roman"/>
          <w:sz w:val="14"/>
          <w:szCs w:val="14"/>
          <w:color w:val="auto"/>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“RZLV” and “RZLV.W,”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beginning on page 48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0"/>
          <w:szCs w:val="20"/>
          <w:color w:val="auto"/>
        </w:rPr>
      </w:pPr>
    </w:p>
    <w:p>
      <w:pPr>
        <w:ind w:left="120" w:right="180" w:firstLine="440"/>
        <w:spacing w:after="0" w:line="233" w:lineRule="auto"/>
        <w:rPr>
          <w:sz w:val="20"/>
          <w:szCs w:val="20"/>
          <w:color w:val="auto"/>
        </w:rPr>
      </w:pPr>
      <w:r>
        <w:rPr>
          <w:rFonts w:ascii="Times New Roman" w:cs="Times New Roman" w:eastAsia="Times New Roman" w:hAnsi="Times New Roman"/>
          <w:sz w:val="14"/>
          <w:szCs w:val="14"/>
          <w:color w:val="auto"/>
        </w:rPr>
        <w:t xml:space="preserve">This proxy statement/prospectus provides you with detailed information about the Business Combination and other matters to be considered at the Armada Special Meeting. We encourage you to carefully read this entire document. </w:t>
      </w:r>
      <w:r>
        <w:rPr>
          <w:rFonts w:ascii="Times New Roman" w:cs="Times New Roman" w:eastAsia="Times New Roman" w:hAnsi="Times New Roman"/>
          <w:sz w:val="14"/>
          <w:szCs w:val="14"/>
          <w:b w:val="1"/>
          <w:bCs w:val="1"/>
          <w:color w:val="auto"/>
        </w:rPr>
        <w:t>YOU SHOULD ALSO CAREFULLY CONSIDER THE RISK FACTORS DESCRIBED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w:t>
      </w:r>
    </w:p>
    <w:p>
      <w:pPr>
        <w:ind w:left="120" w:right="240"/>
        <w:spacing w:after="0" w:line="239" w:lineRule="auto"/>
        <w:rPr>
          <w:sz w:val="20"/>
          <w:szCs w:val="20"/>
          <w:color w:val="auto"/>
        </w:rPr>
      </w:pPr>
      <w:r>
        <w:rPr>
          <w:rFonts w:ascii="Times New Roman" w:cs="Times New Roman" w:eastAsia="Times New Roman" w:hAnsi="Times New Roman"/>
          <w:sz w:val="14"/>
          <w:szCs w:val="14"/>
          <w:b w:val="1"/>
          <w:bCs w:val="1"/>
          <w:color w:val="auto"/>
        </w:rPr>
        <w:t>ON PAGE 48 OF THIS PROXY STATEMENT/PROSPECTUS FOR A DISCUSSION OF INFORMATION THAT SHOULD BE CONSIDERED BEFORE VOTING ON THE PROPOSED BUSINESS COMBINATION AND EACH OF THE OTHER MATTERS TO BE PRESENTED AT THE ARMADA SPECIAL MEETING.</w:t>
      </w:r>
    </w:p>
    <w:p>
      <w:pPr>
        <w:ind w:left="120" w:right="140" w:firstLine="440"/>
        <w:spacing w:after="0" w:line="229"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proxy statement/prospectus is dated July 10, 2024, and is first being mailed to Armada security holders on or about July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1" w:lineRule="exact"/>
        <w:rPr>
          <w:sz w:val="20"/>
          <w:szCs w:val="20"/>
          <w:color w:val="auto"/>
        </w:rPr>
      </w:pPr>
    </w:p>
    <w:p>
      <w:pPr>
        <w:jc w:val="both"/>
        <w:ind w:left="340" w:right="180" w:hanging="224"/>
        <w:spacing w:after="0" w:line="241" w:lineRule="auto"/>
        <w:tabs>
          <w:tab w:leader="none" w:pos="34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Proxy Statement/Prospectus</w:t>
            </w:r>
          </w:p>
        </w:tc>
        <w:tc>
          <w:tcPr>
            <w:tcW w:w="7640" w:type="dxa"/>
            <w:vAlign w:val="bottom"/>
            <w:gridSpan w:val="17"/>
            <w:vMerge w:val="restart"/>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8"/>
            <w:vMerge w:val="continue"/>
          </w:tcPr>
          <w:p>
            <w:pPr>
              <w:spacing w:after="0"/>
              <w:rPr>
                <w:sz w:val="13"/>
                <w:szCs w:val="13"/>
                <w:color w:val="auto"/>
              </w:rPr>
            </w:pPr>
          </w:p>
        </w:tc>
        <w:tc>
          <w:tcPr>
            <w:tcW w:w="7640" w:type="dxa"/>
            <w:vAlign w:val="bottom"/>
            <w:gridSpan w:val="17"/>
            <w:vMerge w:val="continue"/>
          </w:tcPr>
          <w:p>
            <w:pPr>
              <w:spacing w:after="0"/>
              <w:rPr>
                <w:sz w:val="13"/>
                <w:szCs w:val="13"/>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Industry and Market Data</w:t>
            </w:r>
          </w:p>
        </w:tc>
        <w:tc>
          <w:tcPr>
            <w:tcW w:w="8600" w:type="dxa"/>
            <w:vAlign w:val="bottom"/>
            <w:gridSpan w:val="2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Frequently Used Terms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Summary of the Material Terms of the Business Combination</w:t>
            </w:r>
          </w:p>
        </w:tc>
        <w:tc>
          <w:tcPr>
            <w:tcW w:w="6020" w:type="dxa"/>
            <w:vAlign w:val="bottom"/>
            <w:gridSpan w:val="7"/>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7"/>
        </w:trPr>
        <w:tc>
          <w:tcPr>
            <w:tcW w:w="414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Summary of Risk Factors</w:t>
            </w:r>
          </w:p>
        </w:tc>
        <w:tc>
          <w:tcPr>
            <w:tcW w:w="6320" w:type="dxa"/>
            <w:vAlign w:val="bottom"/>
            <w:gridSpan w:val="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Questions and Answers about the Proposals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Summary of the Proxy Statement/Prospectus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7"/>
        </w:trPr>
        <w:tc>
          <w:tcPr>
            <w:tcW w:w="322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Summary Historical Financial Information</w:t>
            </w:r>
          </w:p>
        </w:tc>
        <w:tc>
          <w:tcPr>
            <w:tcW w:w="7240" w:type="dxa"/>
            <w:vAlign w:val="bottom"/>
            <w:gridSpan w:val="1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7"/>
        </w:trPr>
        <w:tc>
          <w:tcPr>
            <w:tcW w:w="30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0" w:type="dxa"/>
            <w:vAlign w:val="bottom"/>
            <w:gridSpan w:val="1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640" w:type="dxa"/>
            <w:vAlign w:val="bottom"/>
            <w:gridSpan w:val="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Special Meeting of Armada Stockholders</w:t>
            </w:r>
          </w:p>
        </w:tc>
        <w:tc>
          <w:tcPr>
            <w:tcW w:w="7480" w:type="dxa"/>
            <w:vAlign w:val="bottom"/>
            <w:gridSpan w:val="1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The Business Combination Proposal</w:t>
            </w:r>
          </w:p>
        </w:tc>
        <w:tc>
          <w:tcPr>
            <w:tcW w:w="7840" w:type="dxa"/>
            <w:vAlign w:val="bottom"/>
            <w:gridSpan w:val="19"/>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Material Tax Considerations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7"/>
        </w:trPr>
        <w:tc>
          <w:tcPr>
            <w:tcW w:w="15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The Nasdaq Proposal</w:t>
            </w:r>
          </w:p>
        </w:tc>
        <w:tc>
          <w:tcPr>
            <w:tcW w:w="500" w:type="dxa"/>
            <w:vAlign w:val="bottom"/>
            <w:tcBorders>
              <w:top w:val="single" w:sz="8" w:color="0000EE"/>
            </w:tcBorders>
            <w:gridSpan w:val="5"/>
          </w:tcPr>
          <w:p>
            <w:pPr>
              <w:spacing w:after="0"/>
              <w:rPr>
                <w:sz w:val="24"/>
                <w:szCs w:val="24"/>
                <w:color w:val="auto"/>
              </w:rPr>
            </w:pPr>
          </w:p>
        </w:tc>
        <w:tc>
          <w:tcPr>
            <w:tcW w:w="8420" w:type="dxa"/>
            <w:vAlign w:val="bottom"/>
            <w:gridSpan w:val="2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The Incentive Equity Plan Proposal</w:t>
            </w:r>
          </w:p>
        </w:tc>
        <w:tc>
          <w:tcPr>
            <w:tcW w:w="7900" w:type="dxa"/>
            <w:vAlign w:val="bottom"/>
            <w:gridSpan w:val="2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The Charter Limitation Amendment Proposal</w:t>
            </w:r>
          </w:p>
        </w:tc>
        <w:tc>
          <w:tcPr>
            <w:tcW w:w="718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The Adjournment Proposal</w:t>
            </w:r>
          </w:p>
        </w:tc>
        <w:tc>
          <w:tcPr>
            <w:tcW w:w="8500" w:type="dxa"/>
            <w:vAlign w:val="bottom"/>
            <w:gridSpan w:val="2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Other Information Related to Armada</w:t>
            </w:r>
          </w:p>
        </w:tc>
        <w:tc>
          <w:tcPr>
            <w:tcW w:w="7740" w:type="dxa"/>
            <w:vAlign w:val="bottom"/>
            <w:gridSpan w:val="1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w w:val="99"/>
              </w:rPr>
              <w:t>Armada’s Management’s Discussion and Analysis of Financial Condition and Results of Operations</w:t>
            </w:r>
          </w:p>
        </w:tc>
        <w:tc>
          <w:tcPr>
            <w:tcW w:w="3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Business of Rezolve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Rezolve’s Management’s Discussion and Analysis of Financial Condition and Results of Operations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7"/>
        </w:trPr>
        <w:tc>
          <w:tcPr>
            <w:tcW w:w="316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Management and Compensation of Rezolve</w:t>
            </w:r>
          </w:p>
        </w:tc>
        <w:tc>
          <w:tcPr>
            <w:tcW w:w="4040" w:type="dxa"/>
            <w:vAlign w:val="bottom"/>
            <w:tcBorders>
              <w:top w:val="single" w:sz="8" w:color="0000EE"/>
            </w:tcBorders>
            <w:gridSpan w:val="11"/>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77"/>
        </w:trPr>
        <w:tc>
          <w:tcPr>
            <w:tcW w:w="2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Beneficial Ownership of Securities</w:t>
            </w:r>
          </w:p>
        </w:tc>
        <w:tc>
          <w:tcPr>
            <w:tcW w:w="7940" w:type="dxa"/>
            <w:vAlign w:val="bottom"/>
            <w:gridSpan w:val="21"/>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7"/>
        </w:trPr>
        <w:tc>
          <w:tcPr>
            <w:tcW w:w="2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240" w:type="dxa"/>
            <w:vAlign w:val="bottom"/>
            <w:gridSpan w:val="2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Description of Rezolve Ordinary Shares, Articles of Association and Certain LegalConsiderations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7"/>
        </w:trPr>
        <w:tc>
          <w:tcPr>
            <w:tcW w:w="704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Comparison of Rights of Armada Stockholders and RezolveShareholders</w:t>
            </w:r>
          </w:p>
        </w:tc>
        <w:tc>
          <w:tcPr>
            <w:tcW w:w="3420" w:type="dxa"/>
            <w:vAlign w:val="bottom"/>
            <w:gridSpan w:val="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7"/>
        </w:trPr>
        <w:tc>
          <w:tcPr>
            <w:tcW w:w="526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Experts</w:t>
            </w:r>
          </w:p>
        </w:tc>
        <w:tc>
          <w:tcPr>
            <w:tcW w:w="5200" w:type="dxa"/>
            <w:vAlign w:val="bottom"/>
            <w:gridSpan w:val="4"/>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8160" w:type="dxa"/>
            <w:vAlign w:val="bottom"/>
            <w:gridSpan w:val="2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7"/>
        </w:trPr>
        <w:tc>
          <w:tcPr>
            <w:tcW w:w="2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8"/>
          </w:tcPr>
          <w:p>
            <w:pPr>
              <w:spacing w:after="0"/>
              <w:rPr>
                <w:sz w:val="24"/>
                <w:szCs w:val="24"/>
                <w:color w:val="auto"/>
              </w:rPr>
            </w:pPr>
          </w:p>
        </w:tc>
        <w:tc>
          <w:tcPr>
            <w:tcW w:w="7600" w:type="dxa"/>
            <w:vAlign w:val="bottom"/>
            <w:gridSpan w:val="1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Annex A Business Combination Agreement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3160" w:type="dxa"/>
            <w:vAlign w:val="bottom"/>
            <w:gridSpan w:val="23"/>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Annex AA Amendment to the Business Combination Agreement</w:t>
            </w:r>
          </w:p>
        </w:tc>
        <w:tc>
          <w:tcPr>
            <w:tcW w:w="5780" w:type="dxa"/>
            <w:vAlign w:val="bottom"/>
            <w:gridSpan w:val="6"/>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AA-1</w:t>
            </w:r>
          </w:p>
        </w:tc>
        <w:tc>
          <w:tcPr>
            <w:tcW w:w="0" w:type="dxa"/>
            <w:vAlign w:val="bottom"/>
          </w:tcPr>
          <w:p>
            <w:pPr>
              <w:spacing w:after="0"/>
              <w:rPr>
                <w:sz w:val="1"/>
                <w:szCs w:val="1"/>
                <w:color w:val="auto"/>
              </w:rPr>
            </w:pPr>
          </w:p>
        </w:tc>
      </w:tr>
      <w:tr>
        <w:trPr>
          <w:trHeight w:val="277"/>
        </w:trPr>
        <w:tc>
          <w:tcPr>
            <w:tcW w:w="104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Annex B Form of Amended and Restated Memorandum and Articles of Association of Rezolve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C Transaction Support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0"/>
        </w:trPr>
        <w:tc>
          <w:tcPr>
            <w:tcW w:w="2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D Form of Warrant Assignment, Assumption and Amendment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77"/>
        </w:trPr>
        <w:tc>
          <w:tcPr>
            <w:tcW w:w="44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Annex E Form of Amended and Restated Warrant Agreement</w:t>
            </w:r>
          </w:p>
        </w:tc>
        <w:tc>
          <w:tcPr>
            <w:tcW w:w="1400" w:type="dxa"/>
            <w:vAlign w:val="bottom"/>
            <w:tcBorders>
              <w:top w:val="single" w:sz="8" w:color="0000EE"/>
            </w:tcBorders>
            <w:gridSpan w:val="2"/>
          </w:tcPr>
          <w:p>
            <w:pPr>
              <w:spacing w:after="0"/>
              <w:rPr>
                <w:sz w:val="24"/>
                <w:szCs w:val="24"/>
                <w:color w:val="auto"/>
              </w:rPr>
            </w:pPr>
          </w:p>
        </w:tc>
        <w:tc>
          <w:tcPr>
            <w:tcW w:w="47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F Form of Investor Rights Agreement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77"/>
        </w:trPr>
        <w:tc>
          <w:tcPr>
            <w:tcW w:w="32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Annex G Form of Equity Incentive Plan</w:t>
            </w:r>
          </w:p>
        </w:tc>
        <w:tc>
          <w:tcPr>
            <w:tcW w:w="738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r>
        <w:trPr>
          <w:trHeight w:val="20"/>
        </w:trPr>
        <w:tc>
          <w:tcPr>
            <w:tcW w:w="2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H Proposed Amendment to Armada’s Second Amended and Restated Certificate of Incorporation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H-1</w:t>
            </w:r>
          </w:p>
        </w:tc>
      </w:tr>
      <w:tr>
        <w:trPr>
          <w:trHeight w:val="277"/>
        </w:trPr>
        <w:tc>
          <w:tcPr>
            <w:tcW w:w="75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Annex I Proposed Amendment to the Stock Escrow Agreement</w:t>
            </w:r>
          </w:p>
        </w:tc>
        <w:tc>
          <w:tcPr>
            <w:tcW w:w="30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I-1</w:t>
            </w:r>
          </w:p>
        </w:tc>
      </w:tr>
      <w:tr>
        <w:trPr>
          <w:trHeight w:val="277"/>
        </w:trPr>
        <w:tc>
          <w:tcPr>
            <w:tcW w:w="45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Annex J Northland Fairness Opinion</w:t>
            </w:r>
          </w:p>
        </w:tc>
        <w:tc>
          <w:tcPr>
            <w:tcW w:w="60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J-1</w:t>
            </w:r>
          </w:p>
        </w:tc>
      </w:tr>
      <w:tr>
        <w:trPr>
          <w:trHeight w:val="20"/>
        </w:trPr>
        <w:tc>
          <w:tcPr>
            <w:tcW w:w="264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2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6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Annex K Marshall &amp; Stevens Fairness Opinion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K-1</w:t>
            </w:r>
          </w:p>
        </w:tc>
      </w:tr>
      <w:tr>
        <w:trPr>
          <w:trHeight w:val="20"/>
        </w:trPr>
        <w:tc>
          <w:tcPr>
            <w:tcW w:w="2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reference to the website of Rezolve in this proxy statement/prospectus does not include or incorporate by reference the information on the website into this proxy statement/prospectus.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Times New Roman" w:cs="Times New Roman" w:eastAsia="Times New Roman" w:hAnsi="Times New Roman"/>
          <w:sz w:val="18"/>
          <w:szCs w:val="18"/>
          <w:i w:val="1"/>
          <w:iCs w:val="1"/>
          <w:color w:val="auto"/>
        </w:rPr>
        <w:t>Rezolve’s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Rezolve</w:t>
      </w:r>
      <w:r>
        <w:rPr>
          <w:rFonts w:ascii="Times New Roman" w:cs="Times New Roman" w:eastAsia="Times New Roman" w:hAnsi="Times New Roman"/>
          <w:sz w:val="18"/>
          <w:szCs w:val="18"/>
          <w:color w:val="auto"/>
        </w:rPr>
        <w:t>” and other sections 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Rezolve has taken such care as we consider reasonable in the extraction and reproduction of information from such data from third party sources.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These and other factors could cause results to differ materially from those expressed in the forecasts or estimates from independent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and us.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makes various references to the following industry publications, research, studies and forecasts:</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Level of Personalization in Retail, dated June 4,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DataReportal (2022), Digital 2021 Global Digital Overview, dated January 26,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BCG-Google, The Next Frontier in Personalization, dated October 16,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Yield, The State of Personalization in Mobile Commerce, dated July 3,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Amazon dominates US ecommerce, though its market share varies by category, dated April 27,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Infographic – Mobile e-Commerce Is up and Poised for Future Growth, Statista Infographics, dated March 2018.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eMarketer, Smartphone Users Worldwide Will Total 1.75 Billion in 2014, dated January 16, 2014.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PwC Global, February 2023 Global Consumer Insights Pulse Survey, dated February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Shopify, Consumer Trends 2023, dated January 2023.</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Promotion Industry Trends Analysis and 2023 Spring Commerce Report, INMAR Intelligence, dated October 6, 2021 and March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Study, Google/Ipsos, dated February 2019.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Personalization 2022, Twilio Segment, 2022.</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RetailMeNot Data Shows Mobile Devices Play a Critical Role for Consumers While Shopping in Physical Retail Stores, RetailMeNot, dated April 30, 2019.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means Armada Acquisition Corp. I, a Delaware Corporation;</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Warrant Agreement” means the warrant agreement, dated August 12, 2021, by and between Armada and Continental Stock Transfer &amp; Trust Company;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Public Shares” means the Armada Common Stock held by public stockholders;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“Adjournment Proposal” has the meaning given to it in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Transaction Proceeds” has the meaning given to it in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Charter” means the second amended and restated certificate of incorporation of Armada,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Common Stock” means an issued and outstanding share of common stock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Initial Shareholders” means the holders of Armada Common Stock and Founder Shares on the Record Date;</w:t>
      </w:r>
    </w:p>
    <w:p>
      <w:pPr>
        <w:spacing w:after="0" w:line="117"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“Armada Letter Agreement” means that certain Letter Agreement, dated as of August 12, 2021, by and among Armada, its officers, its directors and the Sponsor;</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“Armada Share Redemptions” means redemptions by Armada public stockholder (who are not Armada Initial Shareholders or an officer or director of Armada);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Stockholders” means holders of shares of stock in the capital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Unit” means an issued and outstanding unit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 Warrant” means an issued and outstanding warrant of Armada;</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“Articles” means Rezolve’s articles of association as will be in force with effect from Closing;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“Board” means the board of directors of Armada;</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“Business Combination” means the business combination between Armada, Rezolve, Rezolve Merger Sub and the Company as envisaged under the Business Combination Agreement;</w:t>
      </w:r>
    </w:p>
    <w:p>
      <w:pPr>
        <w:spacing w:after="0" w:line="54" w:lineRule="exact"/>
        <w:rPr>
          <w:sz w:val="20"/>
          <w:szCs w:val="20"/>
          <w:color w:val="auto"/>
        </w:rPr>
      </w:pPr>
    </w:p>
    <w:p>
      <w:pPr>
        <w:jc w:val="both"/>
        <w:ind w:left="560" w:right="220"/>
        <w:spacing w:after="0" w:line="266"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8" w:lineRule="exact"/>
        <w:rPr>
          <w:sz w:val="20"/>
          <w:szCs w:val="20"/>
          <w:color w:val="auto"/>
        </w:rPr>
      </w:pPr>
    </w:p>
    <w:p>
      <w:pPr>
        <w:ind w:left="560" w:right="3080"/>
        <w:spacing w:after="0" w:line="397" w:lineRule="auto"/>
        <w:rPr>
          <w:sz w:val="20"/>
          <w:szCs w:val="20"/>
          <w:color w:val="auto"/>
        </w:rPr>
      </w:pPr>
      <w:r>
        <w:rPr>
          <w:rFonts w:ascii="Times New Roman" w:cs="Times New Roman" w:eastAsia="Times New Roman" w:hAnsi="Times New Roman"/>
          <w:sz w:val="17"/>
          <w:szCs w:val="17"/>
          <w:color w:val="auto"/>
        </w:rPr>
        <w:t>“Business Combination Proposal” means the proposal to adopt and approve the Business Combination; “Channels” means the Rezolve’s distribution partners who distribute Rezolve’s offerings and services;</w:t>
      </w:r>
    </w:p>
    <w:p>
      <w:pPr>
        <w:spacing w:after="0" w:line="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“Charter Limitation” means the provision in the Armada Charter that prohibits Armada from consummating a business combination to the extent Armada would have net tangible assets of less than $5,000,001 immediately prior to or upon consummation of a business combination;</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“Charter Limitation Amendment” means the amendment to the Armada Charter removing the Charter Limitation;</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“Charter Limitation Amendment Proposal” means the proposal to adopt and approve the amendment to the Armada Charter to remove the Charter Limitation;</w:t>
      </w:r>
    </w:p>
    <w:p>
      <w:pPr>
        <w:spacing w:after="0" w:line="54" w:lineRule="exact"/>
        <w:rPr>
          <w:sz w:val="20"/>
          <w:szCs w:val="20"/>
          <w:color w:val="auto"/>
        </w:rPr>
      </w:pPr>
    </w:p>
    <w:p>
      <w:pPr>
        <w:ind w:left="560" w:right="4420"/>
        <w:spacing w:after="0" w:line="422" w:lineRule="auto"/>
        <w:rPr>
          <w:sz w:val="20"/>
          <w:szCs w:val="20"/>
          <w:color w:val="auto"/>
        </w:rPr>
      </w:pPr>
      <w:r>
        <w:rPr>
          <w:rFonts w:ascii="Times New Roman" w:cs="Times New Roman" w:eastAsia="Times New Roman" w:hAnsi="Times New Roman"/>
          <w:sz w:val="17"/>
          <w:szCs w:val="17"/>
          <w:color w:val="auto"/>
        </w:rPr>
        <w:t>“Closing” has the meaning given to it in the Business Combination Agreement; “Closing Date” has the meaning given to it in the Business Combination Agreement;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“Combined Company” means Rezolve following the Closing;</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Reorganization” has the meaning given to it in the section entitled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Series A Shares” means the series A preferred shares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“Company Shareholder” means a shareholder in Rezolve on the date of effecting the Company Reorganization;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“Convertible Notes” means the convertible loan notes issued on the terms of the Loan Note Instrument;</w:t>
      </w:r>
    </w:p>
    <w:p>
      <w:pPr>
        <w:spacing w:after="0" w:line="117" w:lineRule="exact"/>
        <w:rPr>
          <w:sz w:val="20"/>
          <w:szCs w:val="20"/>
          <w:color w:val="auto"/>
        </w:rPr>
      </w:pPr>
    </w:p>
    <w:p>
      <w:pPr>
        <w:ind w:left="560" w:right="480"/>
        <w:spacing w:after="0" w:line="282" w:lineRule="auto"/>
        <w:rPr>
          <w:sz w:val="20"/>
          <w:szCs w:val="20"/>
          <w:color w:val="auto"/>
        </w:rPr>
      </w:pPr>
      <w:r>
        <w:rPr>
          <w:rFonts w:ascii="Times New Roman" w:cs="Times New Roman" w:eastAsia="Times New Roman" w:hAnsi="Times New Roman"/>
          <w:sz w:val="18"/>
          <w:szCs w:val="18"/>
          <w:color w:val="auto"/>
        </w:rPr>
        <w:t>“Founder Shares” means, collectively, the shares of Armada Common Stock held by the Sponsor, the chief executive officer of Armada, the president of Armada and independent directors of Armada;</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“GeoZone” means a location-based marketing tool which is a feature of Rezolve’s platform;</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“Incentive Equity Plan Proposal” has the meaning given to it in the section entitled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“Investor Rights Agreement” means the amended form investor rights agreements to be entered into by Rezolve, Armada, the Sponsor and certain stockholders of Rezolve;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Company Shareholders” has the meaning given to it in the Business Combination Agreement;</w:t>
      </w:r>
    </w:p>
    <w:p>
      <w:pPr>
        <w:spacing w:after="0" w:line="117"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“Loan Note Instrument” means the secured convertible loan note instrument dated December 16, 2021, as amended and restated on November 21, 2022, and as further amended and restated on May 23, 2023, to which Rezolve Limited (or after the Pre-Closing Demerger, Rezolve) is party;</w:t>
      </w:r>
    </w:p>
    <w:p>
      <w:pPr>
        <w:spacing w:after="0" w:line="5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“Memorandum and Articles of Association” means the memorandum and articles of association of Rezolve to be adopted with effect from Closing;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means the merger of Armada with and into Rezolve Merger Sub, with Armada continuing as the surviving entity;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Closing” means the closing of the Merger pursuant to the Business Combination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“Merger Effective Time” means the effective time of the Merger;</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“Nasdaq Proposal” has the meaning given to it in the section entitled “</w:t>
      </w:r>
      <w:r>
        <w:rPr>
          <w:rFonts w:ascii="Times New Roman" w:cs="Times New Roman" w:eastAsia="Times New Roman" w:hAnsi="Times New Roman"/>
          <w:sz w:val="18"/>
          <w:szCs w:val="18"/>
          <w:i w:val="1"/>
          <w:iCs w:val="1"/>
          <w:color w:val="auto"/>
        </w:rPr>
        <w:t>Proposal No. 2 — The Nasdaq Proposal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“Ordinary Shares” means the ordinary shares in the capital of Rezolve;</w:t>
      </w:r>
    </w:p>
    <w:p>
      <w:pPr>
        <w:spacing w:after="0" w:line="117"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Rezolve Group” means Rezolve Limited and its consolidated subsidiaries;</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“Private Placement Shares” means the 459,500 shares of Armada purchased simultaneously with the consummation of the Public Offering that are held by the Sponsor;</w:t>
      </w:r>
    </w:p>
    <w:p>
      <w:pPr>
        <w:spacing w:after="0" w:line="54" w:lineRule="exact"/>
        <w:rPr>
          <w:sz w:val="20"/>
          <w:szCs w:val="20"/>
          <w:color w:val="auto"/>
        </w:rPr>
      </w:pPr>
    </w:p>
    <w:p>
      <w:pPr>
        <w:ind w:left="560" w:right="560"/>
        <w:spacing w:after="0" w:line="282" w:lineRule="auto"/>
        <w:rPr>
          <w:sz w:val="20"/>
          <w:szCs w:val="20"/>
          <w:color w:val="auto"/>
        </w:rPr>
      </w:pPr>
      <w:r>
        <w:rPr>
          <w:rFonts w:ascii="Times New Roman" w:cs="Times New Roman" w:eastAsia="Times New Roman" w:hAnsi="Times New Roman"/>
          <w:sz w:val="18"/>
          <w:szCs w:val="18"/>
          <w:color w:val="auto"/>
        </w:rPr>
        <w:t>“Proposals” means, collectively, the Business Combination Proposal, the Nasdaq Proposal, the Incentive Equity Plan Proposal, the Charter Limitation Amendment Proposal and the Adjournment Proposal;</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“Proposed Transactions” means the Business Combination (including the Merger);</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Offering” means Armada’s initial public offering;</w:t>
      </w:r>
    </w:p>
    <w:p>
      <w:pPr>
        <w:spacing w:after="0" w:line="115"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color w:val="auto"/>
        </w:rPr>
        <w:t>“Redemption Rights” means the right of an Armada stockholder to redeem its rights as described in the section entitled “</w:t>
      </w:r>
      <w:r>
        <w:rPr>
          <w:rFonts w:ascii="Times New Roman" w:cs="Times New Roman" w:eastAsia="Times New Roman" w:hAnsi="Times New Roman"/>
          <w:sz w:val="18"/>
          <w:szCs w:val="18"/>
          <w:i w:val="1"/>
          <w:iCs w:val="1"/>
          <w:color w:val="auto"/>
        </w:rPr>
        <w:t>Summary of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Statement/Prospectus — Redemption Rights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560" w:right="400"/>
        <w:spacing w:after="0" w:line="282" w:lineRule="auto"/>
        <w:rPr>
          <w:sz w:val="20"/>
          <w:szCs w:val="20"/>
          <w:color w:val="auto"/>
        </w:rPr>
      </w:pPr>
      <w:r>
        <w:rPr>
          <w:rFonts w:ascii="Times New Roman" w:cs="Times New Roman" w:eastAsia="Times New Roman" w:hAnsi="Times New Roman"/>
          <w:sz w:val="18"/>
          <w:szCs w:val="18"/>
          <w:color w:val="auto"/>
        </w:rPr>
        <w:t>“Rezolve” means Rezolve AI Limited, a private limited liability company registered under the laws of England and Wales with registration number 14573691 and, following its re-registration as a public limited company, Rezolve AI PLC;</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Founder” means Daniel Wagner;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Incentive Equity Plan” means the incentive equity plan to be adopted under the Incentive Equity Plan Proposal;</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Merger Sub” means Rezolve Merger Sub, Inc., a Delaware corporation;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Ordinary Shares” or “Rezolve Shares” means the ordinary shares in Rezolve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Options” means options to subscribe for Rezolve Ordinary Shares;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Shareholder” means a holder of shares of stock in the capital of Rezolve;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Warrant” means a warrant to purchase one Rezolve Ordinary Share;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“SMBs” means small and medium-sized businesses;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Meeting” means the Armada Special Meeting;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“Sponsor” means Armada Sponsor LLC;</w:t>
      </w:r>
    </w:p>
    <w:p>
      <w:pPr>
        <w:spacing w:after="0" w:line="117" w:lineRule="exact"/>
        <w:rPr>
          <w:sz w:val="20"/>
          <w:szCs w:val="20"/>
          <w:color w:val="auto"/>
        </w:rPr>
      </w:pPr>
    </w:p>
    <w:p>
      <w:pPr>
        <w:ind w:left="560" w:right="720"/>
        <w:spacing w:after="0" w:line="282" w:lineRule="auto"/>
        <w:rPr>
          <w:sz w:val="20"/>
          <w:szCs w:val="20"/>
          <w:color w:val="auto"/>
        </w:rPr>
      </w:pPr>
      <w:r>
        <w:rPr>
          <w:rFonts w:ascii="Times New Roman" w:cs="Times New Roman" w:eastAsia="Times New Roman" w:hAnsi="Times New Roman"/>
          <w:sz w:val="18"/>
          <w:szCs w:val="18"/>
          <w:color w:val="auto"/>
        </w:rPr>
        <w:t>“Termination Date” means the date on or prior to fifteen (15) days prior to the last date on which Armada may consummate a Business Combination;</w:t>
      </w:r>
    </w:p>
    <w:p>
      <w:pPr>
        <w:spacing w:after="0" w:line="5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“Transfer Agent” means Continental Stock Transfer &amp; Trust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“Trust Account” means the trust account established by Armada containing the proceeds of its initial public offering;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means the United Kingdom;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“UK Companies Act” means the UK Companies Act 2006 (as amended from time to time);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 refers to the United States of America; and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“USD” refers to the U.S. Dollar.</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320" w:top="455"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SUMMARY OF THE MATERIAL TERMS OF THE BUSINESS COMBINATION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to the Business Combination Agreement are Armada, Rezolve Limited, Rezolve, and Rezolve Merger Sub.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Business Combination Agreement it is provided that:</w:t>
      </w:r>
    </w:p>
    <w:p>
      <w:pPr>
        <w:spacing w:after="0" w:line="131" w:lineRule="exact"/>
        <w:rPr>
          <w:sz w:val="20"/>
          <w:szCs w:val="20"/>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3"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094730" cy="193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473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40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was incorporated in England and Wales as a private limited company on January 5, 2023 under the name Rezolve Group Limited with company number 14573691 and changed its name on June 5, 2023 to Rezolve AI Limited.</w:t>
      </w: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shareholding of Rezolve AI limited and Rezolve limited is common.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0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094730" cy="171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47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40" w:hanging="424"/>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Pre-Closing Demerger but prior to the completion of this offering, Rezolve expects to alter its legal status under English law from a private limited company and re-register as a public limited company and change its name from Rezolve AI Limited to Rezolve AI PLC.</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320" w:top="455" w:right="6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48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89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9493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one Rezolve Warrant that will entitle the holder to purchase one Rezolve Ordinary Share in lieu of one share of Armada Common Stock and otherwise on substantially the same terms and conditions as the Armada Warrants.</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15%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w:t>
      </w:r>
    </w:p>
    <w:p>
      <w:pPr>
        <w:spacing w:after="0" w:line="16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October 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Times New Roman" w:cs="Times New Roman" w:eastAsia="Times New Roman" w:hAnsi="Times New Roman"/>
          <w:sz w:val="17"/>
          <w:szCs w:val="17"/>
          <w:i w:val="1"/>
          <w:iCs w:val="1"/>
          <w:color w:val="auto"/>
        </w:rPr>
        <w:t>The Business Combination Proposal — The Business Combination Agreement — Termination.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the Business Combination, the directors of Rezolve will be Daniel Wagner, Anthony Sharp, Sir David Wright, John Wagner, Stephen Perry, and Derek Smith, all of whom are designated by Rezolve; Douglas Lurio and Stephen Herbert, both of whom are designated by Armada. After the Merger, Anthony Sharp, Sir David Wright, Stephen Perry, Derek Smith and Douglas Lurio will be considered independent directors under the rules of Nasdaq. See the section entitled “</w:t>
      </w:r>
      <w:r>
        <w:rPr>
          <w:rFonts w:ascii="Times New Roman" w:cs="Times New Roman" w:eastAsia="Times New Roman" w:hAnsi="Times New Roman"/>
          <w:sz w:val="18"/>
          <w:szCs w:val="18"/>
          <w:i w:val="1"/>
          <w:iCs w:val="1"/>
          <w:color w:val="auto"/>
        </w:rPr>
        <w:t>Management and Compensation of Rezolve—Management of Rezolve Following the Business Combination.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Times New Roman" w:cs="Times New Roman" w:eastAsia="Times New Roman" w:hAnsi="Times New Roman"/>
          <w:sz w:val="18"/>
          <w:szCs w:val="18"/>
          <w:i w:val="1"/>
          <w:iCs w:val="1"/>
          <w:color w:val="auto"/>
        </w:rPr>
        <w:t>Management and Compensation of Rezolve—Management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Following the Business Combination.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described by Rezolve or Armada in such forward-looking statements, including among other things:</w:t>
      </w:r>
    </w:p>
    <w:p>
      <w:pPr>
        <w:spacing w:after="0" w:line="85" w:lineRule="exact"/>
        <w:rPr>
          <w:sz w:val="20"/>
          <w:szCs w:val="20"/>
          <w:color w:val="auto"/>
        </w:rPr>
      </w:pPr>
    </w:p>
    <w:p>
      <w:pPr>
        <w:ind w:left="1080" w:right="9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Armada’s public shareholders voting against the Business Combination Proposal and/or seeking Redemption;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satisfy the listing criteria of the Nasdaq and to maintain the listing of its securities on Nasdaq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 in which Rezolve is engaged;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Rezolve’s business;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Armada or Rezolve following the announcement of the proposed Business Combination and transactions contemplated thereby;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Business Combination disrupts current plans and operations of Rezolve as a result of the announcement and consummation of the transactions described herein;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ability to recognize the benefits of the Business Combination, which may be affected by, among other things, competition and the ability of Rezolve to grow and manage growth effectively following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strategy and plans;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w:t>
      </w:r>
    </w:p>
    <w:p>
      <w:pPr>
        <w:spacing w:after="0" w:line="225" w:lineRule="exact"/>
        <w:rPr>
          <w:sz w:val="20"/>
          <w:szCs w:val="20"/>
          <w:color w:val="auto"/>
        </w:rPr>
      </w:pPr>
    </w:p>
    <w:p>
      <w:pPr>
        <w:ind w:left="120" w:right="1300"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proxy statement/prospectus.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any of Armada, Rezolve or any person acting on either party’s behalf are expressly qualified in their entirety by the cautionary statements contained or referred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320" w:top="455"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consummation of the Business Combination and the business and financial condition of Rezolve subsequent to Closing are subject to numerous risks and uncertainties, including those highlighted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occurrence of one or more of the events or circumstances described below, alone or in combination with other events or circumstances, may adversely affect Armada and Rezolve Limited’s (prior to the Pre-Closing Demerger) and Rezolve’s (subsequent to the Pre-Closing Demerger) ability to effect a business combination, and may have an adverse effect on the business, cash flows, financial condition and results of operations of Rezolve Limited prior to the Pre-Closing Demerger and that of Rezolve subsequent to the Pre-Closing Demerger. Such risks include, but are not limited to:</w:t>
      </w:r>
    </w:p>
    <w:p>
      <w:pPr>
        <w:spacing w:after="0" w:line="93" w:lineRule="exact"/>
        <w:rPr>
          <w:sz w:val="20"/>
          <w:szCs w:val="20"/>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in the use of proceeds from this offering and may invest or spend the proceeds in ways with which you do not agree and in ways that may not yield a return.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 voting procedures for the Special Meeting, which will be held on July 30, 2024 at 10:00 a.m., Eastern Time, virtually at https://www.cstproxy.com/armadaacqi/ext2024.</w:t>
      </w:r>
    </w:p>
    <w:p>
      <w:pPr>
        <w:spacing w:after="0" w:line="329"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540" w:right="140" w:hanging="424"/>
        <w:spacing w:after="0" w:line="312" w:lineRule="auto"/>
        <w:tabs>
          <w:tab w:leader="none" w:pos="5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being asked to consider and vote upon a proposal to adopt the Business Combination Agreement and approve the Business Combination and transactions contemplated thereby, among other proposals. We have entered into the Business Combination Agreement, pursuant to which:</w:t>
      </w:r>
    </w:p>
    <w:p>
      <w:pPr>
        <w:spacing w:after="0" w:line="45" w:lineRule="exact"/>
        <w:rPr>
          <w:rFonts w:ascii="Times New Roman" w:cs="Times New Roman" w:eastAsia="Times New Roman" w:hAnsi="Times New Roman"/>
          <w:sz w:val="17"/>
          <w:szCs w:val="17"/>
          <w:color w:val="auto"/>
        </w:rPr>
      </w:pPr>
    </w:p>
    <w:p>
      <w:pPr>
        <w:ind w:left="1080" w:right="120" w:hanging="532"/>
        <w:spacing w:after="0" w:line="255" w:lineRule="auto"/>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Rezolve Ordinary Share.</w:t>
      </w:r>
    </w:p>
    <w:p>
      <w:pPr>
        <w:spacing w:after="0" w:line="75"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 xml:space="preserve">Accordingly, this proxy statement/prospectus covers the issuance by Rezolve of an aggregate of 7,499,994 Rezolve Ordinary Shares, 173,320,660 Rezolve Warrants and 7,499,994 Rezolve Ordinary Shares issuable upon exercise of Rezolve Warrants. A copy of the Business Combination Agreement is attached to this proxy statement/prospectus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right="13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statement/prospectus and its Annexes</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35" w:lineRule="exact"/>
        <w:rPr>
          <w:sz w:val="20"/>
          <w:szCs w:val="20"/>
          <w:color w:val="auto"/>
        </w:rPr>
      </w:pPr>
    </w:p>
    <w:p>
      <w:pPr>
        <w:ind w:left="540" w:right="2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will be held at 10:00 a.m. Eastern Time, on July 30, 2024, in a virtual format. Armada’s Stockholders may attend, vote, and examine the list of Stockholders entitled to vote at the Special Meeting by visiting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 entering the control number found on their proxy card, voting instruction form, or notice included in their proxy materials. You may also attend the meeting telephonically by dialing 1 800-450-7155 (toll-free within the United States and Canada) or +1 857-999-9155 (outside of the United States and Canada, standard rates apply). The passcode for telephone access is 3169643#, but please note that you will not be able to vote or ask questions if you choose to participate telephonically. The Special Meeting will be held in virtual meeting format only. You will not be able to attend the Special Meeting physically.</w:t>
      </w:r>
    </w:p>
    <w:p>
      <w:pPr>
        <w:spacing w:after="0" w:line="333"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and vote at a virtual Special Meeting?</w:t>
      </w:r>
    </w:p>
    <w:p>
      <w:pPr>
        <w:spacing w:after="0" w:line="135" w:lineRule="exact"/>
        <w:rPr>
          <w:sz w:val="20"/>
          <w:szCs w:val="20"/>
          <w:color w:val="auto"/>
        </w:rPr>
      </w:pPr>
    </w:p>
    <w:p>
      <w:pPr>
        <w:ind w:left="540" w:right="100" w:hanging="424"/>
        <w:spacing w:after="0" w:line="261"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registered stockholder, you received a Proxy Card from Continental Stock Transfer &amp; Trust Company (“Continental,” or the “Transfer Agent”). The form contains instructions on how to attend the virtual annual meeting including the URL address, along with your control number. You will need your control number for access. If you do not have your control number, contact the Transfer Agent at 917-262-2373, or email proxy@continentalstock.com.</w:t>
      </w:r>
    </w:p>
    <w:p>
      <w:pPr>
        <w:spacing w:after="0" w:line="71" w:lineRule="exact"/>
        <w:rPr>
          <w:rFonts w:ascii="Times New Roman" w:cs="Times New Roman" w:eastAsia="Times New Roman" w:hAnsi="Times New Roman"/>
          <w:sz w:val="18"/>
          <w:szCs w:val="18"/>
          <w:color w:val="auto"/>
        </w:rPr>
      </w:pPr>
    </w:p>
    <w:p>
      <w:pPr>
        <w:ind w:left="56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 pre-register to attend the virtual meeting starting on July 25, 2024, at 10:00 a.m. Eastern Time. Enter the URL address into your browser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enter your control number, name, and email address. Once you pre-register, you can vote or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in the chat box. At the start of the meeting, you will need to re-log in using your control number and will also be prompted to enter your control number if you vote during the meeting. Beneficial owners, who own their investments through a bank or broker, will need to contact the Transfer Agent to receive a control number. If you plan to vote at the meeting you will need to have a legal proxy from your bank or broker, or if you would like to join and not vote, the Transfer Agent will issue you a guest control number with proof of ownership. Either way, you must contact the Transfer Agent for specific instructions on how to receive the control number. They can be contacted at the number or email address above. Please allow up to 72 hours prior to the meeting for processing your control number.</w:t>
      </w:r>
    </w:p>
    <w:p>
      <w:pPr>
        <w:spacing w:after="0" w:line="8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have internet capabilities, you can listen only to the meeting by dialing +1 800-450-7155 inside the U.S. and Canada and</w:t>
      </w:r>
    </w:p>
    <w:p>
      <w:pPr>
        <w:spacing w:after="0" w:line="27" w:lineRule="exact"/>
        <w:rPr>
          <w:rFonts w:ascii="Times New Roman" w:cs="Times New Roman" w:eastAsia="Times New Roman" w:hAnsi="Times New Roman"/>
          <w:sz w:val="18"/>
          <w:szCs w:val="18"/>
          <w:color w:val="auto"/>
        </w:rPr>
      </w:pPr>
    </w:p>
    <w:p>
      <w:pPr>
        <w:ind w:left="5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+1 857-999-9155 outside the U.S. and Canada (standard rates apply); when prompted enter the pin number 3169643#. This is listen-only, you will not be able to vote or enter questions during the meeting.</w:t>
      </w:r>
    </w:p>
    <w:p>
      <w:pPr>
        <w:spacing w:after="0" w:line="326"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approve the following proposals:</w:t>
      </w:r>
    </w:p>
    <w:p>
      <w:pPr>
        <w:spacing w:after="0" w:line="126" w:lineRule="exact"/>
        <w:rPr>
          <w:rFonts w:ascii="Times New Roman" w:cs="Times New Roman" w:eastAsia="Times New Roman" w:hAnsi="Times New Roman"/>
          <w:sz w:val="18"/>
          <w:szCs w:val="18"/>
          <w:color w:val="auto"/>
        </w:rPr>
      </w:pPr>
    </w:p>
    <w:p>
      <w:pPr>
        <w:ind w:left="1080" w:right="260" w:hanging="532"/>
        <w:spacing w:after="0" w:line="262"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described in this proxy statement/prospectus including the Business Combination Agreement, by and among Armada, Rezolve Limited, Rezolve and Rezolve Merger Sub pursuant to which Armada, Rezolve and Rezolve Merger Sub will effect a series of transactions including, among other things:</w:t>
      </w:r>
    </w:p>
    <w:p>
      <w:pPr>
        <w:spacing w:after="0" w:line="85"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280"/>
        <w:spacing w:after="0" w:line="261" w:lineRule="auto"/>
        <w:rPr>
          <w:sz w:val="20"/>
          <w:szCs w:val="20"/>
          <w:color w:val="auto"/>
        </w:rPr>
      </w:pPr>
      <w:r>
        <w:rPr>
          <w:rFonts w:ascii="Times New Roman" w:cs="Times New Roman" w:eastAsia="Times New Roman" w:hAnsi="Times New Roman"/>
          <w:sz w:val="18"/>
          <w:szCs w:val="18"/>
          <w:color w:val="auto"/>
        </w:rPr>
        <w:t>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5" w:lineRule="exact"/>
        <w:rPr>
          <w:sz w:val="20"/>
          <w:szCs w:val="20"/>
          <w:color w:val="auto"/>
        </w:rPr>
      </w:pPr>
    </w:p>
    <w:p>
      <w:pPr>
        <w:ind w:left="1540" w:right="18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and</w:t>
      </w:r>
    </w:p>
    <w:p>
      <w:pPr>
        <w:spacing w:after="0" w:line="88"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Stock Escrow Agreement, dated August 12, 2021 (the “Escrow Agreement”), to allow Continental Stock Transfer &amp; Trust Company to distribute the Escrow Shares (as defined in the Escrow Agreement) prior to the expiration of the Escrow Period (as defined in the Escrow Agreement).</w:t>
      </w:r>
    </w:p>
    <w:p>
      <w:pPr>
        <w:spacing w:after="0" w:line="81" w:lineRule="exact"/>
        <w:rPr>
          <w:sz w:val="20"/>
          <w:szCs w:val="20"/>
          <w:color w:val="auto"/>
        </w:rPr>
      </w:pPr>
    </w:p>
    <w:p>
      <w:pPr>
        <w:ind w:left="1080" w:right="180" w:hanging="532"/>
        <w:spacing w:after="0" w:line="262"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4 — The Charter Limitation Amendment Proposal — </w:t>
      </w:r>
      <w:r>
        <w:rPr>
          <w:rFonts w:ascii="Times New Roman" w:cs="Times New Roman" w:eastAsia="Times New Roman" w:hAnsi="Times New Roman"/>
          <w:sz w:val="18"/>
          <w:szCs w:val="18"/>
          <w:color w:val="auto"/>
        </w:rPr>
        <w:t>to consider and vote upon a proposal to amend the Armada Charter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eliminate from the Armada Charter the limitation that Armada may not consummate a business combination to the extent Armada would have net tangible assets of less than $5,000,001, which charter amendment will be effective immediately prior to or upon consummation of a business combination in order to allow Armada to consummate the Business Combination irrespective of whether Armada would exceed the Charter Limitation; and</w:t>
      </w:r>
    </w:p>
    <w:p>
      <w:pPr>
        <w:spacing w:after="0" w:line="84" w:lineRule="exact"/>
        <w:rPr>
          <w:rFonts w:ascii="Times New Roman" w:cs="Times New Roman" w:eastAsia="Times New Roman" w:hAnsi="Times New Roman"/>
          <w:sz w:val="18"/>
          <w:szCs w:val="18"/>
          <w:color w:val="auto"/>
        </w:rPr>
      </w:pPr>
    </w:p>
    <w:p>
      <w:pPr>
        <w:ind w:left="1080" w:right="100" w:hanging="532"/>
        <w:spacing w:after="0" w:line="278" w:lineRule="auto"/>
        <w:tabs>
          <w:tab w:leader="none" w:pos="10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5 — Adjournment Proposal </w:t>
      </w:r>
      <w:r>
        <w:rPr>
          <w:rFonts w:ascii="Times New Roman" w:cs="Times New Roman" w:eastAsia="Times New Roman" w:hAnsi="Times New Roman"/>
          <w:sz w:val="17"/>
          <w:szCs w:val="17"/>
          <w:color w:val="auto"/>
        </w:rPr>
        <w:t>— To approve, if necessary, the adjournment of the Special Meeting to a later date or dates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31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p>
    <w:p>
      <w:pPr>
        <w:spacing w:after="0" w:line="135" w:lineRule="exact"/>
        <w:rPr>
          <w:sz w:val="20"/>
          <w:szCs w:val="20"/>
          <w:color w:val="auto"/>
        </w:rPr>
      </w:pPr>
    </w:p>
    <w:p>
      <w:pPr>
        <w:ind w:left="540" w:right="220" w:hanging="424"/>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will be consummated only if the Business Combination Proposal, the Nasdaq Proposal, and the Incentive Equity Plan Proposal are approved at the Special Meeting.</w:t>
      </w:r>
    </w:p>
    <w:p>
      <w:pPr>
        <w:spacing w:after="0" w:line="54" w:lineRule="exact"/>
        <w:rPr>
          <w:sz w:val="20"/>
          <w:szCs w:val="20"/>
          <w:color w:val="auto"/>
        </w:rPr>
      </w:pPr>
    </w:p>
    <w:p>
      <w:pPr>
        <w:ind w:left="560" w:right="540"/>
        <w:spacing w:after="0" w:line="261" w:lineRule="auto"/>
        <w:rPr>
          <w:sz w:val="20"/>
          <w:szCs w:val="20"/>
          <w:color w:val="auto"/>
        </w:rPr>
      </w:pPr>
      <w:r>
        <w:rPr>
          <w:rFonts w:ascii="Times New Roman" w:cs="Times New Roman" w:eastAsia="Times New Roman" w:hAnsi="Times New Roman"/>
          <w:sz w:val="18"/>
          <w:szCs w:val="18"/>
          <w:color w:val="auto"/>
        </w:rPr>
        <w:t>It is important for you to note that in the event that the Business Combination Proposal, the Nasdaq Proposal, or the Incentive Equity Plan Proposal does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72" w:lineRule="exact"/>
        <w:rPr>
          <w:sz w:val="20"/>
          <w:szCs w:val="20"/>
          <w:color w:val="auto"/>
        </w:rPr>
      </w:pPr>
    </w:p>
    <w:p>
      <w:pPr>
        <w:ind w:left="560"/>
        <w:spacing w:after="0" w:line="268" w:lineRule="auto"/>
        <w:rPr>
          <w:sz w:val="20"/>
          <w:szCs w:val="20"/>
          <w:color w:val="auto"/>
        </w:rPr>
      </w:pPr>
      <w:r>
        <w:rPr>
          <w:rFonts w:ascii="Times New Roman" w:cs="Times New Roman" w:eastAsia="Times New Roman" w:hAnsi="Times New Roman"/>
          <w:sz w:val="17"/>
          <w:szCs w:val="17"/>
          <w:color w:val="auto"/>
        </w:rPr>
        <w:t xml:space="preserve">Our current deadline under our current amended and restated certificate of incorporation to consummate the Business Combination is August 17, 2024.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 On February 15, 2024, the stockholders approved a third amendment to the Armada Charter to extend the Combination Period for up to six additional months or until no later than August 17, 2024. On February 13, 2024, the Company deposited $49,900 into the Trust Account thereby extending the Combination Period until March 17, 2024, and on each of March 13, 2024, April 16, 2024, May 17, 2024 and June 17, 2024 the Company deposited $49,900 into the Trust Account thereby extending the Combination Period for an additional four months or until July 17, 2024. Armada intends to extend the Combination Period to August 17, 2024. The Business Combination Agreement may be terminated and the Business Combination may be abandoned by Armada or Rezolve, if the effective time of the Business Combination has not occurred on or prior to fifteen (15) days prior to the last date on which Armada may consummate a Business Combination (which is currently on or prior to July 2, 2024);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right to terminate the Business Combination Agreement will not be available to Armada or Rezolve, respectively, if such party’s respective breach of any of its respective covenants or obligations under the Business Combination Agreement shall have primarily caused the failure to consummate the transactions under the Business Combination Agreement on or before the Termination Date.</w:t>
      </w:r>
    </w:p>
    <w:p>
      <w:pPr>
        <w:spacing w:after="0" w:line="322"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providing stockholders with the opportunity to vote on the Business Combination?</w:t>
      </w:r>
    </w:p>
    <w:p>
      <w:pPr>
        <w:spacing w:after="0" w:line="135" w:lineRule="exact"/>
        <w:rPr>
          <w:sz w:val="20"/>
          <w:szCs w:val="20"/>
          <w:color w:val="auto"/>
        </w:rPr>
      </w:pPr>
    </w:p>
    <w:p>
      <w:pPr>
        <w:ind w:left="540" w:hanging="424"/>
        <w:spacing w:after="0" w:line="25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w:t>
      </w:r>
    </w:p>
    <w:p>
      <w:pPr>
        <w:spacing w:after="0" w:line="336"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revenues and profits/losses has Rezolve generated in the last two years?</w:t>
      </w:r>
    </w:p>
    <w:p>
      <w:pPr>
        <w:spacing w:after="0" w:line="135" w:lineRule="exact"/>
        <w:rPr>
          <w:sz w:val="20"/>
          <w:szCs w:val="20"/>
          <w:color w:val="auto"/>
        </w:rPr>
      </w:pPr>
    </w:p>
    <w:p>
      <w:pPr>
        <w:ind w:left="540" w:right="280" w:hanging="424"/>
        <w:spacing w:after="0" w:line="312"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has generated total revenues of $0.1 million and $0.1 million for the years ended December 31, 2023 and December 31, 2022, respectively, and total losses of $31.7 million and $110.7 million for the years ended December 31, 2023 and December 31, 2022, respectively.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Rezolve be acquired in the Business Combination?</w:t>
      </w:r>
    </w:p>
    <w:p>
      <w:pPr>
        <w:spacing w:after="0" w:line="135" w:lineRule="exact"/>
        <w:rPr>
          <w:sz w:val="20"/>
          <w:szCs w:val="20"/>
          <w:color w:val="auto"/>
        </w:rPr>
      </w:pPr>
    </w:p>
    <w:p>
      <w:pPr>
        <w:ind w:left="540" w:right="80" w:hanging="424"/>
        <w:spacing w:after="0" w:line="258"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more information. As a result of the Business Combination, Rezolve will become a new public company, and Armada will become a wholly-owned subsidiary of Rezolve.</w:t>
      </w:r>
    </w:p>
    <w:p>
      <w:pPr>
        <w:spacing w:after="0" w:line="328"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my securities trade on a stock exchange?</w:t>
      </w:r>
    </w:p>
    <w:p>
      <w:pPr>
        <w:spacing w:after="0" w:line="135" w:lineRule="exact"/>
        <w:rPr>
          <w:sz w:val="20"/>
          <w:szCs w:val="20"/>
          <w:color w:val="auto"/>
        </w:rPr>
      </w:pPr>
    </w:p>
    <w:p>
      <w:pPr>
        <w:ind w:left="540" w:right="680" w:hanging="424"/>
        <w:spacing w:after="0" w:line="312" w:lineRule="auto"/>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We intend to apply for the listing of Rezolve Ordinary Shares and Rezolve Warrants on the Nasdaq under the symbols “RZLV” and “RZLV.W,” respectively, upon the Closing. Rezolve will not have units traded following the consummation of the Business Combination.</w:t>
      </w:r>
    </w:p>
    <w:p>
      <w:pPr>
        <w:spacing w:after="0" w:line="284"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our Common Stock?</w:t>
      </w:r>
    </w:p>
    <w:p>
      <w:pPr>
        <w:spacing w:after="0" w:line="135" w:lineRule="exact"/>
        <w:rPr>
          <w:sz w:val="20"/>
          <w:szCs w:val="20"/>
          <w:color w:val="auto"/>
        </w:rPr>
      </w:pPr>
    </w:p>
    <w:p>
      <w:pPr>
        <w:ind w:left="54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the last trading date immediately prior to the public announcement of the Business Combination, Armada Common Stock, Armada Warrants, and Armada Units closed at $9.75, $0.4899, and $10.01, respectively. On June 20, 2024, most recent practicable date prior to the date of this proxy statement/prospectus, Armada Common Stock, Armada Warrants and Armada Units closed at $11.45, $0.12 and $11.43, respectively.</w:t>
      </w:r>
    </w:p>
    <w:p>
      <w:pPr>
        <w:spacing w:after="0" w:line="324"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20" w:hanging="424"/>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w:t>
      </w:r>
    </w:p>
    <w:p>
      <w:pPr>
        <w:spacing w:after="0" w:line="320" w:lineRule="exact"/>
        <w:rPr>
          <w:sz w:val="20"/>
          <w:szCs w:val="20"/>
          <w:color w:val="auto"/>
        </w:rPr>
      </w:pPr>
    </w:p>
    <w:p>
      <w:pPr>
        <w:ind w:left="540" w:right="560" w:hanging="424"/>
        <w:spacing w:after="0" w:line="28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Armada’s Board of Directors obtain a third-party fairness opinion in determining whether or not to proceed with the Business Combination?</w:t>
      </w:r>
    </w:p>
    <w:p>
      <w:pPr>
        <w:spacing w:after="0" w:line="64" w:lineRule="exact"/>
        <w:rPr>
          <w:sz w:val="20"/>
          <w:szCs w:val="20"/>
          <w:color w:val="auto"/>
        </w:rPr>
      </w:pPr>
    </w:p>
    <w:p>
      <w:pPr>
        <w:ind w:left="540" w:right="100" w:hanging="424"/>
        <w:spacing w:after="0" w:line="254"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K </w:t>
      </w:r>
      <w:r>
        <w:rPr>
          <w:rFonts w:ascii="Times New Roman" w:cs="Times New Roman" w:eastAsia="Times New Roman" w:hAnsi="Times New Roman"/>
          <w:sz w:val="18"/>
          <w:szCs w:val="18"/>
          <w:color w:val="auto"/>
        </w:rPr>
        <w:t>hereto.</w:t>
      </w:r>
    </w:p>
    <w:p>
      <w:pPr>
        <w:spacing w:after="0" w:line="80"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Opinion of Northland</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management and board of directors of Rezolve change in the Business Combination?</w:t>
      </w:r>
    </w:p>
    <w:p>
      <w:pPr>
        <w:spacing w:after="0" w:line="135" w:lineRule="exact"/>
        <w:rPr>
          <w:sz w:val="20"/>
          <w:szCs w:val="20"/>
          <w:color w:val="auto"/>
        </w:rPr>
      </w:pPr>
    </w:p>
    <w:p>
      <w:pPr>
        <w:ind w:left="540" w:right="140" w:hanging="424"/>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all of the executive officers of Rezolve will remain with the post-combination company. Upon completion of the Business Combination, Stephen Herbert and Douglas Lurio will be appointed as 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w:t>
      </w:r>
    </w:p>
    <w:p>
      <w:pPr>
        <w:spacing w:after="0" w:line="328" w:lineRule="exact"/>
        <w:rPr>
          <w:sz w:val="20"/>
          <w:szCs w:val="20"/>
          <w:color w:val="auto"/>
        </w:rPr>
      </w:pPr>
    </w:p>
    <w:p>
      <w:pPr>
        <w:ind w:left="540" w:right="240" w:hanging="424"/>
        <w:spacing w:after="0" w:line="286" w:lineRule="auto"/>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Armada and the Rezolve equity holders hold in the post-combination company after the Closing?</w:t>
      </w:r>
    </w:p>
    <w:p>
      <w:pPr>
        <w:spacing w:after="0" w:line="64" w:lineRule="exact"/>
        <w:rPr>
          <w:sz w:val="20"/>
          <w:szCs w:val="20"/>
          <w:color w:val="auto"/>
        </w:rPr>
      </w:pPr>
    </w:p>
    <w:p>
      <w:pPr>
        <w:ind w:left="54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anticipated that, upon completion of the Business Combination, assuming minimum redemptions: (i) the Armada public stockholders will have an ownership interest of approximately 0.82% in Rezolve (not including shares beneficially owned by our Sponsor); (ii) our Sponsor will own approximately 2.28% of Rezolve; and (iii) the existing Rezolve equity holders will own approximately 95.89%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 to this proxy statement/prospectus as </w:t>
      </w:r>
      <w:r>
        <w:rPr>
          <w:rFonts w:ascii="Times New Roman" w:cs="Times New Roman" w:eastAsia="Times New Roman" w:hAnsi="Times New Roman"/>
          <w:sz w:val="18"/>
          <w:szCs w:val="18"/>
          <w:i w:val="1"/>
          <w:iCs w:val="1"/>
          <w:color w:val="auto"/>
        </w:rPr>
        <w:t>Annex G</w:t>
      </w:r>
      <w:r>
        <w:rPr>
          <w:rFonts w:ascii="Times New Roman" w:cs="Times New Roman" w:eastAsia="Times New Roman" w:hAnsi="Times New Roman"/>
          <w:sz w:val="18"/>
          <w:szCs w:val="18"/>
          <w:color w:val="auto"/>
        </w:rPr>
        <w:t>. If the actual facts are different than these assumptions, the percentage ownership retained by Armada’s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 Combined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 — The Incentive Equity Plan Proposal</w:t>
      </w:r>
      <w:r>
        <w:rPr>
          <w:rFonts w:ascii="Times New Roman" w:cs="Times New Roman" w:eastAsia="Times New Roman" w:hAnsi="Times New Roman"/>
          <w:sz w:val="18"/>
          <w:szCs w:val="18"/>
          <w:color w:val="auto"/>
        </w:rPr>
        <w:t>.”</w:t>
      </w:r>
    </w:p>
    <w:p>
      <w:pPr>
        <w:spacing w:after="0" w:line="339"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we obtain new financing in connection with the Business Combination?</w:t>
      </w:r>
    </w:p>
    <w:p>
      <w:pPr>
        <w:spacing w:after="0" w:line="135" w:lineRule="exact"/>
        <w:rPr>
          <w:sz w:val="20"/>
          <w:szCs w:val="20"/>
          <w:color w:val="auto"/>
        </w:rPr>
      </w:pPr>
    </w:p>
    <w:p>
      <w:pPr>
        <w:ind w:left="540" w:right="12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w:t>
      </w:r>
    </w:p>
    <w:p>
      <w:pPr>
        <w:spacing w:after="0" w:line="71"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Times New Roman" w:cs="Times New Roman" w:eastAsia="Times New Roman" w:hAnsi="Times New Roman"/>
          <w:sz w:val="18"/>
          <w:szCs w:val="18"/>
          <w:i w:val="1"/>
          <w:iCs w:val="1"/>
          <w:color w:val="auto"/>
        </w:rPr>
        <w:t>Rezolve’s Management’s Discussion and Analysis—Liquidity and Capital Resources—Yorkville Capital Commitment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560" w:right="2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Notwithstanding the financing available under the Standby Purchase Agreement, Armada or Rezolve may need to obtain additional financing to consummate the Business Combination, but there is no assurance that new financing will be available to us on commercially acceptable terms.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100" w:hanging="424"/>
        <w:spacing w:after="0" w:line="26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right="360" w:hanging="424"/>
        <w:spacing w:after="0" w:line="286"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Armada will have sufficient funds, together with the proceeds in its Trust Account, to fund the aggregate purchase price?</w:t>
      </w:r>
    </w:p>
    <w:p>
      <w:pPr>
        <w:spacing w:after="0" w:line="64" w:lineRule="exact"/>
        <w:rPr>
          <w:sz w:val="20"/>
          <w:szCs w:val="20"/>
          <w:color w:val="auto"/>
        </w:rPr>
      </w:pPr>
    </w:p>
    <w:p>
      <w:pPr>
        <w:ind w:left="540" w:right="20" w:hanging="424"/>
        <w:spacing w:after="0" w:line="25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use the funds in the Trust Account to: (i) pay Company stockholders who properly exercise their redemption rights; and, provided that there are funds remaining after this payment and (ii) pay certain other fees, costs and expenses (including deferred underwriting commissions,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w:t>
      </w:r>
    </w:p>
    <w:p>
      <w:pPr>
        <w:spacing w:after="0" w:line="333"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Nasdaq Proposal?</w:t>
      </w:r>
    </w:p>
    <w:p>
      <w:pPr>
        <w:spacing w:after="0" w:line="135" w:lineRule="exact"/>
        <w:rPr>
          <w:sz w:val="20"/>
          <w:szCs w:val="20"/>
          <w:color w:val="auto"/>
        </w:rPr>
      </w:pPr>
    </w:p>
    <w:p>
      <w:pPr>
        <w:ind w:left="540" w:right="66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Nasdaq Proposal in order to comply with Nasdaq Listing Rule 5635, which requires stockholder approval of certain transactions that result in a change of control of Armada.</w:t>
      </w:r>
    </w:p>
    <w:p>
      <w:pPr>
        <w:spacing w:after="0" w:line="53" w:lineRule="exact"/>
        <w:rPr>
          <w:rFonts w:ascii="Times New Roman" w:cs="Times New Roman" w:eastAsia="Times New Roman" w:hAnsi="Times New Roman"/>
          <w:sz w:val="18"/>
          <w:szCs w:val="18"/>
          <w:color w:val="auto"/>
        </w:rPr>
      </w:pPr>
    </w:p>
    <w:p>
      <w:pPr>
        <w:ind w:left="56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Rezolve expects, on a pro forma basis, to issue approximately 172,065,473 Rezolve Ordinary Shares (assuming Maximum Redemptions)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Incentive Equity Plan Proposal?</w:t>
      </w:r>
    </w:p>
    <w:p>
      <w:pPr>
        <w:spacing w:after="0" w:line="135" w:lineRule="exact"/>
        <w:rPr>
          <w:sz w:val="20"/>
          <w:szCs w:val="20"/>
          <w:color w:val="auto"/>
        </w:rPr>
      </w:pPr>
    </w:p>
    <w:p>
      <w:pPr>
        <w:ind w:left="540" w:right="500" w:hanging="424"/>
        <w:spacing w:after="0" w:line="26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Times New Roman" w:cs="Times New Roman" w:eastAsia="Times New Roman" w:hAnsi="Times New Roman"/>
          <w:sz w:val="18"/>
          <w:szCs w:val="18"/>
          <w:i w:val="1"/>
          <w:iCs w:val="1"/>
          <w:color w:val="auto"/>
        </w:rPr>
        <w:t>The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Charter Limitation Amendment Proposal?</w:t>
      </w:r>
    </w:p>
    <w:p>
      <w:pPr>
        <w:spacing w:after="0" w:line="135" w:lineRule="exact"/>
        <w:rPr>
          <w:sz w:val="20"/>
          <w:szCs w:val="20"/>
          <w:color w:val="auto"/>
        </w:rPr>
      </w:pPr>
    </w:p>
    <w:p>
      <w:pPr>
        <w:ind w:left="540" w:right="8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Charter Limitation Amendment proposal Armada stockholders because, in the judgment of Armada’s board of the directors, the adoption of the proposed amendments to the Armada Charter, prior to the Closing is necessary to facilitate the Business Combination. Please see the section entitled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w:t>
      </w:r>
    </w:p>
    <w:p>
      <w:pPr>
        <w:spacing w:after="0" w:line="320"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Armada proposing the Adjournment Proposal?</w:t>
      </w:r>
    </w:p>
    <w:p>
      <w:pPr>
        <w:spacing w:after="0" w:line="135" w:lineRule="exact"/>
        <w:rPr>
          <w:sz w:val="20"/>
          <w:szCs w:val="20"/>
          <w:color w:val="auto"/>
        </w:rPr>
      </w:pPr>
    </w:p>
    <w:p>
      <w:pPr>
        <w:ind w:left="540" w:hanging="424"/>
        <w:spacing w:after="0" w:line="258"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the Incentive Equity Plan Proposal or the Charter Limitation Amendment Proposal, but no other proposal if the Business Combination Proposal, the Nasdaq Proposal, the Incentive Equity Plan Proposal and the Charter Limitation Amendment Proposal are approved. 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sell your shares of Armada Common Stock before the Special Meeting?</w:t>
      </w:r>
    </w:p>
    <w:p>
      <w:pPr>
        <w:spacing w:after="0" w:line="135" w:lineRule="exact"/>
        <w:rPr>
          <w:sz w:val="20"/>
          <w:szCs w:val="20"/>
          <w:color w:val="auto"/>
        </w:rPr>
      </w:pPr>
    </w:p>
    <w:p>
      <w:pPr>
        <w:ind w:left="540" w:right="60" w:hanging="424"/>
        <w:spacing w:after="0" w:line="25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w:t>
      </w:r>
    </w:p>
    <w:p>
      <w:pPr>
        <w:spacing w:after="0" w:line="33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35" w:lineRule="exact"/>
        <w:rPr>
          <w:sz w:val="20"/>
          <w:szCs w:val="20"/>
          <w:color w:val="auto"/>
        </w:rPr>
      </w:pPr>
    </w:p>
    <w:p>
      <w:pPr>
        <w:ind w:left="540" w:right="20" w:hanging="424"/>
        <w:spacing w:after="0" w:line="256"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 Abstentions will be counted as present for the purpose of determining a quorum. Our Sponsor, who currently owns approximately 74.95% of our issued and outstanding shares of Armada Common Stock, will count towards this quorum. In the absence of a quorum, the chairman of the Special Meeting has power to adjourn the Special Meeting. As of the record date for the Special Meeting, 3,563,595 shares of Armada Common Stock (including the Founder Shares) would be required to achieve a quorum.</w:t>
      </w:r>
    </w:p>
    <w:p>
      <w:pPr>
        <w:spacing w:after="0" w:line="332"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1" w:lineRule="exact"/>
        <w:rPr>
          <w:sz w:val="20"/>
          <w:szCs w:val="20"/>
          <w:color w:val="auto"/>
        </w:rPr>
      </w:pPr>
    </w:p>
    <w:p>
      <w:pPr>
        <w:ind w:left="540" w:hanging="424"/>
        <w:spacing w:after="0" w:line="257"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Business Combination Proposal: </w:t>
      </w:r>
      <w:r>
        <w:rPr>
          <w:rFonts w:ascii="Times New Roman" w:cs="Times New Roman" w:eastAsia="Times New Roman" w:hAnsi="Times New Roman"/>
          <w:sz w:val="18"/>
          <w:szCs w:val="18"/>
          <w:color w:val="auto"/>
        </w:rPr>
        <w:t>The approval of the Business Combination Proposal requires the affirmative vote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w:t>
      </w:r>
    </w:p>
    <w:p>
      <w:pPr>
        <w:spacing w:after="0" w:line="74" w:lineRule="exact"/>
        <w:rPr>
          <w:rFonts w:ascii="Times New Roman" w:cs="Times New Roman" w:eastAsia="Times New Roman" w:hAnsi="Times New Roman"/>
          <w:sz w:val="18"/>
          <w:szCs w:val="18"/>
          <w:color w:val="auto"/>
        </w:rPr>
      </w:pPr>
    </w:p>
    <w:p>
      <w:pPr>
        <w:ind w:left="56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Nasdaq Proposal: </w:t>
      </w:r>
      <w:r>
        <w:rPr>
          <w:rFonts w:ascii="Times New Roman" w:cs="Times New Roman" w:eastAsia="Times New Roman" w:hAnsi="Times New Roman"/>
          <w:sz w:val="18"/>
          <w:szCs w:val="18"/>
          <w:color w:val="auto"/>
        </w:rPr>
        <w:t>The approval of the Nasdaq Proposal requires the affirmative vote of a majority of the votes cast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w:t>
      </w:r>
    </w:p>
    <w:p>
      <w:pPr>
        <w:spacing w:after="0" w:line="68" w:lineRule="exact"/>
        <w:rPr>
          <w:rFonts w:ascii="Times New Roman" w:cs="Times New Roman" w:eastAsia="Times New Roman" w:hAnsi="Times New Roman"/>
          <w:sz w:val="18"/>
          <w:szCs w:val="18"/>
          <w:color w:val="auto"/>
        </w:rPr>
      </w:pPr>
    </w:p>
    <w:p>
      <w:pPr>
        <w:ind w:left="5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Incentive Equity Plan Proposal: </w:t>
      </w:r>
      <w:r>
        <w:rPr>
          <w:rFonts w:ascii="Times New Roman" w:cs="Times New Roman" w:eastAsia="Times New Roman" w:hAnsi="Times New Roman"/>
          <w:sz w:val="18"/>
          <w:szCs w:val="18"/>
          <w:color w:val="auto"/>
        </w:rPr>
        <w:t>The Incentive Equity Plan Proposal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w:t>
      </w:r>
    </w:p>
    <w:p>
      <w:pPr>
        <w:spacing w:after="0" w:line="68" w:lineRule="exact"/>
        <w:rPr>
          <w:rFonts w:ascii="Times New Roman" w:cs="Times New Roman" w:eastAsia="Times New Roman" w:hAnsi="Times New Roman"/>
          <w:sz w:val="18"/>
          <w:szCs w:val="18"/>
          <w:color w:val="auto"/>
        </w:rPr>
      </w:pPr>
    </w:p>
    <w:p>
      <w:pPr>
        <w:ind w:left="560" w:right="1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Charter Limitation Amendment Proposal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Charter Limitation Amendment Proposal requires the affirmative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Charter Limitation Amendment Proposal.</w:t>
      </w:r>
    </w:p>
    <w:p>
      <w:pPr>
        <w:spacing w:after="0" w:line="68" w:lineRule="exact"/>
        <w:rPr>
          <w:rFonts w:ascii="Times New Roman" w:cs="Times New Roman" w:eastAsia="Times New Roman" w:hAnsi="Times New Roman"/>
          <w:sz w:val="18"/>
          <w:szCs w:val="18"/>
          <w:color w:val="auto"/>
        </w:rPr>
      </w:pPr>
    </w:p>
    <w:p>
      <w:pPr>
        <w:ind w:left="560" w:right="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Adjournment Proposal: </w:t>
      </w:r>
      <w:r>
        <w:rPr>
          <w:rFonts w:ascii="Times New Roman" w:cs="Times New Roman" w:eastAsia="Times New Roman" w:hAnsi="Times New Roman"/>
          <w:sz w:val="18"/>
          <w:szCs w:val="18"/>
          <w:color w:val="auto"/>
        </w:rPr>
        <w:t>The approval of the Adjournment Proposal requires the affirmative vote of a majority of the votes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right="920" w:hanging="424"/>
        <w:spacing w:after="0" w:line="286" w:lineRule="auto"/>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Armada, the Sponsor or Armada’s directors or officers or their affiliates purchase shares in connection with the Business Combination?</w:t>
      </w:r>
    </w:p>
    <w:p>
      <w:pPr>
        <w:spacing w:after="0" w:line="64" w:lineRule="exact"/>
        <w:rPr>
          <w:sz w:val="20"/>
          <w:szCs w:val="20"/>
          <w:color w:val="auto"/>
        </w:rPr>
      </w:pPr>
    </w:p>
    <w:p>
      <w:pPr>
        <w:ind w:left="540" w:right="60" w:hanging="424"/>
        <w:spacing w:after="0" w:line="253"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w:t>
      </w:r>
    </w:p>
    <w:p>
      <w:pPr>
        <w:spacing w:after="0" w:line="336"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you have at the Special Meeting?</w:t>
      </w:r>
    </w:p>
    <w:p>
      <w:pPr>
        <w:spacing w:after="0" w:line="135" w:lineRule="exact"/>
        <w:rPr>
          <w:sz w:val="20"/>
          <w:szCs w:val="20"/>
          <w:color w:val="auto"/>
        </w:rPr>
      </w:pPr>
    </w:p>
    <w:p>
      <w:pPr>
        <w:ind w:left="540" w:hanging="424"/>
        <w:spacing w:after="0" w:line="266"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is entitled to one vote on each proposal presented at the Special Meeting for each share of Armada Common Stock held of record by such stockholder as of July 3, 2024, the record date for the Special Meeting. As of the close of business on the record date, there were 7,127,187 outstanding shares of our Armada Common Stock and founder shares entitled to vote at the Special Meeting.</w:t>
      </w:r>
    </w:p>
    <w:p>
      <w:pPr>
        <w:spacing w:after="0" w:line="320" w:lineRule="exact"/>
        <w:rPr>
          <w:sz w:val="20"/>
          <w:szCs w:val="20"/>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our Sponsor, directors and officers vote?</w:t>
      </w:r>
    </w:p>
    <w:p>
      <w:pPr>
        <w:spacing w:after="0" w:line="135" w:lineRule="exact"/>
        <w:rPr>
          <w:sz w:val="20"/>
          <w:szCs w:val="20"/>
          <w:color w:val="auto"/>
        </w:rPr>
      </w:pPr>
    </w:p>
    <w:p>
      <w:pPr>
        <w:ind w:left="540" w:right="420" w:hanging="424"/>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IPO, we entered into agreements with our Sponsor, pursuant to which the Sponsor agreed to vote any shares of Armada Common Stock owned by it in favor of the Business Combination Proposal. Currently, our Sponsor owns approximately 74.95% of our issued and outstanding shares of Armada Common Stock and will be able to vote all such shares at the Special Meeting.</w:t>
      </w:r>
    </w:p>
    <w:p>
      <w:pPr>
        <w:spacing w:after="0" w:line="320"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a stockholder of record at the close of business on July 3, 2024, you may vote by granting a proxy. Specifically, you may vote:</w:t>
      </w:r>
    </w:p>
    <w:p>
      <w:pPr>
        <w:spacing w:after="0" w:line="128" w:lineRule="exact"/>
        <w:rPr>
          <w:rFonts w:ascii="Times New Roman" w:cs="Times New Roman" w:eastAsia="Times New Roman" w:hAnsi="Times New Roman"/>
          <w:sz w:val="18"/>
          <w:szCs w:val="18"/>
          <w:color w:val="auto"/>
        </w:rPr>
      </w:pPr>
    </w:p>
    <w:p>
      <w:pPr>
        <w:ind w:left="1080" w:right="500" w:hanging="424"/>
        <w:spacing w:after="0" w:line="284" w:lineRule="auto"/>
        <w:tabs>
          <w:tab w:leader="none" w:pos="10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 You may vote by mail by completing, signing, dating and returning the enclosed proxy card in the postage-paid envelope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b w:val="1"/>
          <w:bCs w:val="1"/>
          <w:color w:val="auto"/>
        </w:rPr>
        <w:t>Votes submitted by mail must be received by 11:59 p.m. Eastern time on July 26, 2024.</w:t>
      </w:r>
    </w:p>
    <w:p>
      <w:pPr>
        <w:spacing w:after="0" w:line="65"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sign and return the proxy card even if you plan to attend the Special Meeting so that your shares will be voted if you are unable to attend the Special Meeting.</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is an indication that your shares are held in multiple accounts. Please sign and return all proxy cards to ensure that all of your shares are voted.</w:t>
      </w:r>
    </w:p>
    <w:p>
      <w:pPr>
        <w:spacing w:after="0" w:line="65"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at the Special Meeting </w:t>
      </w:r>
      <w:r>
        <w:rPr>
          <w:rFonts w:ascii="Times New Roman" w:cs="Times New Roman" w:eastAsia="Times New Roman" w:hAnsi="Times New Roman"/>
          <w:sz w:val="18"/>
          <w:szCs w:val="18"/>
          <w:color w:val="auto"/>
        </w:rPr>
        <w:t>— We will be hosting the Special Meeting via live webcast. If you attend the Special Meeting,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your vote at the Special Meeting online at https://www.cstproxy.com/armadaacqi/ext2024, in which case any votes that you previously submitted will be superseded by the vote that you cast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320"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31" w:lineRule="exact"/>
        <w:rPr>
          <w:sz w:val="20"/>
          <w:szCs w:val="20"/>
          <w:color w:val="auto"/>
        </w:rPr>
      </w:pPr>
    </w:p>
    <w:p>
      <w:pPr>
        <w:ind w:left="540" w:hanging="424"/>
        <w:spacing w:after="0" w:line="268"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we will count a properly executed proxy marked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w:t>
      </w:r>
    </w:p>
    <w:p>
      <w:pPr>
        <w:spacing w:after="0" w:line="319"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jc w:val="both"/>
        <w:ind w:left="540" w:right="280" w:hanging="424"/>
        <w:spacing w:after="0" w:line="268"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us without an indication of how the stockholder intends to vote on a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to the stockholders. The proxyholders may use their discretion to vote on any other matters which properly come before the Special Meeting.</w:t>
      </w:r>
    </w:p>
    <w:p>
      <w:pPr>
        <w:spacing w:after="0" w:line="319"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35" w:lineRule="exact"/>
        <w:rPr>
          <w:sz w:val="20"/>
          <w:szCs w:val="20"/>
          <w:color w:val="auto"/>
        </w:rPr>
      </w:pPr>
    </w:p>
    <w:p>
      <w:pPr>
        <w:ind w:left="540" w:right="160" w:hanging="424"/>
        <w:spacing w:after="0" w:line="25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If you are a stockholder of record of Armada Common Stock as of the close of 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32"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20" w:hanging="424"/>
        <w:spacing w:after="0" w:line="258"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32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hanging="424"/>
        <w:spacing w:after="0" w:line="254"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Times New Roman" w:cs="Times New Roman" w:eastAsia="Times New Roman" w:hAnsi="Times New Roman"/>
          <w:sz w:val="18"/>
          <w:szCs w:val="18"/>
          <w:b w:val="1"/>
          <w:bCs w:val="1"/>
          <w:u w:val="single" w:color="auto"/>
          <w:color w:val="auto"/>
        </w:rPr>
        <w:t>cannot vote your shares without your instruction</w:t>
      </w:r>
      <w:r>
        <w:rPr>
          <w:rFonts w:ascii="Times New Roman" w:cs="Times New Roman" w:eastAsia="Times New Roman" w:hAnsi="Times New Roman"/>
          <w:sz w:val="18"/>
          <w:szCs w:val="18"/>
          <w:color w:val="auto"/>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33"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 broker non-vote impact the results of each proposal?</w:t>
      </w:r>
    </w:p>
    <w:p>
      <w:pPr>
        <w:spacing w:after="0" w:line="135" w:lineRule="exact"/>
        <w:rPr>
          <w:sz w:val="20"/>
          <w:szCs w:val="20"/>
          <w:color w:val="auto"/>
        </w:rPr>
      </w:pPr>
    </w:p>
    <w:p>
      <w:pPr>
        <w:ind w:left="5540" w:right="5140" w:hanging="5424"/>
        <w:spacing w:after="0" w:line="367" w:lineRule="auto"/>
        <w:tabs>
          <w:tab w:leader="none" w:pos="55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non-votes will not have any effect on the outcome of any Proposals. 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returned my signed proxy card or voting instruction form?</w:t>
      </w:r>
    </w:p>
    <w:p>
      <w:pPr>
        <w:spacing w:after="0" w:line="135" w:lineRule="exact"/>
        <w:rPr>
          <w:sz w:val="20"/>
          <w:szCs w:val="20"/>
          <w:color w:val="auto"/>
        </w:rPr>
      </w:pPr>
    </w:p>
    <w:p>
      <w:pPr>
        <w:ind w:left="540" w:right="60" w:hanging="424"/>
        <w:spacing w:after="0" w:line="282" w:lineRule="auto"/>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record of Armada Common Stock as of the close of business on the record date, whether you vote by mail or in person, you can change or revoke your proxy before it is voted at the Special Meeting by:</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signed written notice of revocation to our Secretary at Armada Acquisition Corp. I, 2005 Market Street, Suite 3120, Philadelphia, Pennsylvania 19103, bearing a date later than the date of the proxy, stating that the proxy is revoked;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although attendance at the Special Meeting will not, by itself, revoke a proxy.</w:t>
      </w:r>
    </w:p>
    <w:p>
      <w:pPr>
        <w:spacing w:after="0" w:line="117"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Armada Common Stock as of the close of business on the record date, you must follow the instructions of your broker, bank, or other nominee to revoke or change your voting instructions.</w:t>
      </w:r>
    </w:p>
    <w:p>
      <w:pPr>
        <w:spacing w:after="0" w:line="306"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28"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our Sponsor and our current officers and directors have in the Business Combination?</w:t>
      </w:r>
    </w:p>
    <w:p>
      <w:pPr>
        <w:spacing w:after="0" w:line="135" w:lineRule="exact"/>
        <w:rPr>
          <w:sz w:val="20"/>
          <w:szCs w:val="20"/>
          <w:color w:val="auto"/>
        </w:rPr>
      </w:pPr>
    </w:p>
    <w:p>
      <w:pPr>
        <w:ind w:left="540" w:right="200" w:hanging="424"/>
        <w:spacing w:after="0" w:line="281"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7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and directors have agreed not to redeem any of the Founder Shares in connection with a stockholder vote to approve the Business Combination, as provided in the Armada Letter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Non-Redeeming Stockholders at Closing,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a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1" w:lineRule="exact"/>
        <w:rPr>
          <w:sz w:val="20"/>
          <w:szCs w:val="20"/>
          <w:color w:val="auto"/>
        </w:rPr>
      </w:pPr>
    </w:p>
    <w:p>
      <w:pPr>
        <w:jc w:val="both"/>
        <w:ind w:left="1080" w:right="20" w:hanging="424"/>
        <w:spacing w:after="0" w:line="261"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162"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w:t>
      </w:r>
    </w:p>
    <w:p>
      <w:pPr>
        <w:spacing w:after="0" w:line="1" w:lineRule="exact"/>
        <w:rPr>
          <w:sz w:val="20"/>
          <w:szCs w:val="20"/>
          <w:color w:val="auto"/>
        </w:rPr>
      </w:pPr>
    </w:p>
    <w:p>
      <w:pPr>
        <w:ind w:left="120" w:hanging="4"/>
        <w:spacing w:after="0" w:line="253" w:lineRule="auto"/>
        <w:tabs>
          <w:tab w:leader="none" w:pos="3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7"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320"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you vote against the Business Combination Proposal?</w:t>
      </w:r>
    </w:p>
    <w:p>
      <w:pPr>
        <w:spacing w:after="0" w:line="135" w:lineRule="exact"/>
        <w:rPr>
          <w:sz w:val="20"/>
          <w:szCs w:val="20"/>
          <w:color w:val="auto"/>
        </w:rPr>
      </w:pPr>
    </w:p>
    <w:p>
      <w:pPr>
        <w:ind w:left="540" w:right="220" w:hanging="424"/>
        <w:spacing w:after="0" w:line="266"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320"/>
        <w:spacing w:after="0" w:line="282" w:lineRule="auto"/>
        <w:rPr>
          <w:sz w:val="20"/>
          <w:szCs w:val="20"/>
          <w:color w:val="auto"/>
        </w:rPr>
      </w:pPr>
      <w:r>
        <w:rPr>
          <w:rFonts w:ascii="Times New Roman" w:cs="Times New Roman" w:eastAsia="Times New Roman" w:hAnsi="Times New Roman"/>
          <w:sz w:val="18"/>
          <w:szCs w:val="18"/>
          <w:color w:val="auto"/>
        </w:rPr>
        <w:t>be approved and, assuming the approval of the Nasdaq Proposal, the Incentive Equity Plan Proposal and the satisfaction or waiver of the other conditions to closing, the Business Combination will be consummated in accordance with the terms of the Business Combination Agreement.</w:t>
      </w:r>
    </w:p>
    <w:p>
      <w:pPr>
        <w:spacing w:after="0" w:line="5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332"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Redemption Rights?</w:t>
      </w:r>
    </w:p>
    <w:p>
      <w:pPr>
        <w:spacing w:after="0" w:line="135" w:lineRule="exact"/>
        <w:rPr>
          <w:sz w:val="20"/>
          <w:szCs w:val="20"/>
          <w:color w:val="auto"/>
        </w:rPr>
      </w:pPr>
    </w:p>
    <w:p>
      <w:pPr>
        <w:ind w:left="540" w:hanging="424"/>
        <w:spacing w:after="0" w:line="253"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 and income taxes), subject to certain limitations. For illustrative purposes, based on the approximate balance of the Trust Account of approximately $16,101,175 as of June 20, 2024, the estimated per share redemption price would have been approximately $11.36.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may elect to redeem their shares even if they vote for the Business Combination</w:t>
      </w:r>
      <w:r>
        <w:rPr>
          <w:rFonts w:ascii="Times New Roman" w:cs="Times New Roman" w:eastAsia="Times New Roman" w:hAnsi="Times New Roman"/>
          <w:sz w:val="18"/>
          <w:szCs w:val="18"/>
          <w:color w:val="auto"/>
        </w:rPr>
        <w:t>. Any request to redeem public shares, once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81" w:lineRule="exact"/>
        <w:rPr>
          <w:rFonts w:ascii="Times New Roman" w:cs="Times New Roman" w:eastAsia="Times New Roman" w:hAnsi="Times New Roman"/>
          <w:sz w:val="18"/>
          <w:szCs w:val="18"/>
          <w:color w:val="auto"/>
        </w:rPr>
      </w:pPr>
    </w:p>
    <w:p>
      <w:pPr>
        <w:ind w:left="5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If you elect not to redeem your shares of Armada Common Stock you will become a stockholder of Rezolve following the Closing. If you elect to redeem your shares of Armada Common stock, such exercise will not result in the loss of any Armada Warrants that you may hold. The following table illustrates varying ownership levels, potential sources of dilution that may occur following the consummation of the Business Combination and, for each scenario, the book value per share of Rezolve, on a pro forma basis as of December 31, 2023, assuming minimum redemptions by Armada’s public stockholders, 50% of the maximum redemptions by Armada’s public stockholders, and maximum redemptions by Armada’s public stockholders: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amounts per</w:t>
            </w:r>
          </w:p>
        </w:tc>
        <w:tc>
          <w:tcPr>
            <w:tcW w:w="100" w:type="dxa"/>
            <w:vAlign w:val="bottom"/>
          </w:tcPr>
          <w:p>
            <w:pPr>
              <w:spacing w:after="0"/>
              <w:rPr>
                <w:sz w:val="13"/>
                <w:szCs w:val="13"/>
                <w:color w:val="auto"/>
              </w:rPr>
            </w:pPr>
          </w:p>
        </w:tc>
        <w:tc>
          <w:tcPr>
            <w:tcW w:w="19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Minimum Redemption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Scenario</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Scenario</w:t>
            </w:r>
          </w:p>
        </w:tc>
        <w:tc>
          <w:tcPr>
            <w:tcW w:w="0" w:type="dxa"/>
            <w:vAlign w:val="bottom"/>
          </w:tcPr>
          <w:p>
            <w:pPr>
              <w:spacing w:after="0"/>
              <w:rPr>
                <w:sz w:val="1"/>
                <w:szCs w:val="1"/>
                <w:color w:val="auto"/>
              </w:rPr>
            </w:pPr>
          </w:p>
        </w:tc>
      </w:tr>
      <w:tr>
        <w:trPr>
          <w:trHeight w:val="25"/>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amounts and percentages</w:t>
            </w: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2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Shareholders</w:t>
            </w:r>
          </w:p>
        </w:tc>
        <w:tc>
          <w:tcPr>
            <w:tcW w:w="49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166,355,973</w:t>
            </w:r>
          </w:p>
        </w:tc>
        <w:tc>
          <w:tcPr>
            <w:tcW w:w="22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95.89%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166,355,973</w:t>
            </w:r>
          </w:p>
        </w:tc>
        <w:tc>
          <w:tcPr>
            <w:tcW w:w="34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Armada Stockholders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Non-redeeming and Polar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1,755,557</w:t>
            </w: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1,755,557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Founder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3,953,943</w:t>
            </w:r>
          </w:p>
        </w:tc>
        <w:tc>
          <w:tcPr>
            <w:tcW w:w="22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3,953,943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Rezolve Ordinary Shares Outstanding</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173,483,160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172,065,473</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Rezolve Book Value of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(37,674,138)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(53,383,851)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Rezolve Book Value per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hanging="4"/>
        <w:spacing w:after="0" w:line="218" w:lineRule="auto"/>
        <w:tabs>
          <w:tab w:leader="none" w:pos="322" w:val="left"/>
        </w:tabs>
        <w:numPr>
          <w:ilvl w:val="0"/>
          <w:numId w:val="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Assumes 713,057 Founder Shares are allocated to the Non-Redeeming Stockholders by the Sponsor pursuant to the Non-Redemption Agreements and 880,000 Founder Shares are allocated to Polar pursuant to the Polar Subscription Agreement.</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Potential sources of dilution</w:t>
            </w:r>
          </w:p>
        </w:tc>
        <w:tc>
          <w:tcPr>
            <w:tcW w:w="17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 Forma Combined</w:t>
            </w:r>
          </w:p>
        </w:tc>
      </w:tr>
      <w:tr>
        <w:trPr>
          <w:trHeight w:val="148"/>
        </w:trPr>
        <w:tc>
          <w:tcPr>
            <w:tcW w:w="1720" w:type="dxa"/>
            <w:vAlign w:val="bottom"/>
            <w:tcBorders>
              <w:top w:val="single" w:sz="8" w:color="auto"/>
            </w:tcBorders>
          </w:tcPr>
          <w:p>
            <w:pPr>
              <w:spacing w:after="0"/>
              <w:rPr>
                <w:sz w:val="12"/>
                <w:szCs w:val="12"/>
                <w:color w:val="auto"/>
              </w:rPr>
            </w:pPr>
          </w:p>
        </w:tc>
        <w:tc>
          <w:tcPr>
            <w:tcW w:w="5840" w:type="dxa"/>
            <w:vAlign w:val="bottom"/>
          </w:tcPr>
          <w:p>
            <w:pPr>
              <w:spacing w:after="0"/>
              <w:rPr>
                <w:sz w:val="12"/>
                <w:szCs w:val="12"/>
                <w:color w:val="auto"/>
              </w:rPr>
            </w:pPr>
          </w:p>
        </w:tc>
        <w:tc>
          <w:tcPr>
            <w:tcW w:w="144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redemptions</w:t>
            </w:r>
          </w:p>
        </w:tc>
        <w:tc>
          <w:tcPr>
            <w:tcW w:w="320" w:type="dxa"/>
            <w:vAlign w:val="bottom"/>
          </w:tcPr>
          <w:p>
            <w:pPr>
              <w:spacing w:after="0"/>
              <w:rPr>
                <w:sz w:val="12"/>
                <w:szCs w:val="12"/>
                <w:color w:val="auto"/>
              </w:rPr>
            </w:pPr>
          </w:p>
        </w:tc>
        <w:tc>
          <w:tcPr>
            <w:tcW w:w="1480" w:type="dxa"/>
            <w:vAlign w:val="bottom"/>
            <w:tcBorders>
              <w:top w:val="single" w:sz="8" w:color="auto"/>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redemptions</w:t>
            </w:r>
          </w:p>
        </w:tc>
        <w:tc>
          <w:tcPr>
            <w:tcW w:w="2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Warrants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Public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7,500,000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10,783,484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10,783,484</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9,814,940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9,814,940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10,620,722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10,620,722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r>
      <w:tr>
        <w:trPr>
          <w:trHeight w:val="22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pro forma Rezolve Ordinary Shares Outstanding</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212,202,306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210,784,619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Book Value Impacts from Sources of Dilution: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/Share</w:t>
            </w:r>
          </w:p>
        </w:tc>
      </w:tr>
      <w:tr>
        <w:trPr>
          <w:trHeight w:val="210"/>
        </w:trPr>
        <w:tc>
          <w:tcPr>
            <w:tcW w:w="54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Armada Warrants </w:t>
            </w:r>
            <w:r>
              <w:rPr>
                <w:rFonts w:ascii="Times New Roman" w:cs="Times New Roman" w:eastAsia="Times New Roman" w:hAnsi="Times New Roman"/>
                <w:sz w:val="24"/>
                <w:szCs w:val="24"/>
                <w:color w:val="auto"/>
                <w:vertAlign w:val="superscript"/>
              </w:rPr>
              <w:t>(2)</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$ 11.50</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Pro Forma Rezolve Book Value</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of Equity</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48,575,862</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32,866,149</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 Forma Rezolve Book Value per Share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540" w:right="80" w:hanging="424"/>
        <w:spacing w:after="0" w:line="257"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illustrate the potential dilutive impacts to non-redeeming shareholders of Armada, the percentage dilution is calculated as the number of shares issued upon exercise of the dilutive instrument divided by the sum of (i) the pro forma Rezolve Ordinary Shares outstanding and (ii) the shares issued upon exercise of the dilutive instruments.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reflect receipt of the exercise price of $11.50 per share, consistent with the Armada Warrant Agreement.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The public warrants would have an aggregate market value of approximately $900,000 based upon the closing price of $0.12 per warrant on the Nasdaq on June 20, 2024. The shares of Armada Common Stock issuable upon exercise of the public warrants would have an aggregate market value of approximately $85,875,000 based upon the closing price of $11.45 per share of Armada Common Stock on the Nasdaq on June 20, 2024. Once the warrants become exercisable, though, Rezolve may redeem the outstanding warrants. For a discussion of the terms of redemption for the warrants, see “</w:t>
      </w:r>
      <w:r>
        <w:rPr>
          <w:rFonts w:ascii="Times New Roman" w:cs="Times New Roman" w:eastAsia="Times New Roman" w:hAnsi="Times New Roman"/>
          <w:sz w:val="18"/>
          <w:szCs w:val="18"/>
          <w:i w:val="1"/>
          <w:iCs w:val="1"/>
          <w:color w:val="auto"/>
        </w:rPr>
        <w:t>Description of Securities — Warrants — Redemption of Warrants — Redemption of Warrants for Armada Common Stock</w:t>
      </w:r>
      <w:r>
        <w:rPr>
          <w:rFonts w:ascii="Times New Roman" w:cs="Times New Roman" w:eastAsia="Times New Roman" w:hAnsi="Times New Roman"/>
          <w:sz w:val="18"/>
          <w:szCs w:val="18"/>
          <w:color w:val="auto"/>
        </w:rPr>
        <w:t>.” and “— Risks Relating to Armada and the Business Combination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a Company public warrant holder, can you exercise Redemption Rights with respect to your public warrants?</w:t>
      </w:r>
    </w:p>
    <w:p>
      <w:pPr>
        <w:spacing w:after="0" w:line="135"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holders of our public warrants have no Redemption Rights with respect to such public warrants.</w:t>
      </w:r>
    </w:p>
    <w:p>
      <w:pPr>
        <w:spacing w:after="0" w:line="370"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280" w:hanging="424"/>
        <w:spacing w:after="0" w:line="282"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Our Sponsor, officers and directors have agreed to waive their redemption rights with respect to their shares of Armada Common Stock, as described in the Armada Letter Agreement in connection with the consummation of the Business Combination.</w:t>
      </w:r>
    </w:p>
    <w:p>
      <w:pPr>
        <w:spacing w:after="0" w:line="306"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number of shares you may redeem?</w:t>
      </w:r>
    </w:p>
    <w:p>
      <w:pPr>
        <w:spacing w:after="0" w:line="135" w:lineRule="exact"/>
        <w:rPr>
          <w:sz w:val="20"/>
          <w:szCs w:val="20"/>
          <w:color w:val="auto"/>
        </w:rPr>
      </w:pPr>
    </w:p>
    <w:p>
      <w:pPr>
        <w:ind w:left="540" w:right="60" w:hanging="424"/>
        <w:spacing w:after="0" w:line="258"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specified maximum redemption threshold under our current amended and restated certificate of incorporation. Each redemption of shares of Armada Common Stock by our public stockholders will reduce the amount in the Trust Account. In the event we redeem shares of Armada Common Stock in an amount that would result in Armada’s failure to have net tangible assets equaling or exceeding $5,000,001, we will not be able to consummate the Business Combination, unless the Charter Limitation Amendment Proposal is approved and the Charter Limitation Amendment is implemented prior to the closing of the Business Combination.</w:t>
      </w:r>
    </w:p>
    <w:p>
      <w:pPr>
        <w:spacing w:after="0" w:line="328"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shares that may be redeemed?</w:t>
      </w:r>
    </w:p>
    <w:p>
      <w:pPr>
        <w:spacing w:after="0" w:line="135" w:lineRule="exact"/>
        <w:rPr>
          <w:sz w:val="20"/>
          <w:szCs w:val="20"/>
          <w:color w:val="auto"/>
        </w:rPr>
      </w:pPr>
    </w:p>
    <w:p>
      <w:pPr>
        <w:ind w:left="540" w:right="20" w:hanging="424"/>
        <w:spacing w:after="0" w:line="273" w:lineRule="auto"/>
        <w:tabs>
          <w:tab w:leader="none" w:pos="5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Our current amended and restated certificate of incorporation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prior to 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w:t>
      </w:r>
    </w:p>
    <w:p>
      <w:pPr>
        <w:spacing w:after="0" w:line="316"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you vote affect your ability to exercise Redemption Rights?</w:t>
      </w:r>
    </w:p>
    <w:p>
      <w:pPr>
        <w:spacing w:after="0" w:line="135" w:lineRule="exact"/>
        <w:rPr>
          <w:sz w:val="20"/>
          <w:szCs w:val="20"/>
          <w:color w:val="auto"/>
        </w:rPr>
      </w:pPr>
    </w:p>
    <w:p>
      <w:pPr>
        <w:ind w:left="540" w:hanging="424"/>
        <w:spacing w:after="0" w:line="258"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shares of Armada Common Stock for or against, or whether you abstain from voting on, the Business Combination Proposal, or any other 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you exercise your Redemption Rights?</w:t>
      </w:r>
    </w:p>
    <w:p>
      <w:pPr>
        <w:spacing w:after="0" w:line="135" w:lineRule="exact"/>
        <w:rPr>
          <w:sz w:val="20"/>
          <w:szCs w:val="20"/>
          <w:color w:val="auto"/>
        </w:rPr>
      </w:pPr>
    </w:p>
    <w:p>
      <w:pPr>
        <w:ind w:left="540" w:right="280" w:hanging="424"/>
        <w:spacing w:after="0" w:line="255"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July 26,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560" w:right="18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7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 for physical or electronic delivery prior to the Special Meeting ensures that a redeeming stockholder’s election to redeem is irrevocable once the Business Combination is approved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75" w:lineRule="exact"/>
        <w:rPr>
          <w:sz w:val="20"/>
          <w:szCs w:val="20"/>
          <w:color w:val="auto"/>
        </w:rPr>
      </w:pPr>
    </w:p>
    <w:p>
      <w:pPr>
        <w:ind w:left="560" w:right="240"/>
        <w:spacing w:after="0" w:line="258"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below.</w:t>
      </w:r>
    </w:p>
    <w:p>
      <w:pPr>
        <w:spacing w:after="0" w:line="328"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have appraisal rights if you object to the Business Combination?</w:t>
      </w:r>
    </w:p>
    <w:p>
      <w:pPr>
        <w:spacing w:after="0" w:line="135" w:lineRule="exact"/>
        <w:rPr>
          <w:sz w:val="20"/>
          <w:szCs w:val="20"/>
          <w:color w:val="auto"/>
        </w:rPr>
      </w:pPr>
    </w:p>
    <w:p>
      <w:pPr>
        <w:ind w:left="5540" w:right="1760" w:hanging="5424"/>
        <w:spacing w:after="0" w:line="454" w:lineRule="auto"/>
        <w:tabs>
          <w:tab w:leader="none" w:pos="5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Armada Common Stock in connection with the Business Combination. 31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60" w:hanging="424"/>
        <w:spacing w:after="0" w:line="258"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w:t>
      </w:r>
    </w:p>
    <w:p>
      <w:pPr>
        <w:spacing w:after="0" w:line="328" w:lineRule="exact"/>
        <w:rPr>
          <w:sz w:val="20"/>
          <w:szCs w:val="20"/>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33" w:lineRule="exact"/>
        <w:rPr>
          <w:sz w:val="20"/>
          <w:szCs w:val="20"/>
          <w:color w:val="auto"/>
        </w:rPr>
      </w:pPr>
    </w:p>
    <w:p>
      <w:pPr>
        <w:ind w:left="540" w:right="180" w:hanging="424"/>
        <w:spacing w:after="0" w:line="267"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Business Combination Agreement may be terminated.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Approval of the Business Combination — The Business Combination Agreement</w:t>
      </w:r>
      <w:r>
        <w:rPr>
          <w:rFonts w:ascii="Times New Roman" w:cs="Times New Roman" w:eastAsia="Times New Roman" w:hAnsi="Times New Roman"/>
          <w:sz w:val="18"/>
          <w:szCs w:val="18"/>
          <w:color w:val="auto"/>
        </w:rPr>
        <w:t>” for information regarding the parties’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rights.</w:t>
      </w:r>
    </w:p>
    <w:p>
      <w:pPr>
        <w:spacing w:after="0" w:line="67"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cs="Times New Roman" w:eastAsia="Times New Roman" w:hAnsi="Times New Roman"/>
          <w:sz w:val="18"/>
          <w:szCs w:val="18"/>
          <w:i w:val="1"/>
          <w:iCs w:val="1"/>
          <w:color w:val="auto"/>
        </w:rPr>
        <w:t>Risk Factors — Risks Relating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and Risks Relating to Armada’s Due Diligence and Evaluation of Rezolve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324" w:lineRule="exact"/>
        <w:rPr>
          <w:sz w:val="20"/>
          <w:szCs w:val="20"/>
          <w:color w:val="auto"/>
        </w:rPr>
      </w:pPr>
    </w:p>
    <w:p>
      <w:pPr>
        <w:ind w:left="540" w:hanging="424"/>
        <w:spacing w:after="0"/>
        <w:tabs>
          <w:tab w:leader="none" w:pos="5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35" w:lineRule="exact"/>
        <w:rPr>
          <w:sz w:val="20"/>
          <w:szCs w:val="20"/>
          <w:color w:val="auto"/>
        </w:rPr>
      </w:pPr>
    </w:p>
    <w:p>
      <w:pPr>
        <w:ind w:left="540" w:right="120" w:hanging="424"/>
        <w:spacing w:after="0" w:line="258"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Business Combination is expected to take place on or prior to the third business day following the satisfaction or waiver of the conditions described below in the subsection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 Combination —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the Closing of the Business Combination.</w:t>
      </w:r>
      <w:r>
        <w:rPr>
          <w:rFonts w:ascii="Times New Roman" w:cs="Times New Roman" w:eastAsia="Times New Roman" w:hAnsi="Times New Roman"/>
          <w:sz w:val="18"/>
          <w:szCs w:val="18"/>
          <w:color w:val="auto"/>
        </w:rPr>
        <w:t>” The closing is expected to occur in the first half of August,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Agreement may be terminated by Armada, or Rezolve, as applicable if the Closing has not occurred on or prior to fifteen (15) days prior to the last date on which Armada may consummate a Business Combination (which is currently on or prior to July 2, 2024).</w:t>
      </w:r>
    </w:p>
    <w:p>
      <w:pPr>
        <w:spacing w:after="0" w:line="73"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The Business Combination Agreement — Conditions to the Closing of the Business Combination.</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you need to do now?</w:t>
      </w:r>
    </w:p>
    <w:p>
      <w:pPr>
        <w:spacing w:after="0" w:line="135" w:lineRule="exact"/>
        <w:rPr>
          <w:sz w:val="20"/>
          <w:szCs w:val="20"/>
          <w:color w:val="auto"/>
        </w:rPr>
      </w:pPr>
    </w:p>
    <w:p>
      <w:pPr>
        <w:ind w:left="540" w:right="80" w:hanging="424"/>
        <w:spacing w:after="0" w:line="261" w:lineRule="auto"/>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24"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35" w:lineRule="exact"/>
        <w:rPr>
          <w:sz w:val="20"/>
          <w:szCs w:val="20"/>
          <w:color w:val="auto"/>
        </w:rPr>
      </w:pPr>
    </w:p>
    <w:p>
      <w:pPr>
        <w:ind w:left="540" w:right="60" w:hanging="424"/>
        <w:spacing w:after="0" w:line="266" w:lineRule="auto"/>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Armada Common Stock, including those shares held as a constituent part of our units, at the close of business on July 3, 2024, are entitled to have their vote counted at the Special Meeting and any adjournments or postponements thereof. On this record date, 7,127,187 shares of Armada Common Stock were outstanding and entitled to vote.</w:t>
      </w:r>
    </w:p>
    <w:p>
      <w:pPr>
        <w:spacing w:after="0" w:line="65" w:lineRule="exact"/>
        <w:rPr>
          <w:rFonts w:ascii="Times New Roman" w:cs="Times New Roman" w:eastAsia="Times New Roman" w:hAnsi="Times New Roman"/>
          <w:sz w:val="18"/>
          <w:szCs w:val="18"/>
          <w:color w:val="auto"/>
        </w:rPr>
      </w:pPr>
    </w:p>
    <w:p>
      <w:pPr>
        <w:ind w:left="56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on the record date your shares or units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Armada’s transfer agent, Continental Stock Transfer &amp; Trust 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w:t>
      </w:r>
    </w:p>
    <w:p>
      <w:pPr>
        <w:spacing w:after="0" w:line="71" w:lineRule="exact"/>
        <w:rPr>
          <w:rFonts w:ascii="Times New Roman" w:cs="Times New Roman" w:eastAsia="Times New Roman" w:hAnsi="Times New Roman"/>
          <w:sz w:val="18"/>
          <w:szCs w:val="18"/>
          <w:color w:val="auto"/>
        </w:rPr>
      </w:pPr>
    </w:p>
    <w:p>
      <w:pPr>
        <w:ind w:left="5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Owner: Shares Registered in the Name of a Broker or Bank</w:t>
      </w:r>
      <w:r>
        <w:rPr>
          <w:rFonts w:ascii="Times New Roman" w:cs="Times New Roman" w:eastAsia="Times New Roman" w:hAnsi="Times New Roman"/>
          <w:sz w:val="18"/>
          <w:szCs w:val="18"/>
          <w:color w:val="auto"/>
        </w:rPr>
        <w:t>. If on the record date your shares or units were held, not in your name,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329"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right="60" w:hanging="424"/>
        <w:spacing w:after="0" w:line="258"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328"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480" w:hanging="424"/>
        <w:spacing w:after="0" w:line="282" w:lineRule="auto"/>
        <w:tabs>
          <w:tab w:leader="none" w:pos="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you should contact:</w:t>
      </w:r>
    </w:p>
    <w:p>
      <w:pPr>
        <w:spacing w:after="0" w:line="5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Acquisition Corp. I</w:t>
      </w:r>
    </w:p>
    <w:p>
      <w:pPr>
        <w:spacing w:after="0" w:line="27" w:lineRule="exact"/>
        <w:rPr>
          <w:rFonts w:ascii="Times New Roman" w:cs="Times New Roman" w:eastAsia="Times New Roman" w:hAnsi="Times New Roman"/>
          <w:sz w:val="18"/>
          <w:szCs w:val="18"/>
          <w:color w:val="auto"/>
        </w:rPr>
      </w:pPr>
    </w:p>
    <w:p>
      <w:pPr>
        <w:ind w:left="560" w:right="8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1760 Market Street, Suite 602 Philadelphia, PA 19103 Email: sherbert@armadaacq.com</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timely delivery, our stockholders must request the materials no later than five business days prior to the Special Meeting.</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560"/>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22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1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1" w:lineRule="exact"/>
        <w:rPr>
          <w:sz w:val="20"/>
          <w:szCs w:val="20"/>
          <w:color w:val="auto"/>
        </w:rPr>
      </w:pPr>
    </w:p>
    <w:p>
      <w:pPr>
        <w:ind w:left="300" w:right="20" w:firstLine="426"/>
        <w:spacing w:after="0" w:line="244"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5"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87"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w:t>
      </w:r>
    </w:p>
    <w:p>
      <w:pPr>
        <w:spacing w:after="0" w:line="149" w:lineRule="exact"/>
        <w:rPr>
          <w:sz w:val="20"/>
          <w:szCs w:val="20"/>
          <w:color w:val="auto"/>
        </w:rPr>
      </w:pPr>
    </w:p>
    <w:p>
      <w:pPr>
        <w:ind w:left="500" w:right="560" w:hanging="202"/>
        <w:spacing w:after="0" w:line="208" w:lineRule="auto"/>
        <w:tabs>
          <w:tab w:leader="none" w:pos="500" w:val="left"/>
        </w:tabs>
        <w:numPr>
          <w:ilvl w:val="0"/>
          <w:numId w:val="1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September 11, 2015 under the name Soul Seeker Limited with company number 09773823. Rezolve Limited changed its name in February 2016 to Powa Commerce Limited and to Rezolve Limited in March 2016.</w:t>
      </w:r>
    </w:p>
    <w:p>
      <w:pPr>
        <w:spacing w:after="0" w:line="162"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mailing address of Rezolve’s registered office is 3rd Floor, 80 New Bond Street, London, United Kingdom, W1S 1SB. After the consummation of the Business Combination, its principal executive office will be 3rd Floor, 80 New Bond Street, London, United Kingdom, W1S 1SB.</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Armada</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Armada is a blank check company or a special purpose acquisition company, incorporated on November 5, 2020, as a Delaware corporation and formed for the purpose of effecting a merger, capital stock exchange, asset acquisition, stock purchase, reorganization or similar business combination with one or more businesses. As of the date of the this proxy statement/prospectus, the Company had not commenced any operations.</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mailing address of Armada’s principal executive office is c/o Armada Acquisition Corp. I., 2005 Market Street, Suite 3120, Philadelphia, Pennsylvania 19103.</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will merge with and into Rezolve Merger Sub, with Armada continuing as the surviving entity and all the undertakings, properties and liabilities of Rezolve Merger Sub will vest in Armada by virtue of such merger pursuant to the Delaware General Corporation Law (the “DGCL”) and the plan of merger attached hereto as Annex A. Following completion of the Merger, Armada shall be a wholly-owned subsidiary of Rezolve.</w:t>
      </w:r>
    </w:p>
    <w:p>
      <w:pPr>
        <w:spacing w:after="0" w:line="180"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the Escrow Agreement to allow Continental Stock Transfer &amp; Trust Company to distribute the Escrow Shares prior to the expiration of the Escrow Period.</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121" w:lineRule="exact"/>
        <w:rPr>
          <w:sz w:val="20"/>
          <w:szCs w:val="20"/>
          <w:color w:val="auto"/>
        </w:rPr>
      </w:pPr>
    </w:p>
    <w:p>
      <w:pPr>
        <w:jc w:val="both"/>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Nasdaq Proposal</w:t>
      </w:r>
      <w:r>
        <w:rPr>
          <w:rFonts w:ascii="Times New Roman" w:cs="Times New Roman" w:eastAsia="Times New Roman" w:hAnsi="Times New Roman"/>
          <w:sz w:val="18"/>
          <w:szCs w:val="18"/>
          <w:color w:val="auto"/>
        </w:rPr>
        <w:t>” for additional information regarding this proposal.</w:t>
      </w: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45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Times New Roman" w:cs="Times New Roman" w:eastAsia="Times New Roman" w:hAnsi="Times New Roman"/>
          <w:sz w:val="17"/>
          <w:szCs w:val="17"/>
          <w:color w:val="auto"/>
        </w:rPr>
        <w:t>As discussed in this proxy statement/prospectus, Armada is asking its shareholders to approve the Charter Limitation Amendment Proposal in order to facilitate the consummation of the Business Combination. Armada will ask its shareholders to approve the Charter Limitation Amendment Proposal to delete the limitation that Armada shall not consummate a business combination if Armada has net tangible of less than $5,000,001.</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The Charter Limitation Amendment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the Incentive Equity Plan Proposal or the Charter Limitation Amendment Proposal.</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The Adjournment Proposal</w:t>
      </w:r>
      <w:r>
        <w:rPr>
          <w:rFonts w:ascii="Times New Roman" w:cs="Times New Roman" w:eastAsia="Times New Roman" w:hAnsi="Times New Roman"/>
          <w:sz w:val="18"/>
          <w:szCs w:val="18"/>
          <w:color w:val="auto"/>
        </w:rPr>
        <w:t>” for additional information regarding this proposal.</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Armada Initial Shareholders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of the Record Date, the Armada Initial Shareholders beneficially owned and are entitled to vote an aggregate of 5,547,000 Founder Shares that were issued prior to the IPO of Armada. The Founder Shares currently constitute 77.83% of the outstanding Armada Common Stock.</w:t>
      </w:r>
    </w:p>
    <w:p>
      <w:pPr>
        <w:spacing w:after="0" w:line="162"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 of Armada Special Meeting</w:t>
      </w:r>
    </w:p>
    <w:p>
      <w:pPr>
        <w:spacing w:after="0" w:line="11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 xml:space="preserve">The Special Meeting will be held on July 30, 2024 at 10:00 a.m. Eastern Time at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or at such other date, time and place to which such meeting may be adjourned or postponed, to consider and vote upon the proposals. The Special Meeting will be conducted exclusively via live webcast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entering your 12-digit control number, which is either included on the proxy card you received or obtained through Continental Stock Transfer &amp; Trust Company.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 for the Special Meeting</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To vote upon the proposals included in this proxy statement/prospectus, please follow these instructions as applicable to the nature of your ownership of Armada Common Stock:</w:t>
      </w:r>
    </w:p>
    <w:p>
      <w:pPr>
        <w:spacing w:after="0" w:line="67" w:lineRule="exact"/>
        <w:rPr>
          <w:sz w:val="20"/>
          <w:szCs w:val="20"/>
          <w:color w:val="auto"/>
        </w:rPr>
      </w:pPr>
    </w:p>
    <w:p>
      <w:pPr>
        <w:ind w:left="1240" w:right="340" w:hanging="415"/>
        <w:spacing w:after="0" w:line="266"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 Votes submitted by mail must be received by 5:00 p.m., Eastern Time, on July 26, 2024.</w:t>
      </w:r>
    </w:p>
    <w:p>
      <w:pPr>
        <w:spacing w:after="0" w:line="79" w:lineRule="exact"/>
        <w:rPr>
          <w:rFonts w:ascii="Times New Roman" w:cs="Times New Roman" w:eastAsia="Times New Roman" w:hAnsi="Times New Roman"/>
          <w:sz w:val="18"/>
          <w:szCs w:val="18"/>
          <w:color w:val="auto"/>
        </w:rPr>
      </w:pPr>
    </w:p>
    <w:p>
      <w:pPr>
        <w:ind w:left="1240" w:right="580" w:hanging="415"/>
        <w:spacing w:after="0" w:line="284"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 follow the on-screen instructions. Your Internet vote must be received by 11:59 p.m. Eastern Time on July 29, 2024 to be counted.</w:t>
      </w:r>
    </w:p>
    <w:p>
      <w:pPr>
        <w:spacing w:after="0" w:line="158" w:lineRule="exact"/>
        <w:rPr>
          <w:sz w:val="20"/>
          <w:szCs w:val="20"/>
          <w:color w:val="auto"/>
        </w:rPr>
      </w:pPr>
    </w:p>
    <w:p>
      <w:pPr>
        <w:ind w:left="300" w:right="60"/>
        <w:spacing w:after="0" w:line="284" w:lineRule="auto"/>
        <w:rPr>
          <w:sz w:val="20"/>
          <w:szCs w:val="20"/>
          <w:color w:val="auto"/>
        </w:rPr>
      </w:pPr>
      <w:r>
        <w:rPr>
          <w:rFonts w:ascii="Times New Roman" w:cs="Times New Roman" w:eastAsia="Times New Roman" w:hAnsi="Times New Roman"/>
          <w:sz w:val="18"/>
          <w:szCs w:val="18"/>
          <w:color w:val="auto"/>
        </w:rPr>
        <w:t xml:space="preserve">To vote through the Internet during the meeting, please visit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 have available the 12-digit control number included in your Notice, on your proxy card or on the instructions that accompanied your proxy materials.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Only Armada stockholders of record at the close of business on July 3, 2024, the record date for the Special Meeting, will be entitled to 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7,127,187 shares of Armada Common Stock and Founder Shares outstanding and entitled to vote, of which 1,417,687 are public shares, 459,500 are Private Placement Shares held by our Sponsor, and 5,087,500 are Founder Shares held by our Sponsor, officers and directors.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 and Vote of Armada Stockholders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94"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320" w:top="45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172" w:lineRule="exact"/>
        <w:rPr>
          <w:sz w:val="20"/>
          <w:szCs w:val="20"/>
          <w:color w:val="auto"/>
        </w:rPr>
      </w:pPr>
    </w:p>
    <w:p>
      <w:pPr>
        <w:ind w:left="300" w:right="140" w:firstLine="4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Pursuant to our current amended and restated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the Charter Limitation Amendment Proposal is approved and implemented prior to the closing of the Business Combination. As of June 20, 2024, the estimated per share redemption price would have been approximately $11.36.</w:t>
      </w:r>
    </w:p>
    <w:p>
      <w:pPr>
        <w:spacing w:after="0" w:line="18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the procedures to be followed if you wish to redeem your shares for cash. Any request for redemption may be withdrawn until the deadline for submitting redemption requests and thereafter, with our consent, until the vote is taken with respect to the Business Combination.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Proxies may be solicited by mail. Armada has not engaged anyone to assist in the solicitation of proxies.</w:t>
      </w:r>
    </w:p>
    <w:p>
      <w:pPr>
        <w:spacing w:after="0" w:line="225"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If a stockholder grants a proxy, it may still vote its shares in person if it revokes its proxy before the Special Meeting. A stockholder may also change its vote by submitting a later-dated proxy, as described in the section entitled “</w:t>
      </w:r>
      <w:r>
        <w:rPr>
          <w:rFonts w:ascii="Times New Roman" w:cs="Times New Roman" w:eastAsia="Times New Roman" w:hAnsi="Times New Roman"/>
          <w:sz w:val="18"/>
          <w:szCs w:val="18"/>
          <w:i w:val="1"/>
          <w:iCs w:val="1"/>
          <w:color w:val="auto"/>
        </w:rPr>
        <w:t>Special Meeting of Company Stockholders — Revoking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Armada Directors and Officers in the Business Combination</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240" w:hanging="415"/>
        <w:spacing w:after="0" w:line="254"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77" w:lineRule="auto"/>
        <w:tabs>
          <w:tab w:leader="none" w:pos="12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73" w:lineRule="exact"/>
        <w:rPr>
          <w:rFonts w:ascii="Times New Roman" w:cs="Times New Roman" w:eastAsia="Times New Roman" w:hAnsi="Times New Roman"/>
          <w:sz w:val="17"/>
          <w:szCs w:val="17"/>
          <w:color w:val="auto"/>
        </w:rPr>
      </w:pPr>
    </w:p>
    <w:p>
      <w:pPr>
        <w:ind w:left="1240" w:hanging="415"/>
        <w:spacing w:after="0" w:line="261"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24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spacing w:after="0" w:line="253" w:lineRule="auto"/>
        <w:rPr>
          <w:sz w:val="20"/>
          <w:szCs w:val="20"/>
          <w:color w:val="auto"/>
        </w:rPr>
      </w:pPr>
      <w:r>
        <w:rPr>
          <w:rFonts w:ascii="Times New Roman" w:cs="Times New Roman" w:eastAsia="Times New Roman" w:hAnsi="Times New Roman"/>
          <w:sz w:val="18"/>
          <w:szCs w:val="18"/>
          <w:color w:val="auto"/>
        </w:rPr>
        <w:t>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w:t>
      </w:r>
    </w:p>
    <w:p>
      <w:pPr>
        <w:spacing w:after="0" w:line="5" w:lineRule="exact"/>
        <w:rPr>
          <w:sz w:val="20"/>
          <w:szCs w:val="20"/>
          <w:color w:val="auto"/>
        </w:rPr>
      </w:pPr>
    </w:p>
    <w:p>
      <w:pPr>
        <w:ind w:left="1240"/>
        <w:spacing w:after="0" w:line="250" w:lineRule="auto"/>
        <w:rPr>
          <w:sz w:val="20"/>
          <w:szCs w:val="20"/>
          <w:color w:val="auto"/>
        </w:rPr>
      </w:pPr>
      <w:r>
        <w:rPr>
          <w:rFonts w:ascii="Times New Roman" w:cs="Times New Roman" w:eastAsia="Times New Roman" w:hAnsi="Times New Roman"/>
          <w:sz w:val="18"/>
          <w:szCs w:val="18"/>
          <w:color w:val="auto"/>
        </w:rPr>
        <w:t>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13" w:lineRule="exact"/>
        <w:rPr>
          <w:sz w:val="20"/>
          <w:szCs w:val="20"/>
          <w:color w:val="auto"/>
        </w:rPr>
      </w:pPr>
    </w:p>
    <w:p>
      <w:pPr>
        <w:ind w:left="1240" w:right="100" w:hanging="415"/>
        <w:spacing w:after="0" w:line="281" w:lineRule="auto"/>
        <w:tabs>
          <w:tab w:leader="none" w:pos="12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64"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Armada’s Sponsor holds in the aggregate approximately 74.95% of the total shares outstanding as of the date of this proxy statement/prospectus. The Founder Shares will likely be worthless if Armada does not complete a business combination by the applicable deadline.</w:t>
      </w: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320" w:top="455"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Stockholders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w:t>
      </w:r>
    </w:p>
    <w:p>
      <w:pPr>
        <w:spacing w:after="0" w:line="176"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Times New Roman" w:cs="Times New Roman" w:eastAsia="Times New Roman" w:hAnsi="Times New Roman"/>
          <w:sz w:val="18"/>
          <w:szCs w:val="18"/>
          <w:i w:val="1"/>
          <w:iCs w:val="1"/>
          <w:color w:val="auto"/>
        </w:rPr>
        <w:t>Special Meeting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Recommendation to Company Stockholders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Closing of the Business Combination</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Rezolve’s fundamental representations remain true and correct; (j) Rezolve will have performed and complied in all material respects with the covenants and agreements required to be performed or complied with by it; (k) there has been no review under the National Security and Investment Act 2021; (l) no material adverse effect will have occurred in relation to Rezolve; and (m) certain documents are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390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3390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color w:val="auto"/>
        </w:rPr>
        <w:t>delivered by Rezolve to Armada, including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1460" w:firstLine="426"/>
        <w:spacing w:after="0" w:line="282" w:lineRule="auto"/>
        <w:rPr>
          <w:sz w:val="20"/>
          <w:szCs w:val="20"/>
          <w:color w:val="auto"/>
        </w:rPr>
      </w:pPr>
      <w:r>
        <w:rPr>
          <w:rFonts w:ascii="Times New Roman" w:cs="Times New Roman" w:eastAsia="Times New Roman" w:hAnsi="Times New Roman"/>
          <w:sz w:val="18"/>
          <w:szCs w:val="18"/>
          <w:color w:val="auto"/>
        </w:rPr>
        <w:t>In evaluating the proposals to be presented at the Armada Special Meeting, a shareholder should carefully read this proxy statement/prospectus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320" w:top="45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SUMMARY HISTORICAL FINANCIAL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Financial Information of Armada</w:t>
      </w:r>
    </w:p>
    <w:p>
      <w:pPr>
        <w:spacing w:after="0" w:line="121" w:lineRule="exact"/>
        <w:rPr>
          <w:sz w:val="20"/>
          <w:szCs w:val="20"/>
          <w:color w:val="auto"/>
        </w:rPr>
      </w:pPr>
    </w:p>
    <w:p>
      <w:pPr>
        <w:ind w:left="300" w:right="640" w:firstLine="426"/>
        <w:spacing w:after="0" w:line="282" w:lineRule="auto"/>
        <w:rPr>
          <w:sz w:val="20"/>
          <w:szCs w:val="20"/>
          <w:color w:val="auto"/>
        </w:rPr>
      </w:pPr>
      <w:r>
        <w:rPr>
          <w:rFonts w:ascii="Times New Roman" w:cs="Times New Roman" w:eastAsia="Times New Roman" w:hAnsi="Times New Roman"/>
          <w:sz w:val="18"/>
          <w:szCs w:val="18"/>
          <w:color w:val="auto"/>
        </w:rPr>
        <w:t>Armada is providing the following summary historical financial information to assist you in your analysis of the financial aspects of the Business Combination.</w:t>
      </w:r>
    </w:p>
    <w:p>
      <w:pPr>
        <w:spacing w:after="0" w:line="162" w:lineRule="exact"/>
        <w:rPr>
          <w:sz w:val="20"/>
          <w:szCs w:val="20"/>
          <w:color w:val="auto"/>
        </w:rPr>
      </w:pPr>
    </w:p>
    <w:p>
      <w:pPr>
        <w:ind w:left="300" w:right="200" w:firstLine="426"/>
        <w:spacing w:after="0" w:line="252" w:lineRule="auto"/>
        <w:rPr>
          <w:sz w:val="20"/>
          <w:szCs w:val="20"/>
          <w:color w:val="auto"/>
        </w:rPr>
      </w:pPr>
      <w:r>
        <w:rPr>
          <w:rFonts w:ascii="Times New Roman" w:cs="Times New Roman" w:eastAsia="Times New Roman" w:hAnsi="Times New Roman"/>
          <w:sz w:val="18"/>
          <w:szCs w:val="18"/>
          <w:color w:val="auto"/>
        </w:rPr>
        <w:t>The following table contains summary financial information of Armada as of and for the twelve months ended September 30, 2023 and 2022, as of and for the three months ended December 31, 2023 and 2022 and as of and for the six months ended March 31, 2024 and 2023. Armada’s summary financial information as of and for the twelve months ended September 30, 2023 and 2022, statements of operations for the twelve months ended September 30, 2023 and 2022, statements of changes in stockholders’ equity (deficit) for the twelve months ended September 30, 2023 and 2022 and statements of cash flows for the twelve months ended September 30, 2023 and 2022 are derived from Armada’s audited financial statements included elsewhere in this proxy statement/prospectus. Armada’s summary financial information as of and for the three months ended December 31, 2023 and 2022, unaudited condensed statements of operations for the three months ended December 31, 2023 and 2022, Armada’s Condensed Statements of Changes in Stockholders’ Equity (Deficit) for the three months ended December 31, 2023 and 2022 and the Unaudited Condensed Statements of Cash Flows for the three months ended December 31, 2023 and 2022 are derived from Armada’s condensed financial statements included elsewhere in this proxy statement/prospectus. Armada’s summary financial information as of and for the six months ended March 31, 2024 and 2023, unaudited condensed statements of operations for the six months ended March 31, 2024 and 2023, Armada’s Condensed Statements of Changes in Stockholders’ Equity (Deficit) for the six months ended March 31, 2024 and 2023 and the Unaudited Condensed Statements of Cash Flows for the six months ended March 31, 2024 and 2023 are derived from Armada’s condensed financial statements included elsewhere in this proxy statement/prospectus.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financial statements of Armada are stated in U.S. dollars ($).</w:t>
      </w:r>
    </w:p>
    <w:p>
      <w:pPr>
        <w:spacing w:after="0" w:line="225"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The information in this section is only a summary and should be read in conjunction with each of Armada’s financial statements and related notes and “</w:t>
      </w:r>
      <w:r>
        <w:rPr>
          <w:rFonts w:ascii="Times New Roman" w:cs="Times New Roman" w:eastAsia="Times New Roman" w:hAnsi="Times New Roman"/>
          <w:sz w:val="18"/>
          <w:szCs w:val="18"/>
          <w:i w:val="1"/>
          <w:iCs w:val="1"/>
          <w:color w:val="auto"/>
        </w:rPr>
        <w:t>Other Information Related to Armada — Armada’s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contained elsewhere herein. The historical results included below and elsewhere in this proxy statement/prospectus are not indicative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future performance of Armada.</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0"/>
        </w:trPr>
        <w:tc>
          <w:tcPr>
            <w:tcW w:w="1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980" w:type="dxa"/>
            <w:vAlign w:val="bottom"/>
            <w:gridSpan w:val="6"/>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tcPr>
          <w:p>
            <w:pPr>
              <w:jc w:val="center"/>
              <w:ind w:right="400"/>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1"/>
        </w:trPr>
        <w:tc>
          <w:tcPr>
            <w:tcW w:w="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19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color w:val="auto"/>
              </w:rPr>
              <w:t>(Audited)</w:t>
            </w:r>
          </w:p>
        </w:tc>
      </w:tr>
      <w:tr>
        <w:trPr>
          <w:trHeight w:val="142"/>
        </w:trPr>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1,031,440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1,185,087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$ 571,529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394,352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2,570,872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$ 4,391,263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(1,107,040)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8"/>
              </w:rPr>
              <w:t>(1,241,013)</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(621,929)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(422,315)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(2,789,126)</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(4,503,115)</w:t>
            </w:r>
          </w:p>
        </w:tc>
        <w:tc>
          <w:tcPr>
            <w:tcW w:w="200" w:type="dxa"/>
            <w:vAlign w:val="bottom"/>
          </w:tcPr>
          <w:p>
            <w:pPr>
              <w:spacing w:after="0"/>
              <w:rPr>
                <w:sz w:val="17"/>
                <w:szCs w:val="17"/>
                <w:color w:val="auto"/>
              </w:rPr>
            </w:pPr>
          </w:p>
        </w:tc>
      </w:tr>
      <w:tr>
        <w:trPr>
          <w:trHeight w:val="230"/>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3"/>
        </w:trPr>
        <w:tc>
          <w:tcPr>
            <w:tcW w:w="18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Trust interest income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604,992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334,836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10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480,794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2,264,081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329,449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1,289,673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1,025,942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(443,184)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(615,284)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(145,621)</w:t>
            </w: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(741,160)</w:t>
            </w:r>
          </w:p>
        </w:tc>
        <w:tc>
          <w:tcPr>
            <w:tcW w:w="240" w:type="dxa"/>
            <w:vAlign w:val="bottom"/>
            <w:gridSpan w:val="2"/>
          </w:tcPr>
          <w:p>
            <w:pPr>
              <w:jc w:val="center"/>
              <w:ind w:left="32"/>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579,884</w:t>
            </w:r>
          </w:p>
        </w:tc>
        <w:tc>
          <w:tcPr>
            <w:tcW w:w="1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(360,314)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607,027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(320,150)</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(3,622,794)</w:t>
            </w:r>
          </w:p>
        </w:tc>
        <w:tc>
          <w:tcPr>
            <w:tcW w:w="2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361"/>
        </w:trPr>
        <w:tc>
          <w:tcPr>
            <w:tcW w:w="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516"/>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81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51"/>
        </w:trPr>
        <w:tc>
          <w:tcPr>
            <w:tcW w:w="3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340" w:type="dxa"/>
            <w:vAlign w:val="bottom"/>
          </w:tcPr>
          <w:p>
            <w:pPr>
              <w:spacing w:after="0"/>
              <w:rPr>
                <w:sz w:val="13"/>
                <w:szCs w:val="13"/>
                <w:color w:val="auto"/>
              </w:rPr>
            </w:pPr>
          </w:p>
        </w:tc>
        <w:tc>
          <w:tcPr>
            <w:tcW w:w="154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3"/>
                <w:szCs w:val="13"/>
                <w:color w:val="auto"/>
              </w:rPr>
            </w:pPr>
          </w:p>
        </w:tc>
        <w:tc>
          <w:tcPr>
            <w:tcW w:w="13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71"/>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(Unaudited)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(Audited)</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54,405</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15,882,693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25,939,504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2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2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8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(9,636,093)</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(9,155,176)</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(8,486,012)</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Historical Summary Financial Information of Rezolve</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Rezolve’s financial data. Rezolve has derived the following statements of operations and comprehensive loss for the years ended December 31, 2023 and 2022 and balance sheet data as of December 31, 2023 and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Rezolve Financial Statements are stated in U.S. dollars ($).</w:t>
      </w:r>
    </w:p>
    <w:p>
      <w:pPr>
        <w:spacing w:after="0" w:line="225" w:lineRule="exact"/>
        <w:rPr>
          <w:sz w:val="20"/>
          <w:szCs w:val="20"/>
          <w:color w:val="auto"/>
        </w:rPr>
      </w:pPr>
    </w:p>
    <w:p>
      <w:pPr>
        <w:ind w:left="300" w:right="200" w:firstLine="426"/>
        <w:spacing w:after="0" w:line="289" w:lineRule="auto"/>
        <w:rPr>
          <w:sz w:val="20"/>
          <w:szCs w:val="20"/>
          <w:color w:val="auto"/>
        </w:rPr>
      </w:pPr>
      <w:r>
        <w:rPr>
          <w:rFonts w:ascii="Times New Roman" w:cs="Times New Roman" w:eastAsia="Times New Roman" w:hAnsi="Times New Roman"/>
          <w:sz w:val="17"/>
          <w:szCs w:val="17"/>
          <w:color w:val="auto"/>
        </w:rPr>
        <w:t>The information in this section is only a summary and should be read in conjunction with each of the Rezolve Financial Statements and related notes and “</w:t>
      </w:r>
      <w:r>
        <w:rPr>
          <w:rFonts w:ascii="Times New Roman" w:cs="Times New Roman" w:eastAsia="Times New Roman" w:hAnsi="Times New Roman"/>
          <w:sz w:val="17"/>
          <w:szCs w:val="17"/>
          <w:i w:val="1"/>
          <w:iCs w:val="1"/>
          <w:color w:val="auto"/>
        </w:rPr>
        <w:t>Rezolve’s Management’s Discussion and Analysis of Financial Condition and Results of Operations</w:t>
      </w:r>
      <w:r>
        <w:rPr>
          <w:rFonts w:ascii="Times New Roman" w:cs="Times New Roman" w:eastAsia="Times New Roman" w:hAnsi="Times New Roman"/>
          <w:sz w:val="17"/>
          <w:szCs w:val="17"/>
          <w:color w:val="auto"/>
        </w:rPr>
        <w:t>” contained elsewhere herein. The historical results included below and elsewhere in this proxy statement/prospectus are not indicative of the future performance of Rezolve.</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(26,006,274)</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(107,046,147)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for the year</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(30,736,098)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(110,712,948)</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(87,941)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(30,805,663</w:t>
            </w:r>
          </w:p>
        </w:tc>
        <w:tc>
          <w:tcPr>
            <w:tcW w:w="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(110,800,889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2560" w:type="dxa"/>
            <w:vAlign w:val="bottom"/>
            <w:gridSpan w:val="5"/>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39,380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2,536,484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1,648,939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26,480,326</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(54,284,884)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(32,519,603)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36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provides summary selected unaudited pro forma financial information to correspond to the unaudited pro forma financial information provided for Rezolve and Armada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 on selected financial information,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 as of December 31, 2023</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4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49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40,213,715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55,923,429</w:t>
            </w: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(37,674,138)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(53,383,851)</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 Of Operations for the Year Ended December 31, 2023</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3"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 Net loss per share, basic and diluted</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Comparative Per Share Information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73"/>
        </w:trPr>
        <w:tc>
          <w:tcPr>
            <w:tcW w:w="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117"/>
        </w:trPr>
        <w:tc>
          <w:tcPr>
            <w:tcW w:w="2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(76,227,653)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(76,383,195)</w:t>
            </w:r>
          </w:p>
        </w:tc>
        <w:tc>
          <w:tcPr>
            <w:tcW w:w="60" w:type="dxa"/>
            <w:vAlign w:val="bottom"/>
          </w:tcPr>
          <w:p>
            <w:pPr>
              <w:spacing w:after="0"/>
              <w:rPr>
                <w:sz w:val="19"/>
                <w:szCs w:val="19"/>
                <w:color w:val="auto"/>
              </w:rPr>
            </w:pPr>
          </w:p>
        </w:tc>
      </w:tr>
      <w:tr>
        <w:trPr>
          <w:trHeight w:val="409"/>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204,702,306</w:t>
            </w:r>
          </w:p>
        </w:tc>
        <w:tc>
          <w:tcPr>
            <w:tcW w:w="1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203,284,619</w:t>
            </w:r>
          </w:p>
        </w:tc>
        <w:tc>
          <w:tcPr>
            <w:tcW w:w="60" w:type="dxa"/>
            <w:vAlign w:val="bottom"/>
          </w:tcPr>
          <w:p>
            <w:pPr>
              <w:spacing w:after="0"/>
              <w:rPr>
                <w:sz w:val="24"/>
                <w:szCs w:val="24"/>
                <w:color w:val="auto"/>
              </w:rPr>
            </w:pPr>
          </w:p>
        </w:tc>
      </w:tr>
      <w:tr>
        <w:trPr>
          <w:trHeight w:val="234"/>
        </w:trPr>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(0.38)</w:t>
            </w:r>
          </w:p>
        </w:tc>
      </w:tr>
    </w:tbl>
    <w:p>
      <w:pPr>
        <w:spacing w:after="0" w:line="629" w:lineRule="exact"/>
        <w:rPr>
          <w:sz w:val="20"/>
          <w:szCs w:val="20"/>
          <w:color w:val="auto"/>
        </w:rPr>
      </w:pPr>
    </w:p>
    <w:p>
      <w:pPr>
        <w:sectPr>
          <w:pgSz w:w="11900" w:h="16838" w:orient="portrait"/>
          <w:cols w:equalWidth="0" w:num="2">
            <w:col w:w="7980" w:space="400"/>
            <w:col w:w="2560"/>
          </w:cols>
          <w:pgMar w:left="320" w:top="455" w:right="639" w:bottom="1440" w:gutter="0" w:footer="0" w:header="0"/>
          <w:type w:val="continuous"/>
        </w:sect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w:t>
      </w:r>
    </w:p>
    <w:p>
      <w:pPr>
        <w:spacing w:after="0" w:line="81" w:lineRule="exact"/>
        <w:rPr>
          <w:sz w:val="20"/>
          <w:szCs w:val="20"/>
          <w:color w:val="auto"/>
        </w:rPr>
      </w:pPr>
    </w:p>
    <w:p>
      <w:pPr>
        <w:ind w:left="1240" w:right="300" w:hanging="415"/>
        <w:spacing w:after="0" w:line="282" w:lineRule="auto"/>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 This assumes that the minimum number of Armada public stockholder exercises redemption rights with respect to Armada Public Shares for a pro rata portion of the funds in Armada’s Trust Account.</w:t>
      </w:r>
    </w:p>
    <w:p>
      <w:pPr>
        <w:spacing w:after="0" w:line="67"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Maximum Redemptions — This assumes that Armada public stockholders (who are not Armada Initial Shareholders or an officer or director of Armada) holding 1,417,687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for aggregate redemption payments of $14,176,870 at a redemption price of approximately $10.00 per share based on the investments held in the Trust Account.</w:t>
      </w:r>
    </w:p>
    <w:p>
      <w:pPr>
        <w:spacing w:after="0" w:line="187"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The unaudited pro forma weighted average shares outstanding and net loss per share information give pro forma effect to the Business Combination as if it had occurred on January 1, 2023.</w:t>
      </w:r>
    </w:p>
    <w:p>
      <w:pPr>
        <w:spacing w:after="0" w:line="16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This information is only a summary and should be read together with the selected historical financial information included elsewhere in this proxy statement/prospectus and the audited financial statements of</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320" w:top="455" w:right="6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158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4615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23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Rezolve equivalent pro forma</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3"/>
            <w:vMerge w:val="continue"/>
          </w:tcPr>
          <w:p>
            <w:pPr>
              <w:spacing w:after="0"/>
              <w:rPr>
                <w:sz w:val="15"/>
                <w:szCs w:val="15"/>
                <w:color w:val="auto"/>
              </w:rPr>
            </w:pPr>
          </w:p>
        </w:tc>
        <w:tc>
          <w:tcPr>
            <w:tcW w:w="2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per share information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0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18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1220" w:type="dxa"/>
            <w:vAlign w:val="bottom"/>
            <w:tcBorders>
              <w:top w:val="single" w:sz="8" w:color="auto"/>
            </w:tcBorders>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40" w:type="dxa"/>
            <w:vAlign w:val="bottom"/>
          </w:tcPr>
          <w:p>
            <w:pPr>
              <w:spacing w:after="0"/>
              <w:rPr>
                <w:sz w:val="10"/>
                <w:szCs w:val="10"/>
                <w:color w:val="auto"/>
              </w:rPr>
            </w:pPr>
          </w:p>
        </w:tc>
        <w:tc>
          <w:tcPr>
            <w:tcW w:w="1140" w:type="dxa"/>
            <w:vAlign w:val="bottom"/>
            <w:tcBorders>
              <w:top w:val="single" w:sz="8" w:color="auto"/>
            </w:tcBorders>
          </w:tcPr>
          <w:p>
            <w:pPr>
              <w:jc w:val="center"/>
              <w:ind w:right="83"/>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040" w:type="dxa"/>
            <w:vAlign w:val="bottom"/>
            <w:tcBorders>
              <w:top w:val="single" w:sz="8" w:color="auto"/>
            </w:tcBorders>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7"/>
        </w:trPr>
        <w:tc>
          <w:tcPr>
            <w:tcW w:w="36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0"/>
                <w:szCs w:val="10"/>
                <w:b w:val="1"/>
                <w:bCs w:val="1"/>
                <w:color w:val="auto"/>
              </w:rPr>
              <w:t>(3)</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Book value per share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1.13</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(0.06)</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5,709,500</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1,171,727,667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1,170,309,980</w:t>
            </w:r>
          </w:p>
        </w:tc>
        <w:tc>
          <w:tcPr>
            <w:tcW w:w="140" w:type="dxa"/>
            <w:vAlign w:val="bottom"/>
          </w:tcPr>
          <w:p>
            <w:pPr>
              <w:spacing w:after="0"/>
              <w:rPr>
                <w:sz w:val="18"/>
                <w:szCs w:val="18"/>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204,702,306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203,284,619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Common</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(0.37)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subject to possible</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redemption outstanding, basic 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1,417,687</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share attributable to redeemable</w:t>
            </w:r>
          </w:p>
        </w:tc>
        <w:tc>
          <w:tcPr>
            <w:tcW w:w="10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(0.05)</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Ordinary Shares outstanding, basic</w:t>
            </w:r>
          </w:p>
        </w:tc>
        <w:tc>
          <w:tcPr>
            <w:tcW w:w="10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927,204,508</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 per Ordinary Share</w:t>
            </w:r>
          </w:p>
        </w:tc>
        <w:tc>
          <w:tcPr>
            <w:tcW w:w="10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(0.03)</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right="260" w:hanging="522"/>
        <w:spacing w:after="0" w:line="298" w:lineRule="auto"/>
        <w:tabs>
          <w:tab w:leader="none" w:pos="8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equals total equity available to common stockholders or ordinary shareholders, divided by the number of shares of common stock, ordinary shares and redeemable stock outstanding. Preferred and deferred shares are excluded.</w:t>
      </w:r>
    </w:p>
    <w:p>
      <w:pPr>
        <w:spacing w:after="0" w:line="69" w:lineRule="exact"/>
        <w:rPr>
          <w:rFonts w:ascii="Times New Roman" w:cs="Times New Roman" w:eastAsia="Times New Roman" w:hAnsi="Times New Roman"/>
          <w:sz w:val="16"/>
          <w:szCs w:val="16"/>
          <w:color w:val="auto"/>
        </w:rPr>
      </w:pPr>
    </w:p>
    <w:p>
      <w:pPr>
        <w:ind w:left="820" w:right="80" w:hanging="522"/>
        <w:spacing w:after="0" w:line="298" w:lineRule="auto"/>
        <w:tabs>
          <w:tab w:leader="none" w:pos="8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Rezolve is calculated by multiplying the pro forma combined per share data by the Exchange Rezolve Ordinary Ratio, which is expected to be one Ordinary Share for each share of Armada Common Stock.</w:t>
      </w:r>
    </w:p>
    <w:p>
      <w:pPr>
        <w:spacing w:after="0" w:line="69" w:lineRule="exact"/>
        <w:rPr>
          <w:rFonts w:ascii="Times New Roman" w:cs="Times New Roman" w:eastAsia="Times New Roman" w:hAnsi="Times New Roman"/>
          <w:sz w:val="16"/>
          <w:szCs w:val="16"/>
          <w:color w:val="auto"/>
        </w:rPr>
      </w:pPr>
    </w:p>
    <w:p>
      <w:pPr>
        <w:ind w:left="820" w:hanging="522"/>
        <w:spacing w:after="0"/>
        <w:tabs>
          <w:tab w:leader="none" w:pos="8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 presented.</w:t>
      </w:r>
    </w:p>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0"/>
          </w:cols>
          <w:pgMar w:left="320" w:top="455"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w:t>
      </w:r>
    </w:p>
    <w:p>
      <w:pPr>
        <w:spacing w:after="0" w:line="183"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and “our” refer to Armada prior to the consummation of the Business Combination and to Rezolve PLC and its subsidiaries following the consummation of the Business Combination.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Business Combination and Risks Relating to Armada’s Due Diligence and Evaluation of Rezolve</w:t>
      </w:r>
    </w:p>
    <w:p>
      <w:pPr>
        <w:spacing w:after="0" w:line="117"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complete an initial business combination prior to Armada’s applicable business combination deadline, our public stockholders may receive only approximately $11.36 per share on the liquidation of the Trust Account (or less than $11.36 per share in certain circumstances where a third party brings a claim against us that our Sponsor is unable to indemnify).</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by the applicable deadline, our public stockholders may receive only approximately $11.36 per share on the liquidation of the Trust Account (or less than $11.36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the Armada public stockholders vote.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Armada’s public stockholders may not have the same benefits as an investor in an underwritten public offering.</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w:t>
      </w:r>
    </w:p>
    <w:p>
      <w:pPr>
        <w:spacing w:after="0" w:line="28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proxy statement/prospectus may not be indicative of what Rezolve’s actual financial position or results of operations would have been.</w:t>
      </w:r>
    </w:p>
    <w:p>
      <w:pPr>
        <w:spacing w:after="0" w:line="5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Times New Roman" w:cs="Times New Roman" w:eastAsia="Times New Roman" w:hAnsi="Times New Roman"/>
          <w:sz w:val="17"/>
          <w:szCs w:val="17"/>
          <w:i w:val="1"/>
          <w:iCs w:val="1"/>
          <w:color w:val="auto"/>
        </w:rPr>
        <w:t>Unaudited Pro Forma Condensed Combined Financial Information</w:t>
      </w:r>
      <w:r>
        <w:rPr>
          <w:rFonts w:ascii="Times New Roman" w:cs="Times New Roman" w:eastAsia="Times New Roman" w:hAnsi="Times New Roman"/>
          <w:sz w:val="17"/>
          <w:szCs w:val="17"/>
          <w:color w:val="auto"/>
        </w:rPr>
        <w:t>” for more information.</w:t>
      </w:r>
    </w:p>
    <w:p>
      <w:pPr>
        <w:spacing w:after="0" w:line="262" w:lineRule="exact"/>
        <w:rPr>
          <w:sz w:val="20"/>
          <w:szCs w:val="20"/>
          <w:color w:val="auto"/>
        </w:rPr>
      </w:pPr>
    </w:p>
    <w:p>
      <w:pPr>
        <w:jc w:val="both"/>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expect to obtain an updated opinion from Marshall &amp; Stevens reflecting changes in circumstances that may occur after the signing of the amended and restated Business Combination Agreement.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of such opinion. For a description of the opinion issued by Northland and the opinion issued by Marshall &amp; Stevens to the Board, please see the sections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Business Combination Proposal — 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Northland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directors may decide not to enforce the indemnification obligations of Armada’s Sponsor, resulting in a reduction in the amount of funds in the Trust Account available for distribution to Armada’s public stockholders.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not have sufficient funds to satisfy indemnification claims of its directors and executive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ability to successfully effect the Business Combination and to be successful thereafter will be totally dependent upon the efforts of its and Rezolve’s key personnel.</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be subject to business uncertainties and contractual restrictions while the Business Combination is pending.</w:t>
      </w:r>
    </w:p>
    <w:p>
      <w:pPr>
        <w:spacing w:after="0" w:line="121" w:lineRule="exact"/>
        <w:rPr>
          <w:sz w:val="20"/>
          <w:szCs w:val="20"/>
          <w:color w:val="auto"/>
        </w:rPr>
      </w:pPr>
    </w:p>
    <w:p>
      <w:pPr>
        <w:jc w:val="both"/>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may waive one or more of the conditions to the Business Combination.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Times New Roman" w:cs="Times New Roman" w:eastAsia="Times New Roman" w:hAnsi="Times New Roman"/>
          <w:sz w:val="18"/>
          <w:szCs w:val="18"/>
          <w:i w:val="1"/>
          <w:iCs w:val="1"/>
          <w:color w:val="auto"/>
        </w:rPr>
        <w:t>Proposal No. 1 — Approval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The Business Combination Agreement</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and Rezolve will incur significant transaction and transition costs in connection with the Business Combination.</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w:t>
      </w:r>
    </w:p>
    <w:p>
      <w:pPr>
        <w:spacing w:after="0" w:line="262"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67"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w:t>
      </w:r>
    </w:p>
    <w:p>
      <w:pPr>
        <w:spacing w:after="0" w:line="81" w:lineRule="exact"/>
        <w:rPr>
          <w:sz w:val="20"/>
          <w:szCs w:val="20"/>
          <w:color w:val="auto"/>
        </w:rPr>
      </w:pPr>
    </w:p>
    <w:p>
      <w:pPr>
        <w:ind w:left="1080" w:hanging="424"/>
        <w:spacing w:after="0" w:line="254"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each be appointed as board members of Rezolve after the Business Combination and shall be entitled to receive compensation for serving on Rezolve’s board of directors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02" w:lineRule="exact"/>
        <w:rPr>
          <w:sz w:val="20"/>
          <w:szCs w:val="20"/>
          <w:color w:val="auto"/>
        </w:rPr>
      </w:pPr>
    </w:p>
    <w:p>
      <w:pPr>
        <w:jc w:val="both"/>
        <w:ind w:left="1080" w:hanging="424"/>
        <w:spacing w:after="0" w:line="261"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w:t>
      </w:r>
    </w:p>
    <w:p>
      <w:pPr>
        <w:spacing w:after="0" w:line="6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Armada’s Sponsor, directors, or officers or their affiliates may purchase shares in privately negotiated transactions or in the open market either prior to or following the completion of its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of the post-combination company may not be able to enforce judgments entered by United States courts against certain of Rezolve’s officers and directors.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post-combination company fails to introduce or acquire new offerings or services that achieve broad market acceptance on a timely basis, or if its offerings or services are not adopted as expected, Rezolve will not be able to compete effectively.</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internal controls over financial reporting may not be effective and its independent registered public accounting firm may not be able to certify as to their effectiveness, which could have a significant and adverse effect on its business and reputation.</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w:t>
      </w:r>
    </w:p>
    <w:p>
      <w:pPr>
        <w:spacing w:after="0" w:line="188"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w:t>
      </w:r>
    </w:p>
    <w:p>
      <w:pPr>
        <w:spacing w:after="0" w:line="275"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Armada’s affiliates to purchase, directly or indirectly, public shares will increase the likelihood of approval of the Business Combination Proposal and the other Proposals and may affect the market price of Armada’s securities.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Armada’s business, investments and results of operations.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292"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Armada Warrant Agreement designates the courts of the State of New York or the United States District Court for the Southern District of New York as the sole and exclusive forums for certain types of actions and proceedings that may be initiated by holders of Rezolve Warrants, which could limit the ability of warrant holders to obtain a favorable judicial forum for disputes with Rezolve.</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Armada Warrant Agreement provides that, subject to applicable law, (i) any action, proceeding or claim arising out of or relating in any way to the Armada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forums for any such action, proceeding or claim. We will waive any objection to such exclusive jurisdiction and that such courts represent an inconvenient forum.</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these provisions of the Armada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the Armada Warrant Agreement.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provisions of the Armada Warrant Agreement, is filed in a court other than courts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the Armada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Closing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absence of such a redemption threshold may make it easier for Armada to consummate a business combination even where a substantial number of public stockholders seek to redeem their shares to cash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unless the Charter Limitation Amendment Proposal is approved and implemented. If there are insufficient funds in the Trust Account at Closing to satisfy the requirement for $5,000,001 of net tangible assets and the Charter Limitation Amendment Proposal is not approved, the Combined Company will have to obtain additional funding, and if it fails to do so, may not be able to close the Business Combination.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Business Combination Agreement are not met, the Business Combination may not occur.</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Times New Roman" w:cs="Times New Roman" w:eastAsia="Times New Roman" w:hAnsi="Times New Roman"/>
          <w:sz w:val="18"/>
          <w:szCs w:val="18"/>
          <w:i w:val="1"/>
          <w:iCs w:val="1"/>
          <w:color w:val="auto"/>
        </w:rPr>
        <w:t>Conditions to the Closing of the Business Combination Agreement</w:t>
      </w:r>
      <w:r>
        <w:rPr>
          <w:rFonts w:ascii="Times New Roman" w:cs="Times New Roman" w:eastAsia="Times New Roman" w:hAnsi="Times New Roman"/>
          <w:sz w:val="18"/>
          <w:szCs w:val="18"/>
          <w:color w:val="auto"/>
        </w:rPr>
        <w:t>.”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w:t>
      </w:r>
    </w:p>
    <w:p>
      <w:pPr>
        <w:spacing w:after="0" w:line="291"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w:t>
      </w:r>
    </w:p>
    <w:p>
      <w:pPr>
        <w:spacing w:after="0" w:line="17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w:t>
      </w:r>
    </w:p>
    <w:p>
      <w:pPr>
        <w:spacing w:after="0" w:line="19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 Ordinary Shares are a “penny stock” which will require brokers trading in Rezolve Ordinary Shares to adhere to more stringent rules, possibly resulting in a reduced level of trading activity in the secondary trading market for Rezolve Ordinary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 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Redemptions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 does not have a specified maximum redemption threshold. The absence of such a redemption threshold may make it possible for Armada to complete a Business Combination with which a substantial majority of our stockholders do not agree.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Armada Charter does not provide a specified maximum redemption threshold, except that the Armada Charter prohibits Armada from closing the Business Combination if its net tangible assets would be less than $5,000,001, unless the Charter Limitation Amendment Proposal is approved and implemented. As a result, Armada may be able to complete Armada’s Business Combination even though a portion of its public stockholders do not agree with the transaction and have redeemed their shares or have entered into privately negotiated agreements to sell their shares to Armada’s Sponsor, directors or officers or their affiliates. Based on the amount of approximately $16,101,175 in Armada’s Trust Account as of June 20, 2024, 1,417,687 shares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Armada Common Stock may be redeemed and still enable Armada to have sufficient cash to satisfy the $5,000,001 net tangible assets requirement.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the aggregate cash consideration Armada would be required to pay for all shares of Armada Common Stock that are validly submitted for redemption plus the cash amount specified in the Business 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w:t>
      </w:r>
    </w:p>
    <w:p>
      <w:pPr>
        <w:spacing w:after="0" w:line="284"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w:t>
      </w:r>
    </w:p>
    <w:p>
      <w:pPr>
        <w:spacing w:after="0" w:line="2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Armada Charter would prohibit Armada from closing the Business Combination if its net tangible assets would be less than $5,000,001, unless the Charter Limitation Amendment Proposal is approved and implemented. Armada does not know how many stockholders will exercise their redemption rights in connection with the Business Combination and therefore whether it will be able to close the Business Combination if the Charter Limitation Amendment is not approved and implemented.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w:t>
      </w:r>
    </w:p>
    <w:p>
      <w:pPr>
        <w:spacing w:after="0" w:line="29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27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Armada’s stockholders fail to comply with the redemption requirements specified in this proxy statement/prospectus, they will not be entitled to redeem their shares of Armada Common Stock for a pro rata portion of the funds held in the Trust Account.</w:t>
      </w:r>
    </w:p>
    <w:p>
      <w:pPr>
        <w:spacing w:after="0" w:line="5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Company Stockholders — Redemption Rights</w:t>
      </w:r>
      <w:r>
        <w:rPr>
          <w:rFonts w:ascii="Times New Roman" w:cs="Times New Roman" w:eastAsia="Times New Roman" w:hAnsi="Times New Roman"/>
          <w:sz w:val="18"/>
          <w:szCs w:val="18"/>
          <w:color w:val="auto"/>
        </w:rPr>
        <w:t>,”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292"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stockholder fails to receive notice of Armada’s offer to redeem its public shares in connection with its Business Combination or fails to comply with the procedures for tendering its shares, such shares may not be redeemed.</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the post-combination company’s strategic plan could be negatively impacted to the extent a significant number of stockholders choose to redeem their shares in connection with the Business Combination.</w:t>
      </w:r>
    </w:p>
    <w:p>
      <w:pPr>
        <w:spacing w:after="0" w:line="5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w:t>
      </w:r>
    </w:p>
    <w:p>
      <w:pPr>
        <w:spacing w:after="0" w:line="262"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Armada, the proceeds held in trust could be reduced and the per-share redemption price received by stockholders may be less than $10.00 per share.</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Armada’s stockholders may be held liable for claims by third parties against Armada to the extent of distributions received by them upon redemption of their shares.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Shares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Nasdaq may not list Rezolve’s securities on its exchange, which could limit investors’ ability to make transactions in its securities and subject Rezolve to additional trading restrictions.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Rezolve fails to meet the initial listing requirements and the Nasdaq does not list the post-combination company’s securities on its exchange, Rezolve would not be required to consummate the Business Combination. 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Rezolve’s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Rezolve’s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Rezolve’s Ordinary Shares are a “penny stock” which will require brokers trading in the Rezolve Ordinary Shares to adhere to more stringent rules and possibly result in a reduced level of trading activity in the secondary trading market for its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 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estimates or judgments relating to Rezolve’s critical accounting policies are ultimately incorrect, Rezolve’s results of operations could be adversely affected.</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w:t>
      </w:r>
    </w:p>
    <w:p>
      <w:pPr>
        <w:spacing w:after="0" w:line="293"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adversely affect Rezolve’s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w:t>
      </w:r>
    </w:p>
    <w:p>
      <w:pPr>
        <w:spacing w:after="0" w:line="284"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As a result, we qualify for, and may rely on, exemptions from certain corporate governance requirements that provide protection to stockholders of other companies.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 as defined under the Nasdaq rules;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compensation committee that is composed entirely of independent directors with a written charter addressing the committee’s purpose and responsibilities;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compensation and nominating and corporate governance committees.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Rezolve may choose to utilize certain of these exemptions. Accordingly, you will not have the same protections afforded to stockholders of companies that are subject to all of the corporate governance requirements of the Nasdaq.</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Nasdaq has developed listing standards regarding compensation committee independence requirements and the role and disclosure of compensation consultants and other advisers to the compensation committee that, among other things, requires:</w:t>
      </w:r>
    </w:p>
    <w:p>
      <w:pPr>
        <w:spacing w:after="0" w:line="67" w:lineRule="exact"/>
        <w:rPr>
          <w:sz w:val="20"/>
          <w:szCs w:val="20"/>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composed of independent directors, as determined pursuant to new independence requirements;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explicitly charged with hiring and overseeing compensation consultants, legal counsel and other committee advisors; and</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committees be required to consider, when engaging compensation consultants, legal counsel or other advisors, certain independence factors, including factors that examine the relationship between the consultant or advisor’s employer and us.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controlled company, Rezolve will not be subject to these compensation committee independence requirements.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Rezolve’s financial position, results of operations, and cash flows.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w:t>
      </w:r>
    </w:p>
    <w:p>
      <w:pPr>
        <w:spacing w:after="0" w:line="7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assuming minimum redemptions: (i) Armada public stockholders will retain an ownership interest of approximately 0.82% in Rezolve (not including shares beneficially owned by Armada’s Sponsor); (ii) Armada’s Sponsor will own approximately 2.28% of Rezolve; and (iii) the existing Rezolve equity holders will own approximately 95.89% of Rezolve. The ownership percentage with respect to Rezolve following the Business Combination does not take into account the issuance of any shares upon completion of the Business Combination under the Rezolve Incentive Equity Plan, a copy of which is attached to this proxy statement/prospectus as Annex G,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“Proposal No. 3 — The Incentive Equity Plan Proposal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additional Ordinary Shares will significantly dilute the equity interests of existing holders of Armada securities and may adversely affect prevailing market prices for Armada’s units, public shares or public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Business and Industry</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31" w:lineRule="exact"/>
        <w:rPr>
          <w:sz w:val="20"/>
          <w:szCs w:val="20"/>
          <w:color w:val="auto"/>
        </w:rPr>
      </w:pPr>
    </w:p>
    <w:p>
      <w:pPr>
        <w:ind w:left="1080" w:right="54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30"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30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81"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81"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87"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31" w:lineRule="exact"/>
        <w:rPr>
          <w:sz w:val="20"/>
          <w:szCs w:val="20"/>
          <w:color w:val="auto"/>
        </w:rPr>
      </w:pPr>
    </w:p>
    <w:p>
      <w:pPr>
        <w:ind w:left="1080" w:right="12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jc w:val="both"/>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31" w:lineRule="exact"/>
        <w:rPr>
          <w:sz w:val="20"/>
          <w:szCs w:val="20"/>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8"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81" w:lineRule="exact"/>
        <w:rPr>
          <w:sz w:val="20"/>
          <w:szCs w:val="20"/>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8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left="12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Rezolve’s Memorandum and Articles of Association will provide that Rezolve will indemnify its directors and officers, in each case to the fullest extent permitted by English law.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Rezolve Ordinary Shares and Rezolve Operating as a Public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Rezolve Ordinary Shares could be volatile, and the value of Rezolve Ordinary Shares may decline.</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price you paid in the Transactions. Factors that could cause fluctuations in the trading price of Rezolve Ordinary Shares include the following:</w:t>
      </w:r>
    </w:p>
    <w:p>
      <w:pPr>
        <w:spacing w:after="0" w:line="94" w:lineRule="exact"/>
        <w:rPr>
          <w:sz w:val="20"/>
          <w:szCs w:val="20"/>
          <w:color w:val="auto"/>
        </w:rPr>
      </w:pPr>
    </w:p>
    <w:p>
      <w:pPr>
        <w:ind w:left="1080" w:hanging="424"/>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30" w:lineRule="exact"/>
        <w:rPr>
          <w:rFonts w:ascii="Times New Roman" w:cs="Times New Roman" w:eastAsia="Times New Roman" w:hAnsi="Times New Roman"/>
          <w:sz w:val="18"/>
          <w:szCs w:val="18"/>
          <w:color w:val="auto"/>
        </w:rPr>
      </w:pPr>
    </w:p>
    <w:p>
      <w:pPr>
        <w:ind w:left="5540" w:right="4120" w:hanging="4884"/>
        <w:spacing w:after="0" w:line="454" w:lineRule="auto"/>
        <w:tabs>
          <w:tab w:leader="none" w:pos="109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 87</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Rezolve Ordinary Shares by shareholders;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Rezolve Ordinary Shares could decline for reasons unrelated to our business, 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320" w:top="455" w:right="5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Rezolve Ordinary Shares.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the Closing, the price of Rezolve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8"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will become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88"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Rezolve’s Ordinary Shares could have an adverse effect on Rezolve’s ability to develop a liquid market for Rezolve’s Ordinary Shares.</w:t>
      </w:r>
    </w:p>
    <w:p>
      <w:pPr>
        <w:spacing w:after="0" w:line="329"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9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are an “emerging growth company” as that term is used in the JOBS Act, and we may remain an emerging growth company until the earlier of</w:t>
      </w:r>
    </w:p>
    <w:p>
      <w:pPr>
        <w:spacing w:after="0" w:line="39" w:lineRule="exact"/>
        <w:rPr>
          <w:sz w:val="20"/>
          <w:szCs w:val="20"/>
          <w:color w:val="auto"/>
        </w:rPr>
      </w:pPr>
    </w:p>
    <w:p>
      <w:pPr>
        <w:jc w:val="both"/>
        <w:ind w:left="120" w:right="560" w:hanging="4"/>
        <w:spacing w:after="0" w:line="253" w:lineRule="auto"/>
        <w:tabs>
          <w:tab w:leader="none" w:pos="33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Rezolve Ordinary Shares.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85" w:lineRule="exact"/>
        <w:rPr>
          <w:sz w:val="20"/>
          <w:szCs w:val="20"/>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83"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Following the Business Combination—Foreign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Rezolve Ordinary Shares in connection with financings, acquisitions, investments, our stock incentive plans, or otherwise will dilute all other shareholders.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 See “</w:t>
      </w:r>
      <w:r>
        <w:rPr>
          <w:rFonts w:ascii="Times New Roman" w:cs="Times New Roman" w:eastAsia="Times New Roman" w:hAnsi="Times New Roman"/>
          <w:sz w:val="18"/>
          <w:szCs w:val="18"/>
          <w:i w:val="1"/>
          <w:iCs w:val="1"/>
          <w:color w:val="auto"/>
        </w:rPr>
        <w:t>Material Tax Considerations — Material U.S. Federal Income Tax Considerations—Tax Consequences to U.S. 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and Disposition of Rezolve Ordinary Shares and Rezolve Warrants—Passive Foreign Investment Company Rules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Rezolve—Tax Residence of Rezolve for U.S. Federal Income Tax Purposes</w:t>
      </w:r>
      <w:r>
        <w:rPr>
          <w:rFonts w:ascii="Times New Roman" w:cs="Times New Roman" w:eastAsia="Times New Roman" w:hAnsi="Times New Roman"/>
          <w:sz w:val="18"/>
          <w:szCs w:val="18"/>
          <w:color w:val="auto"/>
        </w:rPr>
        <w:t>,” based on the terms of the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7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Residence of Rezolve for U.S. Federal Income Tax Purposes</w:t>
      </w:r>
      <w:r>
        <w:rPr>
          <w:rFonts w:ascii="Times New Roman" w:cs="Times New Roman" w:eastAsia="Times New Roman" w:hAnsi="Times New Roman"/>
          <w:sz w:val="18"/>
          <w:szCs w:val="18"/>
          <w:color w:val="auto"/>
        </w:rPr>
        <w:t>” for a more detailed discussion of the application of Section 7874 of the Code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Investors in Rezolve should consult their own advisors regarding the application of Section 7874 of the Code to the Business Combination.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in future acquisitions of U.S. corporations over a 36-month period following the Business Combination. If Rezolve were to be treated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acquiring substantially all of the assets of a U.S. corporation or U.S. partnership within a 36-month period after the Business Combination,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Regulations would exclude certain shares of Rezolve attributable to the Business Combination for purposes of determining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7874 Percentage of that subsequent acquisition, making it more likely that Section 7874 of the Code will apply to such subsequent acquisition.</w:t>
      </w:r>
    </w:p>
    <w:p>
      <w:pPr>
        <w:spacing w:after="0" w:line="205"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may be treated as a taxable exchange to Holders of Armada Common Stock or warrants.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but it is uncertain under applicable law whether it can so qualify.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order for the Business Combination to so qualify, among other requirements, it is necessary that Rezolve either (i) continue Armada’s historic business or (ii) use a significant portion of Armada’s historic business assets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60"/>
          </w:cols>
          <w:pgMar w:left="320" w:top="455"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w:t>
      </w:r>
    </w:p>
    <w:p>
      <w:pPr>
        <w:spacing w:after="0" w:line="17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Excise Tax imposed by the Inflation Reduction Act could be imposed on us in connection with redemptions by us of our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Armada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combines the historical balance sheet of Armada and the carve-out consolidated balance sheet of Rezolve on a pro forma basis as if the Business Combination and related transactions, summarized below, had been consummated on December 31, 2023. The unaudited pro forma condensed combined statement of operations for the year ended December 31, 2023 combines the historical statements of operations of Armada and Rezolve on a pro forma basis as if the Business Combination and related transactions had been consummated on January 1, 2023, the beginning of the earliest period presented. For a description of the Business Combination and related transactions please see the section titled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December 31, 2023,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2023, nor are they indicative of the results of operations of the Combined Company for any future period. The unaudited pro forma condensed combined financial information should be read in conjunction with:</w:t>
      </w:r>
    </w:p>
    <w:p>
      <w:pPr>
        <w:spacing w:after="0" w:line="93" w:lineRule="exact"/>
        <w:rPr>
          <w:sz w:val="20"/>
          <w:szCs w:val="20"/>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Armada believes that its assumptions and methodologies provide a reasonable basis for presenting all of the significant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has been determined to be the accounting acquirer based on evaluation of the following facts and circumstances:</w:t>
      </w:r>
    </w:p>
    <w:p>
      <w:pPr>
        <w:spacing w:after="0" w:line="131" w:lineRule="exact"/>
        <w:rPr>
          <w:sz w:val="20"/>
          <w:szCs w:val="20"/>
          <w:color w:val="auto"/>
        </w:rPr>
      </w:pPr>
    </w:p>
    <w:p>
      <w:pPr>
        <w:ind w:left="1080" w:right="20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 AI PLC;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will continue to use Rezolve’s name and Rezolve’s headquarters in London.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w:t>
      </w:r>
    </w:p>
    <w:p>
      <w:pPr>
        <w:spacing w:after="0" w:line="81" w:lineRule="exact"/>
        <w:rPr>
          <w:sz w:val="20"/>
          <w:szCs w:val="20"/>
          <w:color w:val="auto"/>
        </w:rPr>
      </w:pPr>
    </w:p>
    <w:p>
      <w:pPr>
        <w:ind w:left="1080" w:hanging="424"/>
        <w:spacing w:after="0" w:line="254"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Minimum Redemptions: </w:t>
      </w:r>
      <w:r>
        <w:rPr>
          <w:rFonts w:ascii="Times New Roman" w:cs="Times New Roman" w:eastAsia="Times New Roman" w:hAnsi="Times New Roman"/>
          <w:sz w:val="18"/>
          <w:szCs w:val="18"/>
          <w:color w:val="auto"/>
        </w:rPr>
        <w:t>This scenario gives effect to Armada Share Redemptions of 13,582,313 shares of Armada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for aggregate redemption payments of approximately $139.4 million at a aggregate redemption price of approximately $10.26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85" w:lineRule="exact"/>
        <w:rPr>
          <w:sz w:val="20"/>
          <w:szCs w:val="20"/>
          <w:color w:val="auto"/>
        </w:rPr>
      </w:pPr>
    </w:p>
    <w:p>
      <w:pPr>
        <w:ind w:left="1080" w:right="20" w:hanging="424"/>
        <w:spacing w:after="0" w:line="256"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w:t>
      </w:r>
      <w:r>
        <w:rPr>
          <w:rFonts w:ascii="Times New Roman" w:cs="Times New Roman" w:eastAsia="Times New Roman" w:hAnsi="Times New Roman"/>
          <w:sz w:val="18"/>
          <w:szCs w:val="18"/>
          <w:color w:val="auto"/>
        </w:rPr>
        <w:t>This scenario assumes that all shares of Armada common stock are redeemed for their pro rata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cash in the Trust Account in connection with the Armada Share Redemptions. This scenario gives effect to Armada Share Redemptions of 1,417,687 shares of Armada common stock for aggregate redemption payments of $15,554,172 at a redemption price of approximately $10.97 per share based on the investments held in the Trust Account as of December 31, 2023. This scenario also assumes</w:t>
      </w:r>
    </w:p>
    <w:p>
      <w:pPr>
        <w:spacing w:after="0" w:line="3" w:lineRule="exact"/>
        <w:rPr>
          <w:rFonts w:ascii="Times New Roman" w:cs="Times New Roman" w:eastAsia="Times New Roman" w:hAnsi="Times New Roman"/>
          <w:sz w:val="18"/>
          <w:szCs w:val="18"/>
          <w:color w:val="auto"/>
        </w:rPr>
      </w:pPr>
    </w:p>
    <w:p>
      <w:pPr>
        <w:ind w:left="1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the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 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131"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5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94" w:lineRule="exact"/>
        <w:rPr>
          <w:sz w:val="20"/>
          <w:szCs w:val="20"/>
          <w:color w:val="auto"/>
        </w:rPr>
      </w:pPr>
    </w:p>
    <w:p>
      <w:pPr>
        <w:ind w:left="1540" w:right="160" w:hanging="439"/>
        <w:spacing w:after="0" w:line="266" w:lineRule="auto"/>
        <w:tabs>
          <w:tab w:leader="none" w:pos="1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60"/>
        <w:spacing w:after="0" w:line="266" w:lineRule="auto"/>
        <w:rPr>
          <w:sz w:val="20"/>
          <w:szCs w:val="20"/>
          <w:color w:val="auto"/>
        </w:rPr>
      </w:pPr>
      <w:r>
        <w:rPr>
          <w:rFonts w:ascii="Times New Roman" w:cs="Times New Roman" w:eastAsia="Times New Roman" w:hAnsi="Times New Roman"/>
          <w:sz w:val="18"/>
          <w:szCs w:val="18"/>
          <w:color w:val="auto"/>
        </w:rPr>
        <w:t>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81" w:lineRule="exact"/>
        <w:rPr>
          <w:sz w:val="20"/>
          <w:szCs w:val="20"/>
          <w:color w:val="auto"/>
        </w:rPr>
      </w:pPr>
    </w:p>
    <w:p>
      <w:pPr>
        <w:ind w:left="1080" w:right="160" w:hanging="424"/>
        <w:spacing w:after="0" w:line="261"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3" w:lineRule="exact"/>
        <w:rPr>
          <w:sz w:val="20"/>
          <w:szCs w:val="20"/>
          <w:color w:val="auto"/>
        </w:rPr>
      </w:pPr>
    </w:p>
    <w:p>
      <w:pPr>
        <w:ind w:left="120" w:right="100" w:hanging="4"/>
        <w:spacing w:after="0" w:line="260" w:lineRule="auto"/>
        <w:tabs>
          <w:tab w:leader="none" w:pos="3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w:t>
      </w:r>
    </w:p>
    <w:p>
      <w:pPr>
        <w:spacing w:after="0" w:line="18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Armada cannot assure you that the Nasdaq Closing Condition will be satisfied without additional third-party financing, which may involve dilutive equity issuances or the incurrence of indebtedness at higher-than-desirable levels. Rezolve’s eligibility for listing on Nasdaq may depend on the number of shares of Armada Common Stock that are redeemed in connection with the Business Combination, and Rezolve’s ability to satisfy initial listing criteria, including certain financial and liquidity measures.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Even if the Nasdaq Listing Condition is met or, if not met, waived by Rezolve,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Ownership</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number of shares issued in Rezolve AI Limited to the shareholders of Rezolve Limited pursuant to the Pre-Closing Demerger is expected to be in the order of 1 share in Rezolve for each 6.13 shares held in Rezolve Limited but this will be subject to final determination at the time of the Pre-Closing Demerger. This adjustment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share numbers will enable the issue of the appropriate number of shares in Rezolve so that each Company Shareholder will after the Pre-Closing Demerger and the Company Reorganization hold his, her or its applicable pro rata portion of the aggregate stock consideration in accordance with the terms of the Business Combination Agreement.</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shares of Rezolve AI PLC common stock issued and outstanding immediately after the Closing, presenting the two redemption scenarios: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w:t>
            </w:r>
          </w:p>
        </w:tc>
      </w:tr>
      <w:tr>
        <w:trPr>
          <w:trHeight w:val="148"/>
        </w:trPr>
        <w:tc>
          <w:tcPr>
            <w:tcW w:w="55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minimum</w:t>
            </w: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Max</w:t>
            </w:r>
          </w:p>
        </w:tc>
      </w:tr>
      <w:tr>
        <w:trPr>
          <w:trHeight w:val="173"/>
        </w:trPr>
        <w:tc>
          <w:tcPr>
            <w:tcW w:w="55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Equity holders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166,355,973</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166,355,973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1,417,687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Founder and Private Placement Shares</w:t>
            </w:r>
            <w:r>
              <w:rPr>
                <w:rFonts w:ascii="Times New Roman" w:cs="Times New Roman" w:eastAsia="Times New Roman" w:hAnsi="Times New Roman"/>
                <w:sz w:val="25"/>
                <w:szCs w:val="25"/>
                <w:color w:val="auto"/>
                <w:vertAlign w:val="superscript"/>
              </w:rPr>
              <w:t>(1)</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5,709,500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5,709,500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PIPE Investors</w:t>
            </w: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Armada Public Warrants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7,500,000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Advanced subscription agreements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10,783,484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10,783,484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9,814,940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9,814,940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Options and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10,620,722</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10,620,722</w:t>
            </w:r>
          </w:p>
        </w:tc>
      </w:tr>
      <w:tr>
        <w:trPr>
          <w:trHeight w:val="27"/>
        </w:trPr>
        <w:tc>
          <w:tcPr>
            <w:tcW w:w="5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212,202,306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210,784,619</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45" w:lineRule="auto"/>
        <w:tabs>
          <w:tab w:leader="none" w:pos="540" w:val="left"/>
        </w:tabs>
        <w:numPr>
          <w:ilvl w:val="0"/>
          <w:numId w:val="1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number of shares of Rezolve AI PLC allocated in respect of (i) the 459,500 Private Placement Shares, (ii) 4,882,500 Founder Shares, (iii) 205,000 shares held by Armada’s directors and officers and (iv) 162,500 shares held by EarlyBirdCapital, Inc.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(without giving effect to any adjustments in respect of the Closing of the Business Combination)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Founders Shares (without giving effect to any adjustments in respect of the Closing of the Business Combination)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w:t>
      </w:r>
    </w:p>
    <w:p>
      <w:pPr>
        <w:spacing w:after="0" w:line="20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these assumptions are ultimately incorrect, the amounts and shares outstanding in the unaudited pro forma condensed combined financial information will be different and such differences could be material. Additionally, the number of shares issued or issuable pursuant to the Employee Share Ownerships Plans and their accounting impact were considered for the purposes of these pro forma condensed combined financial statements, but no adjustments were required to be made in respect thereof in these unaudited pro forma condensed combined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80" w:type="dxa"/>
            <w:vAlign w:val="bottom"/>
          </w:tcPr>
          <w:p>
            <w:pPr>
              <w:spacing w:after="0"/>
              <w:rPr>
                <w:sz w:val="13"/>
                <w:szCs w:val="13"/>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0" w:type="dxa"/>
            <w:vAlign w:val="bottom"/>
          </w:tcPr>
          <w:p>
            <w:pPr>
              <w:spacing w:after="0"/>
              <w:rPr>
                <w:sz w:val="15"/>
                <w:szCs w:val="15"/>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1740" w:type="dxa"/>
            <w:vAlign w:val="bottom"/>
            <w:tcBorders>
              <w:bottom w:val="single" w:sz="8" w:color="auto"/>
            </w:tcBorders>
            <w:gridSpan w:val="4"/>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0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960" w:type="dxa"/>
            <w:vAlign w:val="bottom"/>
            <w:gridSpan w:val="3"/>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4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10,441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54,405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(31,530,000)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(3,100,000)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(5,132,351)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(1,394,287)</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(2,776,600)</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43,868,392</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12,534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12,534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12,534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299,013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13,534</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312,547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312,547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321,988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67,939</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(64,846)</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325,081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325,081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79,593</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79,593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79,593</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and Intangible assets,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2,134,903</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2,134,903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2,134,903</w:t>
            </w:r>
          </w:p>
        </w:tc>
        <w:tc>
          <w:tcPr>
            <w:tcW w:w="0" w:type="dxa"/>
            <w:vAlign w:val="bottom"/>
          </w:tcPr>
          <w:p>
            <w:pPr>
              <w:spacing w:after="0"/>
              <w:rPr>
                <w:sz w:val="1"/>
                <w:szCs w:val="1"/>
                <w:color w:val="auto"/>
              </w:rPr>
            </w:pPr>
          </w:p>
        </w:tc>
      </w:tr>
      <w:tr>
        <w:trPr>
          <w:trHeight w:val="181"/>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Intangible assets, net Investment and investment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held in trust account,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25,871,565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(15,554,172)</w:t>
            </w:r>
          </w:p>
        </w:tc>
        <w:tc>
          <w:tcPr>
            <w:tcW w:w="660" w:type="dxa"/>
            <w:vAlign w:val="bottom"/>
            <w:gridSpan w:val="2"/>
            <w:vMerge w:val="continue"/>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(10,317,393)</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2,536,484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25,939,504</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debt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Bank overdraft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28,314,220</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28,417,394</w:t>
            </w: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9"/>
              </w:rPr>
              <w:t>15,554,172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(q)</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44,127,108</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Short term debt - related party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6,225,815</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(5,587,343)</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(g)</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638,472</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638,472</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4,997,159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5,132,351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(5,132,351)</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4,997,159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4,997,159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350,120</w:t>
            </w: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350,120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350,120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payable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1,394,287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(1,394,287)</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(c)</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(r)</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(155,542)</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(103,174)</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(f)</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2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40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Promissory Notes-Related Party</w:t>
            </w: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(2,776,600)</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(d)</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payable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8,223,928</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(8,223,928)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agreement liability, net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6,752</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6,752</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payables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4,492,790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4,492,790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liability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1,311,028</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1,311,028</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31,220,528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(31,220,528)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56,821,368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9,309,990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(25,917,643)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55,923,429</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w w:val="86"/>
              </w:rPr>
              <w:t>— </w:t>
            </w: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$56,821,368</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$ 9,309,990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(25,917,643)</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8"/>
              </w:rPr>
              <w:t>$40,213,715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$55,923,429</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15,000,000 shares at redemption value of $10.20 per</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 at December 31, 2023</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25,784,690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(10,317,393)</w:t>
            </w:r>
          </w:p>
        </w:tc>
        <w:tc>
          <w:tcPr>
            <w:tcW w:w="460" w:type="dxa"/>
            <w:vAlign w:val="bottom"/>
            <w:vMerge w:val="continue"/>
            <w:shd w:val="clear" w:color="auto" w:fill="CCEEFF"/>
          </w:tcPr>
          <w:p>
            <w:pPr>
              <w:spacing w:after="0"/>
              <w:rPr>
                <w:sz w:val="19"/>
                <w:szCs w:val="19"/>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(15,467,297)</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25,784,690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(25,784,690)</w:t>
            </w: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Shares issued and outstanding as of December 31, 2023 -</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932,969,424; as of December 31, 2022 - 927,806,159</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at par value £0.0001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127,310</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1,374</w:t>
            </w:r>
          </w:p>
        </w:tc>
        <w:tc>
          <w:tcPr>
            <w:tcW w:w="460" w:type="dxa"/>
            <w:vAlign w:val="bottom"/>
            <w:vMerge w:val="continue"/>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142,594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w:t>
            </w:r>
          </w:p>
        </w:tc>
        <w:tc>
          <w:tcPr>
            <w:tcW w:w="480" w:type="dxa"/>
            <w:vAlign w:val="bottom"/>
            <w:vMerge w:val="continue"/>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142,491</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1,269</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3,868</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(l)</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303</w:t>
            </w:r>
          </w:p>
        </w:tc>
        <w:tc>
          <w:tcPr>
            <w:tcW w:w="4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7,464</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Assuming Minimum</w:t>
            </w:r>
          </w:p>
        </w:tc>
        <w:tc>
          <w:tcPr>
            <w:tcW w:w="100" w:type="dxa"/>
            <w:vAlign w:val="bottom"/>
          </w:tcPr>
          <w:p>
            <w:pPr>
              <w:spacing w:after="0"/>
              <w:rPr>
                <w:sz w:val="13"/>
                <w:szCs w:val="13"/>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7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 w:type="dxa"/>
            <w:vAlign w:val="bottom"/>
          </w:tcPr>
          <w:p>
            <w:pPr>
              <w:spacing w:after="0"/>
              <w:rPr>
                <w:sz w:val="15"/>
                <w:szCs w:val="15"/>
                <w:color w:val="auto"/>
              </w:rPr>
            </w:pPr>
          </w:p>
        </w:tc>
        <w:tc>
          <w:tcPr>
            <w:tcW w:w="24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04"/>
        </w:trPr>
        <w:tc>
          <w:tcPr>
            <w:tcW w:w="3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60" w:type="dxa"/>
            <w:vAlign w:val="bottom"/>
            <w:gridSpan w:val="2"/>
            <w:vMerge w:val="continue"/>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04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 of</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200" w:type="dxa"/>
            <w:vAlign w:val="bottom"/>
          </w:tcPr>
          <w:p>
            <w:pPr>
              <w:spacing w:after="0"/>
              <w:rPr>
                <w:sz w:val="15"/>
                <w:szCs w:val="15"/>
                <w:color w:val="auto"/>
              </w:rPr>
            </w:pPr>
          </w:p>
        </w:tc>
        <w:tc>
          <w:tcPr>
            <w:tcW w:w="1040" w:type="dxa"/>
            <w:vAlign w:val="bottom"/>
            <w:gridSpan w:val="2"/>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61"/>
        </w:trPr>
        <w:tc>
          <w:tcPr>
            <w:tcW w:w="340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Series A shares issued and outstanding as of</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2023 and December 31, 2022 -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(l)</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28,039,517 nil at par value £0.0001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(3,868)</w:t>
            </w:r>
          </w:p>
        </w:tc>
        <w:tc>
          <w:tcPr>
            <w:tcW w:w="600" w:type="dxa"/>
            <w:vAlign w:val="bottom"/>
            <w:gridSpan w:val="2"/>
            <w:vMerge w:val="continue"/>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81"/>
        </w:trPr>
        <w:tc>
          <w:tcPr>
            <w:tcW w:w="34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Common stock, $0.0001 par value;</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100,000,000 shares authorized; 5,709,500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570</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(570)</w:t>
            </w:r>
          </w:p>
        </w:tc>
        <w:tc>
          <w:tcPr>
            <w:tcW w:w="600" w:type="dxa"/>
            <w:vAlign w:val="bottom"/>
            <w:gridSpan w:val="2"/>
            <w:vMerge w:val="continue"/>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4"/>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172,204,832</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159,034</w:t>
            </w: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(31,530,000)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231,315,991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(15,554,069)</w:t>
            </w:r>
          </w:p>
        </w:tc>
        <w:tc>
          <w:tcPr>
            <w:tcW w:w="480" w:type="dxa"/>
            <w:vAlign w:val="bottom"/>
            <w:gridSpan w:val="2"/>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6"/>
              </w:rPr>
              <w:t>(p)</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215,761,922</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5,585,968</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31,219,665</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(i)</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8,222,659</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(h)</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531</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15,467,194</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3,062,197</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36,731,490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(9,314,780)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(492,800)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subscription receivable</w:t>
            </w: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(178,720)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(178,720)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(178,720)</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w w:val="97"/>
              </w:rPr>
              <w:t>(226,291,430)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(9,314,780)</w:t>
            </w: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(3,100,000)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(268,803,258)</w:t>
            </w: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(155,542)</w:t>
            </w:r>
          </w:p>
        </w:tc>
        <w:tc>
          <w:tcPr>
            <w:tcW w:w="48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9"/>
              </w:rPr>
              <w:t>(268,958,800)</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(103,174)</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(f)</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63"/>
              <w:spacing w:after="0"/>
              <w:rPr>
                <w:sz w:val="20"/>
                <w:szCs w:val="20"/>
                <w:color w:val="auto"/>
              </w:rPr>
            </w:pPr>
            <w:r>
              <w:rPr>
                <w:rFonts w:ascii="Times New Roman" w:cs="Times New Roman" w:eastAsia="Times New Roman" w:hAnsi="Times New Roman"/>
                <w:sz w:val="17"/>
                <w:szCs w:val="17"/>
                <w:color w:val="auto"/>
              </w:rPr>
              <w:t>(3,062,500)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(m)</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(36,738,954)</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9,314,780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492,800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(150,744)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(150,744)</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(150,744)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(54,284,884)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7"/>
              </w:rPr>
              <w:t>$ (9,155,176)</w:t>
            </w:r>
          </w:p>
        </w:tc>
        <w:tc>
          <w:tcPr>
            <w:tcW w:w="10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25,765,922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(37,674,138)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(15,709,714)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(53,383,851)</w:t>
            </w: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2,536,484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25,939,504</w:t>
            </w:r>
          </w:p>
        </w:tc>
        <w:tc>
          <w:tcPr>
            <w:tcW w:w="2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(25,936,411</w:t>
            </w:r>
          </w:p>
        </w:tc>
        <w:tc>
          <w:tcPr>
            <w:tcW w:w="140" w:type="dxa"/>
            <w:vAlign w:val="bottom"/>
          </w:tcPr>
          <w:p>
            <w:pPr>
              <w:jc w:val="right"/>
              <w:ind w:right="63"/>
              <w:spacing w:after="0"/>
              <w:rPr>
                <w:sz w:val="20"/>
                <w:szCs w:val="20"/>
                <w:color w:val="auto"/>
              </w:rPr>
            </w:pPr>
            <w:r>
              <w:rPr>
                <w:rFonts w:ascii="Times New Roman" w:cs="Times New Roman" w:eastAsia="Times New Roman" w:hAnsi="Times New Roman"/>
                <w:sz w:val="7"/>
                <w:szCs w:val="7"/>
                <w:color w:val="auto"/>
                <w:w w:val="83"/>
              </w:rPr>
              <w:t>)</w:t>
            </w:r>
          </w:p>
        </w:tc>
        <w:tc>
          <w:tcPr>
            <w:tcW w:w="5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20" w:type="dxa"/>
            <w:vAlign w:val="bottom"/>
          </w:tcPr>
          <w:p>
            <w:pPr>
              <w:spacing w:after="0"/>
              <w:rPr>
                <w:sz w:val="15"/>
                <w:szCs w:val="15"/>
                <w:color w:val="auto"/>
              </w:rPr>
            </w:pPr>
          </w:p>
        </w:tc>
        <w:tc>
          <w:tcPr>
            <w:tcW w:w="900" w:type="dxa"/>
            <w:vAlign w:val="bottom"/>
            <w:gridSpan w:val="2"/>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340" w:type="dxa"/>
            <w:vAlign w:val="bottom"/>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80" w:type="dxa"/>
            <w:vAlign w:val="bottom"/>
          </w:tcPr>
          <w:p>
            <w:pPr>
              <w:spacing w:after="0"/>
              <w:rPr>
                <w:sz w:val="15"/>
                <w:szCs w:val="15"/>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2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20" w:type="dxa"/>
            <w:vAlign w:val="bottom"/>
            <w:gridSpan w:val="3"/>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Corp. I (Year</w:t>
            </w:r>
          </w:p>
        </w:tc>
        <w:tc>
          <w:tcPr>
            <w:tcW w:w="940" w:type="dxa"/>
            <w:vAlign w:val="bottom"/>
            <w:gridSpan w:val="2"/>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90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940" w:type="dxa"/>
            <w:vAlign w:val="bottom"/>
            <w:gridSpan w:val="2"/>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5"/>
                <w:szCs w:val="15"/>
                <w:color w:val="auto"/>
              </w:rPr>
            </w:pP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145,051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34,791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9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9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(240,691)</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6,731,254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4,599,000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11,330,254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11,330,254</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17,986,528</w:t>
            </w:r>
          </w:p>
        </w:tc>
        <w:tc>
          <w:tcPr>
            <w:tcW w:w="12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56,177,722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56,177,722</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32,139,954</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(2,748,049)</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(aa)</w:t>
            </w:r>
          </w:p>
        </w:tc>
        <w:tc>
          <w:tcPr>
            <w:tcW w:w="8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80" w:type="dxa"/>
            <w:vAlign w:val="bottom"/>
          </w:tcPr>
          <w:p>
            <w:pPr>
              <w:spacing w:after="0"/>
              <w:rPr>
                <w:sz w:val="12"/>
                <w:szCs w:val="12"/>
                <w:color w:val="auto"/>
              </w:rPr>
            </w:pPr>
          </w:p>
        </w:tc>
        <w:tc>
          <w:tcPr>
            <w:tcW w:w="96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242,436</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80" w:type="dxa"/>
            <w:vAlign w:val="bottom"/>
          </w:tcPr>
          <w:p>
            <w:pPr>
              <w:spacing w:after="0"/>
              <w:rPr>
                <w:sz w:val="12"/>
                <w:szCs w:val="12"/>
                <w:color w:val="auto"/>
              </w:rPr>
            </w:pPr>
          </w:p>
        </w:tc>
        <w:tc>
          <w:tcPr>
            <w:tcW w:w="9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42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26,151,325</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2,988,740</w:t>
            </w: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39,801,454</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68,941,519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68,941,519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(26,006,274)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(2,988,740)</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w w:val="98"/>
              </w:rPr>
              <w:t>$ (39,801,454)</w:t>
            </w:r>
          </w:p>
        </w:tc>
        <w:tc>
          <w:tcPr>
            <w:tcW w:w="5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(68,796,468)</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(68,796,468)</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(4,791,782)</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(5,387)</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(5,289,969)</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9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(2,129,423)</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125,366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(2,100,000)</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(ff)</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(1,974,634)</w:t>
            </w:r>
          </w:p>
        </w:tc>
        <w:tc>
          <w:tcPr>
            <w:tcW w:w="0" w:type="dxa"/>
            <w:vAlign w:val="bottom"/>
          </w:tcPr>
          <w:p>
            <w:pPr>
              <w:spacing w:after="0"/>
              <w:rPr>
                <w:sz w:val="1"/>
                <w:szCs w:val="1"/>
                <w:color w:val="auto"/>
              </w:rPr>
            </w:pPr>
          </w:p>
        </w:tc>
      </w:tr>
      <w:tr>
        <w:trPr>
          <w:trHeight w:val="156"/>
        </w:trPr>
        <w:tc>
          <w:tcPr>
            <w:tcW w:w="420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(4,666,416)</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2,124,036</w:t>
            </w:r>
          </w:p>
        </w:tc>
        <w:tc>
          <w:tcPr>
            <w:tcW w:w="1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(4,722,223)</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(7,264,603)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(30,672,690)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(864,704)</w:t>
            </w: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(44,523,677)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(76,061,071)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(76,061,071)</w:t>
            </w:r>
          </w:p>
        </w:tc>
        <w:tc>
          <w:tcPr>
            <w:tcW w:w="0" w:type="dxa"/>
            <w:vAlign w:val="bottom"/>
          </w:tcPr>
          <w:p>
            <w:pPr>
              <w:spacing w:after="0"/>
              <w:rPr>
                <w:sz w:val="1"/>
                <w:szCs w:val="1"/>
                <w:color w:val="auto"/>
              </w:rPr>
            </w:pPr>
          </w:p>
        </w:tc>
      </w:tr>
      <w:tr>
        <w:trPr>
          <w:trHeight w:val="148"/>
        </w:trPr>
        <w:tc>
          <w:tcPr>
            <w:tcW w:w="42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Pr>
          <w:p>
            <w:pPr>
              <w:spacing w:after="0"/>
              <w:rPr>
                <w:sz w:val="12"/>
                <w:szCs w:val="12"/>
                <w:color w:val="auto"/>
              </w:rPr>
            </w:pPr>
          </w:p>
        </w:tc>
        <w:tc>
          <w:tcPr>
            <w:tcW w:w="9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(63,408)</w:t>
            </w:r>
          </w:p>
        </w:tc>
        <w:tc>
          <w:tcPr>
            <w:tcW w:w="120" w:type="dxa"/>
            <w:vAlign w:val="bottom"/>
          </w:tcPr>
          <w:p>
            <w:pPr>
              <w:spacing w:after="0"/>
              <w:rPr>
                <w:sz w:val="12"/>
                <w:szCs w:val="12"/>
                <w:color w:val="auto"/>
              </w:rPr>
            </w:pPr>
          </w:p>
        </w:tc>
        <w:tc>
          <w:tcPr>
            <w:tcW w:w="9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94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422,787</w:t>
            </w:r>
          </w:p>
        </w:tc>
        <w:tc>
          <w:tcPr>
            <w:tcW w:w="5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(gg)</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 xml:space="preserve">(155,542)  </w:t>
            </w:r>
            <w:r>
              <w:rPr>
                <w:rFonts w:ascii="Times New Roman" w:cs="Times New Roman" w:eastAsia="Times New Roman" w:hAnsi="Times New Roman"/>
                <w:sz w:val="14"/>
                <w:szCs w:val="14"/>
                <w:b w:val="1"/>
                <w:bCs w:val="1"/>
                <w:color w:val="auto"/>
              </w:rPr>
              <w:t>(ii)</w:t>
            </w: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(322,124)</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(103,174)</w:t>
            </w:r>
          </w:p>
        </w:tc>
        <w:tc>
          <w:tcPr>
            <w:tcW w:w="5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(30,736,098</w:t>
            </w:r>
          </w:p>
        </w:tc>
        <w:tc>
          <w:tcPr>
            <w:tcW w:w="20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(1,287,491</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(44,204,064</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(76,227,653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color w:val="auto"/>
                <w:w w:val="87"/>
              </w:rPr>
              <w:t>(155,542)</w:t>
            </w:r>
          </w:p>
        </w:tc>
        <w:tc>
          <w:tcPr>
            <w:tcW w:w="5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(76,383,195</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927,204,508</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computing net loss per share, basic and diluted</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8,770,367</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Rezolve AI</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2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p>
        </w:tc>
        <w:tc>
          <w:tcPr>
            <w:tcW w:w="0" w:type="dxa"/>
            <w:vAlign w:val="bottom"/>
          </w:tcPr>
          <w:p>
            <w:pPr>
              <w:spacing w:after="0"/>
              <w:rPr>
                <w:sz w:val="1"/>
                <w:szCs w:val="1"/>
                <w:color w:val="auto"/>
              </w:rPr>
            </w:pPr>
          </w:p>
        </w:tc>
      </w:tr>
      <w:tr>
        <w:trPr>
          <w:trHeight w:val="104"/>
        </w:trPr>
        <w:tc>
          <w:tcPr>
            <w:tcW w:w="46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 and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Corp. I (Year</w:t>
            </w: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22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0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64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5,709,500</w:t>
            </w:r>
          </w:p>
        </w:tc>
        <w:tc>
          <w:tcPr>
            <w:tcW w:w="7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1040" w:type="dxa"/>
            <w:vAlign w:val="bottom"/>
            <w:gridSpan w:val="2"/>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gridSpan w:val="3"/>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20" w:type="dxa"/>
            <w:vAlign w:val="bottom"/>
            <w:gridSpan w:val="3"/>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Proforma Basic and diluted weighted average shares outstanding,</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204,702,306</w:t>
            </w: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203,284,619</w:t>
            </w:r>
          </w:p>
        </w:tc>
        <w:tc>
          <w:tcPr>
            <w:tcW w:w="0" w:type="dxa"/>
            <w:vAlign w:val="bottom"/>
          </w:tcPr>
          <w:p>
            <w:pPr>
              <w:spacing w:after="0"/>
              <w:rPr>
                <w:sz w:val="1"/>
                <w:szCs w:val="1"/>
                <w:color w:val="auto"/>
              </w:rPr>
            </w:pPr>
          </w:p>
        </w:tc>
      </w:tr>
      <w:tr>
        <w:trPr>
          <w:trHeight w:val="171"/>
        </w:trPr>
        <w:tc>
          <w:tcPr>
            <w:tcW w:w="56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 subject to possible redemption</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Proforma Net loss per share, basic and diluted</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(0.37)</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See accompanying notes to the unaudited pro forma condensed combined financial information.</w:t>
      </w:r>
    </w:p>
    <w:p>
      <w:pPr>
        <w:spacing w:after="0" w:line="1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w:t>
      </w:r>
    </w:p>
    <w:p>
      <w:pPr>
        <w:spacing w:after="0" w:line="3" w:lineRule="exact"/>
        <w:rPr>
          <w:sz w:val="20"/>
          <w:szCs w:val="20"/>
          <w:color w:val="auto"/>
        </w:rPr>
      </w:pPr>
    </w:p>
    <w:p>
      <w:pPr>
        <w:ind w:left="120" w:right="20" w:hanging="4"/>
        <w:spacing w:after="0" w:line="252" w:lineRule="auto"/>
        <w:tabs>
          <w:tab w:leader="none" w:pos="43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9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January 1, 2023. These periods are presented on the basis of Rezolve as the accounting acquirer.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080" w:right="800" w:hanging="424"/>
        <w:spacing w:after="0" w:line="284"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 of Armada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Rezolve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31" w:lineRule="exact"/>
        <w:rPr>
          <w:sz w:val="20"/>
          <w:szCs w:val="20"/>
          <w:color w:val="auto"/>
        </w:rPr>
      </w:pPr>
    </w:p>
    <w:p>
      <w:pPr>
        <w:ind w:left="540" w:right="440" w:hanging="424"/>
        <w:spacing w:after="0" w:line="282"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1080" w:right="340" w:hanging="424"/>
        <w:spacing w:after="0" w:line="282" w:lineRule="auto"/>
        <w:tabs>
          <w:tab w:leader="none" w:pos="10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repayment of the Promissory note in Armada.</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line="253" w:lineRule="auto"/>
        <w:tabs>
          <w:tab w:leader="none" w:pos="540" w:val="left"/>
        </w:tabs>
        <w:numPr>
          <w:ilvl w:val="0"/>
          <w:numId w:val="1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945,662 shares of a total of 2,363,349, in February 2024.</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50% discount to the pre-equity consummation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130" w:lineRule="exact"/>
        <w:rPr>
          <w:rFonts w:ascii="Times New Roman" w:cs="Times New Roman" w:eastAsia="Times New Roman" w:hAnsi="Times New Roman"/>
          <w:sz w:val="18"/>
          <w:szCs w:val="18"/>
          <w:i w:val="1"/>
          <w:iCs w:val="1"/>
          <w:color w:val="auto"/>
        </w:rPr>
      </w:pPr>
    </w:p>
    <w:p>
      <w:pPr>
        <w:ind w:left="540" w:right="60" w:hanging="424"/>
        <w:spacing w:after="0" w:line="258"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88" w:lineRule="exact"/>
        <w:rPr>
          <w:rFonts w:ascii="Times New Roman" w:cs="Times New Roman" w:eastAsia="Times New Roman" w:hAnsi="Times New Roman"/>
          <w:sz w:val="18"/>
          <w:szCs w:val="18"/>
          <w:i w:val="1"/>
          <w:iCs w:val="1"/>
          <w:color w:val="auto"/>
        </w:rPr>
      </w:pPr>
    </w:p>
    <w:p>
      <w:pPr>
        <w:ind w:left="540" w:right="16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right="120" w:hanging="424"/>
        <w:spacing w:after="0" w:line="266"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81"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line="282" w:lineRule="auto"/>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return of Armada redeemable stock under the maximum redemption scenarios.</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130"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cash paid for additional excise taxes triggered by redemptions under the maximum redemptions scenario.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 adjustments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67"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30" w:lineRule="exact"/>
        <w:rPr>
          <w:rFonts w:ascii="Times New Roman" w:cs="Times New Roman" w:eastAsia="Times New Roman" w:hAnsi="Times New Roman"/>
          <w:sz w:val="18"/>
          <w:szCs w:val="18"/>
          <w:i w:val="1"/>
          <w:iCs w:val="1"/>
          <w:color w:val="auto"/>
        </w:rPr>
      </w:pPr>
    </w:p>
    <w:p>
      <w:pPr>
        <w:ind w:left="540" w:right="62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67" w:lineRule="exact"/>
        <w:rPr>
          <w:rFonts w:ascii="Times New Roman" w:cs="Times New Roman" w:eastAsia="Times New Roman" w:hAnsi="Times New Roman"/>
          <w:sz w:val="18"/>
          <w:szCs w:val="18"/>
          <w:i w:val="1"/>
          <w:iCs w:val="1"/>
          <w:color w:val="auto"/>
        </w:rPr>
      </w:pPr>
    </w:p>
    <w:p>
      <w:pPr>
        <w:ind w:left="540" w:right="280" w:hanging="424"/>
        <w:spacing w:after="0" w:line="282" w:lineRule="auto"/>
        <w:tabs>
          <w:tab w:leader="none" w:pos="54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67" w:lineRule="exact"/>
        <w:rPr>
          <w:rFonts w:ascii="Times New Roman" w:cs="Times New Roman" w:eastAsia="Times New Roman" w:hAnsi="Times New Roman"/>
          <w:sz w:val="18"/>
          <w:szCs w:val="18"/>
          <w:i w:val="1"/>
          <w:iCs w:val="1"/>
          <w:color w:val="auto"/>
        </w:rPr>
      </w:pPr>
    </w:p>
    <w:p>
      <w:pPr>
        <w:jc w:val="center"/>
        <w:ind w:left="5480" w:right="140" w:hanging="5364"/>
        <w:spacing w:after="0" w:line="454" w:lineRule="auto"/>
        <w:tabs>
          <w:tab w:leader="none" w:pos="539"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 108</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2023.</w:t>
      </w:r>
    </w:p>
    <w:p>
      <w:pPr>
        <w:spacing w:after="0" w:line="130" w:lineRule="exact"/>
        <w:rPr>
          <w:rFonts w:ascii="Times New Roman" w:cs="Times New Roman" w:eastAsia="Times New Roman" w:hAnsi="Times New Roman"/>
          <w:sz w:val="18"/>
          <w:szCs w:val="18"/>
          <w:i w:val="1"/>
          <w:iCs w:val="1"/>
          <w:color w:val="auto"/>
        </w:rPr>
      </w:pPr>
    </w:p>
    <w:p>
      <w:pPr>
        <w:ind w:left="540" w:right="320" w:hanging="424"/>
        <w:spacing w:after="0" w:line="282" w:lineRule="auto"/>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67" w:lineRule="exact"/>
        <w:rPr>
          <w:rFonts w:ascii="Times New Roman" w:cs="Times New Roman" w:eastAsia="Times New Roman" w:hAnsi="Times New Roman"/>
          <w:sz w:val="18"/>
          <w:szCs w:val="18"/>
          <w:i w:val="1"/>
          <w:iCs w:val="1"/>
          <w:color w:val="auto"/>
        </w:rPr>
      </w:pPr>
    </w:p>
    <w:p>
      <w:pPr>
        <w:ind w:left="540" w:right="440" w:hanging="424"/>
        <w:spacing w:after="0" w:line="282" w:lineRule="auto"/>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2023.</w:t>
      </w:r>
    </w:p>
    <w:p>
      <w:pPr>
        <w:spacing w:after="0" w:line="6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accrue excise taxes payable on the February 2024 redemptions.</w:t>
      </w:r>
    </w:p>
    <w:p>
      <w:pPr>
        <w:spacing w:after="0" w:line="129"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Reflects the adjustment to accrue excise taxes payable on the maximum redemptions scenario.</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 OF ARMADA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statement/prospectus is being provided to Armada stockholders as part of a solicitation of proxies by the Board for use at the Special Meeting of Stockholders to be held on July 30, 2024,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Times New Roman" w:cs="Times New Roman" w:eastAsia="Times New Roman" w:hAnsi="Times New Roman"/>
          <w:sz w:val="18"/>
          <w:szCs w:val="18"/>
          <w:b w:val="1"/>
          <w:bCs w:val="1"/>
          <w:color w:val="auto"/>
        </w:rPr>
        <w:t>You will not be able to attend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in person. </w:t>
      </w:r>
      <w:r>
        <w:rPr>
          <w:rFonts w:ascii="Times New Roman" w:cs="Times New Roman" w:eastAsia="Times New Roman" w:hAnsi="Times New Roman"/>
          <w:sz w:val="18"/>
          <w:szCs w:val="18"/>
          <w:color w:val="auto"/>
        </w:rPr>
        <w:t>The access information for the virtual Special Meeting is as follows: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Telephone Access (listen-only):</w:t>
            </w:r>
          </w:p>
        </w:tc>
        <w:tc>
          <w:tcPr>
            <w:tcW w:w="314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9"/>
              </w:rPr>
              <w:t>+1 (877) 770-3647</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and Canada); or</w:t>
            </w:r>
          </w:p>
        </w:tc>
      </w:tr>
      <w:tr>
        <w:trPr>
          <w:trHeight w:val="216"/>
        </w:trPr>
        <w:tc>
          <w:tcPr>
            <w:tcW w:w="4080" w:type="dxa"/>
            <w:vAlign w:val="bottom"/>
          </w:tcPr>
          <w:p>
            <w:pPr>
              <w:spacing w:after="0"/>
              <w:rPr>
                <w:sz w:val="18"/>
                <w:szCs w:val="18"/>
                <w:color w:val="auto"/>
              </w:rPr>
            </w:pPr>
          </w:p>
        </w:tc>
        <w:tc>
          <w:tcPr>
            <w:tcW w:w="3140" w:type="dxa"/>
            <w:vAlign w:val="bottom"/>
          </w:tcPr>
          <w:p>
            <w:pPr>
              <w:ind w:left="1760"/>
              <w:spacing w:after="0"/>
              <w:rPr>
                <w:sz w:val="20"/>
                <w:szCs w:val="20"/>
                <w:color w:val="auto"/>
              </w:rPr>
            </w:pPr>
            <w:r>
              <w:rPr>
                <w:rFonts w:ascii="Times New Roman" w:cs="Times New Roman" w:eastAsia="Times New Roman" w:hAnsi="Times New Roman"/>
                <w:sz w:val="18"/>
                <w:szCs w:val="18"/>
                <w:color w:val="auto"/>
                <w:w w:val="99"/>
              </w:rPr>
              <w:t>+1 (312) 780-0854</w:t>
            </w:r>
          </w:p>
        </w:tc>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(outside of the U.S. or Canada)</w:t>
            </w:r>
          </w:p>
        </w:tc>
      </w:tr>
      <w:tr>
        <w:trPr>
          <w:trHeight w:val="22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Passcode for Telephone Access:</w:t>
            </w:r>
          </w:p>
        </w:tc>
        <w:tc>
          <w:tcPr>
            <w:tcW w:w="31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3169643#</w:t>
            </w:r>
          </w:p>
        </w:tc>
        <w:tc>
          <w:tcPr>
            <w:tcW w:w="2280" w:type="dxa"/>
            <w:vAlign w:val="bottom"/>
          </w:tcPr>
          <w:p>
            <w:pPr>
              <w:spacing w:after="0"/>
              <w:rPr>
                <w:sz w:val="19"/>
                <w:szCs w:val="19"/>
                <w:color w:val="auto"/>
              </w:rPr>
            </w:pPr>
          </w:p>
        </w:tc>
      </w:t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Webcast Access:</w:t>
            </w:r>
          </w:p>
        </w:tc>
        <w:tc>
          <w:tcPr>
            <w:tcW w:w="5420" w:type="dxa"/>
            <w:vAlign w:val="bottom"/>
            <w:gridSpan w:val="2"/>
          </w:tcPr>
          <w:p>
            <w:pPr>
              <w:ind w:left="1760"/>
              <w:spacing w:after="0"/>
              <w:rPr>
                <w:sz w:val="20"/>
                <w:szCs w:val="20"/>
                <w:color w:val="auto"/>
              </w:rPr>
            </w:pPr>
            <w:r>
              <w:rPr>
                <w:rFonts w:ascii="Times New Roman" w:cs="Times New Roman" w:eastAsia="Times New Roman" w:hAnsi="Times New Roman"/>
                <w:sz w:val="18"/>
                <w:szCs w:val="18"/>
                <w:i w:val="1"/>
                <w:iCs w:val="1"/>
                <w:color w:val="auto"/>
              </w:rPr>
              <w:t>https://www.cstproxy.com/armadaacqi/ext2024</w:t>
            </w: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being first mailed on or about July 10, 2024 to all stockholders of record of Armada as of July 3, 2024, the record date for the Special Meeting. Stockholders of record who owned Armada Common Stock at the close of business on the record date are entitled to receive notice of, attend and vote at the Special Meeting. On the record date, there were 7,127,187 shares of Armada Common Stock and Founder Shares outstanding and entitled to vote at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Special Meeting will be held on July 30, 2024, at 10:00 a.m., Eastern Time, via webcast at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 entering your 12-digit control number, which is either included on the proxy card you received or obtained through Continental Stock Transfer &amp; Trust Company.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Special Meeting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stockholder wishing to attend the virtual meeting can pre-register to attend the virtual meeting starting on July 25, 2024, at 10:00 a.m. Eastern Time. To vote upon the proposals included in this proxy statement/prospectus, please follow these instructions as applicable to the nature of your ownership of Armada Common Stock:</w:t>
      </w:r>
    </w:p>
    <w:p>
      <w:pPr>
        <w:spacing w:after="0" w:line="81" w:lineRule="exact"/>
        <w:rPr>
          <w:sz w:val="20"/>
          <w:szCs w:val="20"/>
          <w:color w:val="auto"/>
        </w:rPr>
      </w:pPr>
    </w:p>
    <w:p>
      <w:pPr>
        <w:ind w:left="1080" w:right="20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July 29, 2024 to be counted.</w:t>
      </w:r>
    </w:p>
    <w:p>
      <w:pPr>
        <w:spacing w:after="0" w:line="79" w:lineRule="exact"/>
        <w:rPr>
          <w:rFonts w:ascii="Times New Roman" w:cs="Times New Roman" w:eastAsia="Times New Roman" w:hAnsi="Times New Roman"/>
          <w:sz w:val="18"/>
          <w:szCs w:val="18"/>
          <w:color w:val="auto"/>
        </w:rPr>
      </w:pPr>
    </w:p>
    <w:p>
      <w:pPr>
        <w:ind w:left="1080" w:right="920" w:hanging="424"/>
        <w:spacing w:after="0" w:line="284"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before the meeting, go to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 follow the on-screen instructions. Your Internet vote must be received by 11:59 p.m., Eastern Time July 29, 2024 to be counted.</w:t>
      </w:r>
    </w:p>
    <w:p>
      <w:pPr>
        <w:spacing w:after="0" w:line="63"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during the meeting, please visit </w:t>
      </w:r>
      <w:r>
        <w:rPr>
          <w:rFonts w:ascii="Times New Roman" w:cs="Times New Roman" w:eastAsia="Times New Roman" w:hAnsi="Times New Roman"/>
          <w:sz w:val="18"/>
          <w:szCs w:val="18"/>
          <w:i w:val="1"/>
          <w:iCs w:val="1"/>
          <w:color w:val="auto"/>
        </w:rPr>
        <w:t>https://www.cstproxy.com/armadaacqi/ext2024</w:t>
      </w:r>
      <w:r>
        <w:rPr>
          <w:rFonts w:ascii="Times New Roman" w:cs="Times New Roman" w:eastAsia="Times New Roman" w:hAnsi="Times New Roman"/>
          <w:sz w:val="18"/>
          <w:szCs w:val="18"/>
          <w:color w:val="auto"/>
        </w:rPr>
        <w:t xml:space="preserve"> and have available the 12-digit control number included in your Notice, on your proxy card or on the instructions that accompanied your proxy materials.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Armada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Special Meeting, Company stockholders will vote on the following proposals:</w:t>
      </w:r>
    </w:p>
    <w:p>
      <w:pPr>
        <w:spacing w:after="0" w:line="127" w:lineRule="exact"/>
        <w:rPr>
          <w:sz w:val="20"/>
          <w:szCs w:val="20"/>
          <w:color w:val="auto"/>
        </w:rPr>
      </w:pPr>
    </w:p>
    <w:p>
      <w:pPr>
        <w:jc w:val="both"/>
        <w:ind w:left="1080" w:right="320" w:hanging="424"/>
        <w:spacing w:after="0" w:line="268"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1 — The Business Combination Proposal </w:t>
      </w:r>
      <w:r>
        <w:rPr>
          <w:rFonts w:ascii="Times New Roman" w:cs="Times New Roman" w:eastAsia="Times New Roman" w:hAnsi="Times New Roman"/>
          <w:sz w:val="18"/>
          <w:szCs w:val="18"/>
          <w:color w:val="auto"/>
        </w:rPr>
        <w:t>— To consider and vote upon a proposal to adopt and approve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including the Business Combination Agreement, by and among Armada, Rezolve Limited, Rezolve, and Rezolve Merger Sub, pursuant to which Armada, Rezolve and Rezolve Merger Sub will effect a series of transactions including, among other things:</w:t>
      </w:r>
    </w:p>
    <w:p>
      <w:pPr>
        <w:spacing w:after="0" w:line="80" w:lineRule="exact"/>
        <w:rPr>
          <w:rFonts w:ascii="Times New Roman" w:cs="Times New Roman" w:eastAsia="Times New Roman" w:hAnsi="Times New Roman"/>
          <w:sz w:val="18"/>
          <w:szCs w:val="18"/>
          <w:color w:val="auto"/>
        </w:rPr>
      </w:pPr>
    </w:p>
    <w:p>
      <w:pPr>
        <w:ind w:left="1540" w:right="20" w:hanging="439"/>
        <w:spacing w:after="0" w:line="255"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540" w:right="180" w:hanging="439"/>
        <w:spacing w:after="0" w:line="256"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2" w:lineRule="exact"/>
        <w:rPr>
          <w:rFonts w:ascii="Times New Roman" w:cs="Times New Roman" w:eastAsia="Times New Roman" w:hAnsi="Times New Roman"/>
          <w:sz w:val="18"/>
          <w:szCs w:val="18"/>
          <w:color w:val="auto"/>
        </w:rPr>
      </w:pPr>
    </w:p>
    <w:p>
      <w:pPr>
        <w:ind w:left="1540" w:right="40" w:hanging="439"/>
        <w:spacing w:after="0" w:line="258" w:lineRule="auto"/>
        <w:tabs>
          <w:tab w:leader="none" w:pos="15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75" w:lineRule="exact"/>
        <w:rPr>
          <w:sz w:val="20"/>
          <w:szCs w:val="20"/>
          <w:color w:val="auto"/>
        </w:rPr>
      </w:pPr>
    </w:p>
    <w:p>
      <w:pPr>
        <w:jc w:val="both"/>
        <w:ind w:left="1100" w:right="40"/>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77" w:lineRule="exact"/>
        <w:rPr>
          <w:sz w:val="20"/>
          <w:szCs w:val="20"/>
          <w:color w:val="auto"/>
        </w:rPr>
      </w:pPr>
    </w:p>
    <w:p>
      <w:pPr>
        <w:ind w:left="1080" w:right="100" w:hanging="424"/>
        <w:spacing w:after="0" w:line="26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Nasdaq Proposal </w:t>
      </w:r>
      <w:r>
        <w:rPr>
          <w:rFonts w:ascii="Times New Roman" w:cs="Times New Roman" w:eastAsia="Times New Roman" w:hAnsi="Times New Roman"/>
          <w:sz w:val="18"/>
          <w:szCs w:val="18"/>
          <w:color w:val="auto"/>
        </w:rPr>
        <w:t>— to consider and vote upon a proposal to adopt and approve, for the purposes of complying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86"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3 — The Incentive Equity Plan Proposal </w:t>
      </w:r>
      <w:r>
        <w:rPr>
          <w:rFonts w:ascii="Times New Roman" w:cs="Times New Roman" w:eastAsia="Times New Roman" w:hAnsi="Times New Roman"/>
          <w:sz w:val="18"/>
          <w:szCs w:val="18"/>
          <w:color w:val="auto"/>
        </w:rPr>
        <w:t>— to consider and vote upon a proposal to adopt and approve, the Rezolve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Equity Plan, which will become effective on or before the Closing Date and will be used by Rezolve following the Closing;</w:t>
      </w:r>
    </w:p>
    <w:p>
      <w:pPr>
        <w:spacing w:after="0" w:line="6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4 — The Charter Limitation Amendment Proposal </w:t>
      </w:r>
      <w:r>
        <w:rPr>
          <w:rFonts w:ascii="Times New Roman" w:cs="Times New Roman" w:eastAsia="Times New Roman" w:hAnsi="Times New Roman"/>
          <w:sz w:val="17"/>
          <w:szCs w:val="17"/>
          <w:color w:val="auto"/>
        </w:rPr>
        <w:t>— to consider and vote upon a proposal to amend the Armada Charter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eliminate from the Armada Charter the limitation that Armada may not consummate a business combination to the extent Armada would have net tangible assets of less than $5,000,001 immediately prior to or upon consummation of a business combination in order to allow Armada to consummate the Business Combination irrespective of whether Armada would exceed the Charter Limitation; and</w:t>
      </w:r>
    </w:p>
    <w:p>
      <w:pPr>
        <w:spacing w:after="0" w:line="66" w:lineRule="exact"/>
        <w:rPr>
          <w:rFonts w:ascii="Times New Roman" w:cs="Times New Roman" w:eastAsia="Times New Roman" w:hAnsi="Times New Roman"/>
          <w:sz w:val="17"/>
          <w:szCs w:val="17"/>
          <w:color w:val="auto"/>
        </w:rPr>
      </w:pPr>
    </w:p>
    <w:p>
      <w:pPr>
        <w:ind w:left="1080" w:right="100" w:hanging="424"/>
        <w:spacing w:after="0" w:line="286"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5 — Adjournment Proposal </w:t>
      </w:r>
      <w:r>
        <w:rPr>
          <w:rFonts w:ascii="Times New Roman" w:cs="Times New Roman" w:eastAsia="Times New Roman" w:hAnsi="Times New Roman"/>
          <w:sz w:val="18"/>
          <w:szCs w:val="18"/>
          <w:color w:val="auto"/>
        </w:rPr>
        <w:t>— To approve, if necessary, the adjournment of the Special Meeting to a later date or dates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further solicitation and votes of proxies in the event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Armada Board of Directors</w:t>
      </w:r>
    </w:p>
    <w:p>
      <w:pPr>
        <w:spacing w:after="0" w:line="121" w:lineRule="exact"/>
        <w:rPr>
          <w:sz w:val="20"/>
          <w:szCs w:val="20"/>
          <w:color w:val="auto"/>
        </w:rPr>
      </w:pPr>
    </w:p>
    <w:p>
      <w:pPr>
        <w:jc w:val="both"/>
        <w:ind w:left="120" w:right="900" w:firstLine="440"/>
        <w:spacing w:after="0" w:line="266" w:lineRule="auto"/>
        <w:rPr>
          <w:sz w:val="20"/>
          <w:szCs w:val="20"/>
          <w:color w:val="auto"/>
        </w:rPr>
      </w:pPr>
      <w:r>
        <w:rPr>
          <w:rFonts w:ascii="Times New Roman" w:cs="Times New Roman" w:eastAsia="Times New Roman" w:hAnsi="Times New Roman"/>
          <w:sz w:val="18"/>
          <w:szCs w:val="18"/>
          <w:color w:val="auto"/>
        </w:rPr>
        <w:t>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w:t>
      </w:r>
    </w:p>
    <w:p>
      <w:pPr>
        <w:spacing w:after="0" w:line="176"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54"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9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w:t>
      </w:r>
    </w:p>
    <w:p>
      <w:pPr>
        <w:spacing w:after="0" w:line="197" w:lineRule="exact"/>
        <w:rPr>
          <w:rFonts w:ascii="Times New Roman" w:cs="Times New Roman" w:eastAsia="Times New Roman" w:hAnsi="Times New Roman"/>
          <w:sz w:val="17"/>
          <w:szCs w:val="17"/>
          <w:color w:val="auto"/>
        </w:rPr>
      </w:pPr>
    </w:p>
    <w:p>
      <w:pPr>
        <w:ind w:left="1080"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On April 18, 2024, the Armada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Armada; 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0" w:hanging="424"/>
        <w:spacing w:after="0" w:line="261"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Outstanding Shares; Shareholders Entitled to Vote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Armada has fixed the close of business on July 3, 2024,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 the close of business on the record date, there were 7,127,187 shares of Armada Common Stock and Founder Shares outstanding and entitled to vote, of which 1,417,687 are public shares, 459,500 are Private Placement Shares held by our Sponsor, and 4,882,500 are Founder Shares held by our Sponsor.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280"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Abstentions are considered present for the purposes of establishing a quorum. Abstentions will have no effect on the Business Combination Proposal, the Nasdaq Proposal, the Incentive Equity Plan Proposal and the Adjournment Proposal.</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w:cs="Times New Roman" w:eastAsia="Times New Roman" w:hAnsi="Times New Roman"/>
          <w:sz w:val="18"/>
          <w:szCs w:val="18"/>
          <w:b w:val="1"/>
          <w:bCs w:val="1"/>
          <w:color w:val="auto"/>
        </w:rPr>
        <w:t>None of the proposals at the Special Meeting are routine matters. As such, without your voting instructions,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brokerage firm cannot vote your shares on any proposal to be voted on at the Special Meeting. </w:t>
      </w:r>
      <w:r>
        <w:rPr>
          <w:rFonts w:ascii="Times New Roman" w:cs="Times New Roman" w:eastAsia="Times New Roman" w:hAnsi="Times New Roman"/>
          <w:sz w:val="18"/>
          <w:szCs w:val="18"/>
          <w:color w:val="auto"/>
        </w:rPr>
        <w:t>Broker non-votes will not have any effect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outcome of any Proposals.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Stockholders of Record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xml:space="preserve">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Votes submitted by mail must be received by 10:00 a.m., Eastern Time, on July 26, 2024.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at the Meeting </w:t>
      </w:r>
      <w:r>
        <w:rPr>
          <w:rFonts w:ascii="Times New Roman" w:cs="Times New Roman" w:eastAsia="Times New Roman" w:hAnsi="Times New Roman"/>
          <w:sz w:val="18"/>
          <w:szCs w:val="18"/>
          <w:color w:val="auto"/>
        </w:rPr>
        <w:t>— We will be hosting the Special Meeting via live webcast. If you attend the Special Meeting, you may submit your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Special Meeting online at https://www.cstproxy.com/armadaacqi/ext2024, in which case any votes that you previously submitted will be superseded by the vote that you cast at the Special Meeting. See “</w:t>
      </w:r>
      <w:r>
        <w:rPr>
          <w:rFonts w:ascii="Times New Roman" w:cs="Times New Roman" w:eastAsia="Times New Roman" w:hAnsi="Times New Roman"/>
          <w:sz w:val="18"/>
          <w:szCs w:val="18"/>
          <w:i w:val="1"/>
          <w:iCs w:val="1"/>
          <w:color w:val="auto"/>
        </w:rPr>
        <w:t>Registering for the Special Meeting</w:t>
      </w:r>
      <w:r>
        <w:rPr>
          <w:rFonts w:ascii="Times New Roman" w:cs="Times New Roman" w:eastAsia="Times New Roman" w:hAnsi="Times New Roman"/>
          <w:sz w:val="18"/>
          <w:szCs w:val="18"/>
          <w:color w:val="auto"/>
        </w:rPr>
        <w:t>” above for further details on how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Voting Your Shares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Beneficial Owners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Times New Roman" w:cs="Times New Roman" w:eastAsia="Times New Roman" w:hAnsi="Times New Roman"/>
          <w:sz w:val="18"/>
          <w:szCs w:val="18"/>
          <w:i w:val="1"/>
          <w:iCs w:val="1"/>
          <w:color w:val="auto"/>
        </w:rPr>
        <w:t>Attending the Special Meeting</w:t>
      </w:r>
      <w:r>
        <w:rPr>
          <w:rFonts w:ascii="Times New Roman" w:cs="Times New Roman" w:eastAsia="Times New Roman" w:hAnsi="Times New Roman"/>
          <w:sz w:val="18"/>
          <w:szCs w:val="18"/>
          <w:color w:val="auto"/>
        </w:rPr>
        <w:t>” below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 of and Voting by Armada Directors and Officers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the Record Date, Armada’s directors and officers and their affiliates had the right to vote approximately 5,547,000 shares of Armada Common Stock, representing approximately 77.83% of the shares of Armada Common Stock then outstanding and entitled to vote at the Special Meeting. Armada Initial Shareholders entered into a Transaction Support Agreement with Armada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Nasdaq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Incentive Equity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give a proxy, you may revoke it at any time before the Special Meeting or at the Special Meeting by doing any one of the following:</w:t>
      </w:r>
    </w:p>
    <w:p>
      <w:pPr>
        <w:spacing w:after="0" w:line="131" w:lineRule="exact"/>
        <w:rPr>
          <w:sz w:val="20"/>
          <w:szCs w:val="20"/>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the Company’s Secretary in writing to c/o Armada Acquisition Corp. I, 2005 Market Street, Suite 3120, Philadelphia, PA 19103, Attn: Secretary, before the Special Meeting that you have revoked your proxy;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you are an Armada stockholder and have any questions about how to vote or direct a vote in respect of your Armada Common Stock, you may contact Stephen P. Herbert, our Chief Executive Officer, by emailing sherbert@armadaacq.com.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 value of marketable securities held in the Trust Account of approximately $16,101,175 as of June 20, 2024, the estimated per share redemption price would have been approximately $11.36 on such date. </w:t>
      </w:r>
      <w:r>
        <w:rPr>
          <w:rFonts w:ascii="Times New Roman" w:cs="Times New Roman" w:eastAsia="Times New Roman" w:hAnsi="Times New Roman"/>
          <w:sz w:val="18"/>
          <w:szCs w:val="18"/>
          <w:b w:val="1"/>
          <w:bCs w:val="1"/>
          <w:u w:val="single" w:color="auto"/>
          <w:color w:val="auto"/>
        </w:rPr>
        <w:t>Public stockholders may elect to redeem their shares even if they vote for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Any request to redeem public shares, once made, may be withdrawn at any time until the deadline for exercising redemption requests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public units, separate the underlying public shares and public warrants;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5:00 p.m., Eastern Time, on July 26, 2024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jc w:val="center"/>
        <w:ind w:right="-139"/>
        <w:spacing w:after="0" w:line="196" w:lineRule="auto"/>
        <w:rPr>
          <w:sz w:val="20"/>
          <w:szCs w:val="20"/>
          <w:color w:val="auto"/>
        </w:rPr>
      </w:pPr>
      <w:r>
        <w:rPr>
          <w:rFonts w:ascii="Times New Roman" w:cs="Times New Roman" w:eastAsia="Times New Roman" w:hAnsi="Times New Roman"/>
          <w:sz w:val="18"/>
          <w:szCs w:val="18"/>
          <w:color w:val="auto"/>
        </w:rPr>
        <w:t>1 State Street –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Mark Zimkind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12" w:lineRule="exact"/>
        <w:rPr>
          <w:sz w:val="20"/>
          <w:szCs w:val="20"/>
          <w:color w:val="auto"/>
        </w:rPr>
      </w:pPr>
    </w:p>
    <w:p>
      <w:pPr>
        <w:ind w:left="1080" w:right="2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Stockholders seeking to exercise their Redemption Rights, whether they are record holders or hold their shares in “street name” are required to either tender their certificates to our Transfer Agent prior to the date that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 xml:space="preserve">is two business days prior to the Special Meeting, or to deliver their shares to the Transfer Agent electronically using DTC’s DWAC system, at such stockholder’s option. </w:t>
      </w:r>
      <w:r>
        <w:rPr>
          <w:rFonts w:ascii="Times New Roman" w:cs="Times New Roman" w:eastAsia="Times New Roman" w:hAnsi="Times New Roman"/>
          <w:sz w:val="18"/>
          <w:szCs w:val="18"/>
          <w:b w:val="1"/>
          <w:bCs w:val="1"/>
          <w:u w:val="single" w:color="auto"/>
          <w:color w:val="auto"/>
        </w:rPr>
        <w:t>The requirement for physical or electronic delivery prior to the Special Meeting ensures that a redeeming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election to redeem is irrevocable once the Business Combination is approved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w:t>
      </w:r>
    </w:p>
    <w:p>
      <w:pPr>
        <w:spacing w:after="0" w:line="16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outstanding public units must separate the underlying public shares and public warrants prior to exercising Redemption Rights with respect to the public shares.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18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the Charter Limitation Amendment Proposal is approved and implemented. Holders of our outstanding public warrants do not have redemption rights for such public warrants in connection with the Business Combination.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w:t>
      </w:r>
    </w:p>
    <w:p>
      <w:pPr>
        <w:spacing w:after="0" w:line="1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be required to dissolve and liquidate our Trust Account by returning the then remaining funds in such account to the public stockholders and our warrants will expire worthless, unless the Business Combination is approved and we consummate an initial business combination by July 17,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Armada will pay the cost of soliciting proxies for the Special Meeting. Armada is soliciting proxies on behalf of the Board and Armada has not engaged anyone to assist in the solicitation of proxies for the Stockholder Meeting. Armada will also reimburse banks, brokers and other custodians, nominees and fiduciaries representing beneficial owners of Common Stock for their expenses in forwarding soliciting materials to beneficial owners of Common Stock and in obtaining voting instructions from those owners. The directors, officers and employees of Armada may also solicit proxies by telephone, by facsimile, by mail or on the Internet. They will not be paid any additional amounts for soliciting proxies.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55" w:right="5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Armada, Rezolve and Rezolve Merger Sub will effect a series of transactions, pursuant to which among other things:</w:t>
      </w:r>
    </w:p>
    <w:p>
      <w:pPr>
        <w:spacing w:after="0" w:line="67" w:lineRule="exact"/>
        <w:rPr>
          <w:sz w:val="20"/>
          <w:szCs w:val="20"/>
          <w:color w:val="auto"/>
        </w:rPr>
      </w:pPr>
    </w:p>
    <w:p>
      <w:pPr>
        <w:ind w:left="1080" w:right="140" w:hanging="532"/>
        <w:spacing w:after="0" w:line="255"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As part of the Business Combination Proposal, stockholders are also being asked to consider and vote on the approval of an amendment to Escrow Agreement to allow Continental Stock Transfer &amp; Trust Company to distribute certain of the Escrow Shares prior to the expiration of the Escrow Period.</w:t>
      </w:r>
    </w:p>
    <w:p>
      <w:pPr>
        <w:spacing w:after="0" w:line="14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Company Reorganization and the Business Combination the shareholders of Rezolve will hold a number of Rezolve Ordinary Shares equal to the quotient obtained by dividing (x) $1,600,000,000 by (y) $10.00. They will also hold         shares issued since December 17, 2021.</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Rezolve PLC will be listed on The Nasdaq Stock Market LLC under the new ticker symbol “RZLV.”</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shows the current ownership of Armada, Rezolve Limited and Rezolve.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 Current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094730" cy="1937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9473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240" w:hanging="424"/>
        <w:spacing w:after="0" w:line="282" w:lineRule="auto"/>
        <w:tabs>
          <w:tab w:leader="none" w:pos="5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was incorporated in England and Wales as a private limited company on January 5, 2023 under the name Rezolve Group Limited with company number 14573691 and changed its name on June 5, 2023 to Rezolve AI Limited.</w:t>
      </w:r>
    </w:p>
    <w:p>
      <w:pPr>
        <w:spacing w:after="0" w:line="16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2. Rezolve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02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320" w:top="455" w:right="6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6094730" cy="1706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9473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0" w:right="140" w:hanging="424"/>
        <w:spacing w:after="0" w:line="266" w:lineRule="auto"/>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Pre-Closing Demerger but prior to the completion of this offering, Rezolve expects to alter its legal status under English law from a private limited company and re-register as a public limited company and change its name from Rezolve AI Limited to Rezolve AI PLC.</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148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1697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9493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60"/>
          </w:cols>
          <w:pgMar w:left="320" w:top="455" w:right="5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Common Stock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of Rezolve’s board of directors and the Board has approved the Business Combination Agreement, which provides for the Merger of Rezolve Merger Sub, a wholly-owned subsidiary of Rezolve, with and into Armada. Armada will be the surviving entity in the Merger and will become a wholly-owned subsidiary of Rezolve. As a result of the Merger, each of the outstanding shares of Armada Common Stock held by the shareholders of Armada will be exchanged for one Ordinary Share of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Armada Warrants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jc w:val="center"/>
        <w:ind w:left="440"/>
        <w:spacing w:after="0" w:line="257" w:lineRule="auto"/>
        <w:rPr>
          <w:sz w:val="20"/>
          <w:szCs w:val="20"/>
          <w:color w:val="auto"/>
        </w:rPr>
      </w:pPr>
      <w:r>
        <w:rPr>
          <w:rFonts w:ascii="Times New Roman" w:cs="Times New Roman" w:eastAsia="Times New Roman" w:hAnsi="Times New Roman"/>
          <w:sz w:val="18"/>
          <w:szCs w:val="18"/>
          <w:color w:val="auto"/>
        </w:rPr>
        <w:t>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w:t>
      </w:r>
    </w:p>
    <w:p>
      <w:pPr>
        <w:spacing w:after="0" w:line="1" w:lineRule="exact"/>
        <w:rPr>
          <w:sz w:val="20"/>
          <w:szCs w:val="20"/>
          <w:color w:val="auto"/>
        </w:rPr>
      </w:pPr>
    </w:p>
    <w:p>
      <w:pPr>
        <w:ind w:left="420" w:hanging="304"/>
        <w:spacing w:after="0"/>
        <w:tabs>
          <w:tab w:leader="none" w:pos="4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plans, (xii) environmental matters, (xiii) intellectual property, (xiv) labor matters, (xv) insurance, (xvi) tax matters, (xvii) brokers,</w:t>
      </w:r>
    </w:p>
    <w:p>
      <w:pPr>
        <w:spacing w:after="0" w:line="9" w:lineRule="exact"/>
        <w:rPr>
          <w:rFonts w:ascii="Times New Roman" w:cs="Times New Roman" w:eastAsia="Times New Roman" w:hAnsi="Times New Roman"/>
          <w:sz w:val="18"/>
          <w:szCs w:val="18"/>
          <w:color w:val="auto"/>
        </w:rPr>
      </w:pPr>
    </w:p>
    <w:p>
      <w:pPr>
        <w:ind w:left="120" w:right="300" w:hanging="4"/>
        <w:spacing w:after="0" w:line="260" w:lineRule="auto"/>
        <w:tabs>
          <w:tab w:leader="none" w:pos="61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and personal property, (xix) transactions with affiliates, (xx) data privacy and security, (xxi) compliance with international trade and anti-corruption laws, (xxii) information supplied, and (xxiii) regulatory compliance.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w:t>
      </w:r>
    </w:p>
    <w:p>
      <w:pPr>
        <w:ind w:left="120" w:right="120" w:hanging="4"/>
        <w:spacing w:after="0" w:line="250" w:lineRule="auto"/>
        <w:tabs>
          <w:tab w:leader="none" w:pos="37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1" w:lineRule="exact"/>
        <w:rPr>
          <w:rFonts w:ascii="Times New Roman" w:cs="Times New Roman" w:eastAsia="Times New Roman" w:hAnsi="Times New Roman"/>
          <w:sz w:val="18"/>
          <w:szCs w:val="18"/>
          <w:color w:val="auto"/>
        </w:rPr>
      </w:pPr>
    </w:p>
    <w:p>
      <w:pPr>
        <w:ind w:left="120" w:right="60" w:hanging="4"/>
        <w:spacing w:after="0" w:line="252" w:lineRule="auto"/>
        <w:tabs>
          <w:tab w:leader="none" w:pos="37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Effectiveness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allows the parties to terminate such agreements if certain conditions described therein are satisfied, including as follows: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Combination Agreement may be terminated:</w:t>
      </w:r>
    </w:p>
    <w:p>
      <w:pPr>
        <w:spacing w:after="0" w:line="131"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Rezolve;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w:t>
      </w:r>
    </w:p>
    <w:p>
      <w:pPr>
        <w:spacing w:after="0" w:line="92"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Business Combination is not consummated on or before the Termination Date,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w:t>
      </w:r>
    </w:p>
    <w:p>
      <w:pPr>
        <w:spacing w:after="0" w:line="85"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Rezolve if the Armada shareholder approval has not been obtained;</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Rezolve does not deliver, or cause to be delivered, the written consent of Rezolve’s shareholders within twenty-four (24) hours after Armada notifies Rezolve of the effectiveness of the Registration Statement;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are not delivered to Armada by Rezolve on or before the date that is sixty (60) days from the date of the Business Combination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Ancillary Agreements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Incentive Equity Plan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Times New Roman" w:cs="Times New Roman" w:eastAsia="Times New Roman" w:hAnsi="Times New Roman"/>
          <w:sz w:val="18"/>
          <w:szCs w:val="18"/>
          <w:i w:val="1"/>
          <w:iCs w:val="1"/>
          <w:color w:val="auto"/>
        </w:rPr>
        <w:t>The Incentive Equity Plan Proposal</w:t>
      </w:r>
      <w:r>
        <w:rPr>
          <w:rFonts w:ascii="Times New Roman" w:cs="Times New Roman" w:eastAsia="Times New Roman" w:hAnsi="Times New Roman"/>
          <w:sz w:val="18"/>
          <w:szCs w:val="18"/>
          <w:color w:val="auto"/>
        </w:rPr>
        <w:t>” in this proxy statement/prospectus.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Support Agreements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8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 size of the Board is eight (8) members, at least five of those members (and if the size of the Board is nine (9) or ten (10) members, at least five 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w:t>
      </w:r>
    </w:p>
    <w:p>
      <w:pPr>
        <w:spacing w:after="0" w:line="94" w:lineRule="exact"/>
        <w:rPr>
          <w:sz w:val="20"/>
          <w:szCs w:val="20"/>
          <w:color w:val="auto"/>
        </w:rPr>
      </w:pPr>
    </w:p>
    <w:p>
      <w:pPr>
        <w:ind w:left="1080" w:right="80" w:hanging="424"/>
        <w:spacing w:after="0" w:line="261"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Investor Rights Agreement, the registration rights agreement dated August 12, 2021 between Armada and the Sponsor will be terminated.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$49,892,080 loan notes of $1.00 each in the capital of Rezolve Limited (the “Convertible Notes”) of which $41,392,080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any of the quarterly VWAPs for the four immediately preceding quarterly reset dates as selected by the noteholder.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w:t>
      </w:r>
    </w:p>
    <w:p>
      <w:pPr>
        <w:spacing w:after="0" w:line="2" w:lineRule="exact"/>
        <w:rPr>
          <w:sz w:val="20"/>
          <w:szCs w:val="20"/>
          <w:color w:val="auto"/>
        </w:rPr>
      </w:pPr>
    </w:p>
    <w:p>
      <w:pPr>
        <w:ind w:left="120" w:hanging="4"/>
        <w:spacing w:after="0" w:line="251" w:lineRule="auto"/>
        <w:tabs>
          <w:tab w:leader="none" w:pos="37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Polar Subscription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 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Capital Contribution</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terms of the Business Combination are the result of arms’-length negotiations among the representatives of Armada and Rezolve. The following is a brief description of the background of these negotiations and the resulting Business Combination.</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each of September 12, 2023, October 11, 2023, November 9, 2023, December 15, 2023 and January 12, 2024 the Company extended the Combination Period by an additional one month each time or until February 17, 2024.</w:t>
      </w:r>
    </w:p>
    <w:p>
      <w:pPr>
        <w:spacing w:after="0" w:line="19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potential acquisition targets. The first set of potential acquisition targets comprised 7 FinTech companies (the “FinTech Target List”), all of which fit within its acquisition criteria, but only one of which Armada’s management 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w:t>
      </w:r>
    </w:p>
    <w:p>
      <w:pPr>
        <w:spacing w:after="0" w:line="19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Following the execution of the non-disclosure agreement with Armada, Rezolve provided access to its curated data room to Armada’s management team and certain of its advisors on August 30, 2021.</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 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 interests of CCM and Cantor, Armada’s management selected these firms based upon the sophistication and extensive experience of CCM and Cantor with fundraising for special purpose acquisition business combination transactions, such as the proposed Business Combination with Rezolve.</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These include Mr. Lurio’s service as a director 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respective businesses were such that it was unlikely that a conflict would arise.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rather than Company A or not at all, due to, among other things, Rezolve’s expressed interest and pursuit of a potential business combination with a special purpose acquisition company, and the fact 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w:t>
      </w:r>
    </w:p>
    <w:p>
      <w:pPr>
        <w:spacing w:after="0" w:line="18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On September 24, 2021, Armada’s management met with Armada’s board of directors following an audit committee meeting to update the board of directors on the status of the proposed Business Combination with Rezolve and the due diligence review by its advisors, DLA Piper and KPMG.</w:t>
      </w:r>
    </w:p>
    <w:p>
      <w:pPr>
        <w:spacing w:after="0" w:line="14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 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Based on the tax-related due diligence conducted by the parties, Rezolve and Armada agreed to explore structuring the proposed Business Combination through the use of a newly-formed Cayman Islands exempted company (“Cayman NewCo”). As a result, on or about October 22, 2021, Armada engaged Ogier as its counsel in the Cayman Islands to assist with the formation of Cayman NewCo and related matters. Rezolve engaged Harneys Westwood &amp; Riegels LP as its counsel in the Cayman Islands.</w:t>
      </w:r>
    </w:p>
    <w:p>
      <w:pPr>
        <w:spacing w:after="0" w:line="180"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discussed a potential amendment to the terms of the letter of intent with Rezolve to seek a termination fee to cover Armada’s expenses if a business combination agreement was not executed by the parties and authorized Armada’s management to negotiate such an amendment with Rezolve.</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 comments provided to the draft by WSGR on November 26, 2021. Also on November 24, 2021, representatives of Taylor Wessing provided materials responsive to certain open due diligence requests regarding various corporate, contractual and intellectual property matters.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or about November 29, 2021, representatives of Taylor Wessing provided to representatives of DLA Piper proposed documentation for the formation of Cayman NewCo.</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Between November 29, 2021 and December 2, 2021, Rezolve, Barclays, Cantor, Armada and CCM engaged in due diligence and prepared and negotiated a subscription agreement related to financing the Business Combination through investments in Rezolve and Cayman NewCo.</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w:t>
      </w:r>
    </w:p>
    <w:p>
      <w:pPr>
        <w:spacing w:after="0" w:line="176"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Between December 14, 2021 and the signing of the Original Business Combination Agreement on December 17, 2021, representatives of DLA Piper and Taylor Wessing and WSGR, on behalf of their respective clients, as well as King &amp; Spalding, on behalf of CCM, continued to negotiate the subscription agreement and related documentation for the financing of the Business Combination.</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6, 2021, Armada’s board of directors entered into an engagement letter with Northland to render a fairness opinion with respect to</w:t>
      </w:r>
    </w:p>
    <w:p>
      <w:pPr>
        <w:spacing w:after="0" w:line="27" w:lineRule="exact"/>
        <w:rPr>
          <w:sz w:val="20"/>
          <w:szCs w:val="20"/>
          <w:color w:val="auto"/>
        </w:rPr>
      </w:pPr>
    </w:p>
    <w:p>
      <w:pPr>
        <w:ind w:left="120" w:hanging="4"/>
        <w:spacing w:after="0" w:line="251" w:lineRule="auto"/>
        <w:tabs>
          <w:tab w:leader="none" w:pos="33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 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As a result of the foregoing, Armada’s board of directors concluded Northland was already familiar with Rezolve and the prospective Business Combination and, accordingly, was willing and able to prepare and provide Armada’s board of directors with a fairness opinion on a timely and thorough basis.</w:t>
      </w:r>
    </w:p>
    <w:p>
      <w:pPr>
        <w:spacing w:after="0" w:line="190" w:lineRule="exact"/>
        <w:rPr>
          <w:sz w:val="20"/>
          <w:szCs w:val="20"/>
          <w:color w:val="auto"/>
        </w:rPr>
      </w:pPr>
    </w:p>
    <w:p>
      <w:pPr>
        <w:ind w:left="120" w:right="5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through 2024 (the “Pre-Demerger Projections”). As discussed further herein, on June 16, 2023, Armada and Rezolve agreed to amend and restate the Business Combination Agreement to reflect, among other things, (a) the 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Times New Roman" w:cs="Times New Roman" w:eastAsia="Times New Roman" w:hAnsi="Times New Roman"/>
          <w:sz w:val="18"/>
          <w:szCs w:val="18"/>
          <w:i w:val="1"/>
          <w:iCs w:val="1"/>
          <w:color w:val="auto"/>
        </w:rPr>
        <w:t>—Opinion of Northland</w:t>
      </w:r>
      <w:r>
        <w:rPr>
          <w:rFonts w:ascii="Times New Roman" w:cs="Times New Roman" w:eastAsia="Times New Roman" w:hAnsi="Times New Roman"/>
          <w:sz w:val="18"/>
          <w:szCs w:val="18"/>
          <w:color w:val="auto"/>
        </w:rPr>
        <w:t>.” Instead, certain projections relating to Rezolve’s anticipated business after giving effect to the Pre-Closing Demerger were considered by Armada’s board of directors and are discussed under the caption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Marshall &amp; Stevens</w:t>
      </w:r>
      <w:r>
        <w:rPr>
          <w:rFonts w:ascii="Times New Roman" w:cs="Times New Roman" w:eastAsia="Times New Roman" w:hAnsi="Times New Roman"/>
          <w:sz w:val="18"/>
          <w:szCs w:val="18"/>
          <w:color w:val="auto"/>
        </w:rPr>
        <w:t>.” Additionally, Northland delivered an oral opinion, subsequently confirmed by delivery of a written opinion to the Board,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Northland</w:t>
      </w:r>
      <w:r>
        <w:rPr>
          <w:rFonts w:ascii="Times New Roman" w:cs="Times New Roman" w:eastAsia="Times New Roman" w:hAnsi="Times New Roman"/>
          <w:sz w:val="18"/>
          <w:szCs w:val="18"/>
          <w:color w:val="auto"/>
        </w:rPr>
        <w:t>.”). Following this discussion, the Board unanimously approved the Original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and the Business Combination and the related agreements, and recommended that Armada’s stockholders approve the Original Business Combination Agreement and the Business Combination.</w:t>
      </w:r>
    </w:p>
    <w:p>
      <w:pPr>
        <w:spacing w:after="0" w:line="20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Before market open in the U.S. on December 17, 2021, the parties announced the Business Combination together with the execution of the Original Business Combination Agreement, the Sponsor Support Agreement and the Stockholder Support Agreements.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began negotiations to restructure the Business 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and based on the assumptions made, procedures followed, matters considered, limitations of the review undertaken and qualifications contained in such opinion, (i) the Aggregate Stock Consideration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Opinion of Northland.” The </w:t>
      </w:r>
      <w:r>
        <w:rPr>
          <w:rFonts w:ascii="Times New Roman" w:cs="Times New Roman" w:eastAsia="Times New Roman" w:hAnsi="Times New Roman"/>
          <w:sz w:val="18"/>
          <w:szCs w:val="18"/>
          <w:color w:val="auto"/>
        </w:rPr>
        <w:t>full text of Northland’s written opinion is attached as Annex J to this proxy statement/prospectus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incorporated herein by reference.)</w:t>
      </w:r>
    </w:p>
    <w:p>
      <w:pPr>
        <w:spacing w:after="0" w:line="194"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 listed entity upon the Closing, which the parties determined to be a more tax-efficient structure for effecting the Business Combination. Additionally, the Amendment extended the Termination Date to the later of</w:t>
      </w:r>
    </w:p>
    <w:p>
      <w:pPr>
        <w:spacing w:after="0" w:line="12" w:lineRule="exact"/>
        <w:rPr>
          <w:sz w:val="20"/>
          <w:szCs w:val="20"/>
          <w:color w:val="auto"/>
        </w:rPr>
      </w:pPr>
    </w:p>
    <w:p>
      <w:pPr>
        <w:ind w:left="120" w:right="20" w:hanging="4"/>
        <w:spacing w:after="0" w:line="251" w:lineRule="auto"/>
        <w:tabs>
          <w:tab w:leader="none" w:pos="33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w:t>
      </w:r>
    </w:p>
    <w:p>
      <w:pPr>
        <w:spacing w:after="0" w:line="19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$117,079,879 was removed from the 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 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reorganization (described below) and additional due diligence to be performed by Armada’s management and advisors.</w:t>
      </w:r>
    </w:p>
    <w:p>
      <w:pPr>
        <w:spacing w:after="0" w:line="176"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Times New Roman" w:cs="Times New Roman" w:eastAsia="Times New Roman" w:hAnsi="Times New Roman"/>
          <w:sz w:val="18"/>
          <w:szCs w:val="18"/>
          <w:i w:val="1"/>
          <w:iCs w:val="1"/>
          <w:color w:val="auto"/>
        </w:rPr>
        <w:t>Summary of the Material Terms of the Business Combination</w:t>
      </w:r>
      <w:r>
        <w:rPr>
          <w:rFonts w:ascii="Times New Roman" w:cs="Times New Roman" w:eastAsia="Times New Roman" w:hAnsi="Times New Roman"/>
          <w:sz w:val="18"/>
          <w:szCs w:val="18"/>
          <w:color w:val="auto"/>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Marshall &amp; Stevens—Prospective Financial Information</w:t>
      </w:r>
      <w:r>
        <w:rPr>
          <w:rFonts w:ascii="Times New Roman" w:cs="Times New Roman" w:eastAsia="Times New Roman" w:hAnsi="Times New Roman"/>
          <w:sz w:val="18"/>
          <w:szCs w:val="18"/>
          <w:color w:val="auto"/>
        </w:rPr>
        <w:t>”. Following this presentation, Messrs. Wagner and Burchill,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of Cohen &amp;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Capital Markets, were excused from the meeting. The representative of Marshall &amp; Stevens then proceeded to provide Armada’s board of directors with an update on the fairness opinion analysis and process.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1, 2023, Armada’s board of directors held a meeting at which representatives of Armada’s capital markets advisors, CCM, and Armada’s legal counsel, DLA Piper, participated. During the meeting, Armada’s board of directors reviewed Rezolve’s financial model and engaged in discussion with representatives of CCM, the key items of which are discussed below under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The discussion included certain risks and uncertainties inherent in the financial model, as well as the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drivers for Rezolve’s financial performance and where Rezolve’s financial performance would be likely to out-or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 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cs="Times New Roman" w:eastAsia="Times New Roman" w:hAnsi="Times New Roman"/>
          <w:sz w:val="18"/>
          <w:szCs w:val="18"/>
          <w:i w:val="1"/>
          <w:iCs w:val="1"/>
          <w:color w:val="auto"/>
        </w:rPr>
        <w:t>The Business Combination Proposal — 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Marshall &amp; Stevens</w:t>
      </w:r>
      <w:r>
        <w:rPr>
          <w:rFonts w:ascii="Times New Roman" w:cs="Times New Roman" w:eastAsia="Times New Roman" w:hAnsi="Times New Roman"/>
          <w:sz w:val="18"/>
          <w:szCs w:val="18"/>
          <w:color w:val="auto"/>
        </w:rPr>
        <w:t>” and the written opinion of Marshall &amp; Stevens attached as</w:t>
      </w:r>
      <w:r>
        <w:rPr>
          <w:rFonts w:ascii="Times New Roman" w:cs="Times New Roman" w:eastAsia="Times New Roman" w:hAnsi="Times New Roman"/>
          <w:sz w:val="18"/>
          <w:szCs w:val="18"/>
          <w:i w:val="1"/>
          <w:iCs w:val="1"/>
          <w:color w:val="auto"/>
        </w:rPr>
        <w:t xml:space="preserve"> Annex K </w:t>
      </w:r>
      <w:r>
        <w:rPr>
          <w:rFonts w:ascii="Times New Roman" w:cs="Times New Roman" w:eastAsia="Times New Roman" w:hAnsi="Times New Roman"/>
          <w:sz w:val="18"/>
          <w:szCs w:val="18"/>
          <w:color w:val="auto"/>
        </w:rPr>
        <w:t>hereto. Representatives of Armada’s capital markets 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w:t>
      </w:r>
    </w:p>
    <w:p>
      <w:pPr>
        <w:spacing w:after="0" w:line="19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June 12, 2023, the board of directors of Armada adopted by unanimous consent resolutions approving the Business Combination Agreement and the proxy statement/prospectus.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June 16, 2023, the parties entered into the amendment and restatement of the Business Combination Agreement together with amendments and restatements of the Sponsor Support Agreement and the Stockholder Support Agreements, which was subsequently amended on August 4, 2023 to remove the net tangible assets requirement.</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February 15, 2024, Armada held a special meeting of its stockholders to approve a further amendment to its Charter to extend the date by which the Company has to consummate a Business Combination from February 17, 2024 to March 17, 2024 and to allow the Company, without another stockholder vote, to elect to extend the date to consummate a Business Combination on a monthly basis up to five times by an additional one month each time after March 17, 2024, by resolution of the Company’s board of directors, if requested by the Sponsor, and upon five days’ advance notice prior to the applicable Termination Date, until August 17, 2024, or a total of up to six months after February 17, 2024, unless the closing of a Business Combination shall have occurred prior thereto (the “Third Extension Amendment Proposal”). The stockholders of Armada approved the Third Extension Amendment Proposal at the special meeting and on February 15, 2024 the Company filed an amendment to its Charter with the Delaware Secretary of State. In connection with the Third Extension Amendment Proposal, the holders of 945,662 shares of Common Stock of Armada exercised their right to redeem their shares for cash at a redemption price of approximately $10.98 per share, for an aggregate redemption amount of $10,384,496.</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Third Extension Amendment Proposal, Armada issued an unsecured promissory note in the principal amount of up to $297,714 (the “Second Extension Note”) to the Sponsor. The proceeds of the Second Extension Note are to be deposited in the Trust Account in equal installments of $49,619 for each of the one-month extensions. On each of February 13, 2024, March 13, 2024, April 16, 2024, May 17, 2024 and June 17, 2024, Armada deposited $49,619 into the Trust Account thereby extending the Combination Period until July 17, 2024. The payments made on February 13, 2024 and March 13, 2024 were funded under the terms of the Subscription Agreement with Polar.</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release of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included in Amendment No. 6 to this Registration Statement that was filed with the SEC on May 21, 2024, Armada’s management and board of directors requested that Rezolve’s management provide advice regarding the materiality of ANY to Rezolve’s historical results, its business plan and prospects and the Projections.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Statement.) Armada’s management requested such information for the purpose of evaluating the advisability of the proposed Business Combination and the opinion of Marshall &amp; Stevens following the change in Rezolve’s actual results. In response to the request, Rezolve advised Armada’s management and its board of directors that ANY was not material in terms of sales and EBITDA within the business model and Projections that were provided to Marshall Stevens for purposes of its opinion. Rezolve further advised Armada’s management and the board of directors that ANY’s contribution to revenues in the business model was not material (with ANY’s percentage contribution to Rezolve’s consolidated revenue estimated to constitute approximately 6.5% in 2024 and decreasing to 1.0% by 2027 over the periods presented) and that the business model was developed so that revenue, less cost of sales, less costs would always net to zero in respect of ANY. For a more detailed discussion of ANY’s revenue in the Projections, refer to the section below captioned “</w:t>
      </w:r>
      <w:r>
        <w:rPr>
          <w:rFonts w:ascii="Times New Roman" w:cs="Times New Roman" w:eastAsia="Times New Roman" w:hAnsi="Times New Roman"/>
          <w:sz w:val="18"/>
          <w:szCs w:val="18"/>
          <w:i w:val="1"/>
          <w:iCs w:val="1"/>
          <w:color w:val="auto"/>
        </w:rPr>
        <w:t>— Opinion of Marshall &amp; Stevens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Rezolve Financial Projections.</w:t>
      </w:r>
      <w:r>
        <w:rPr>
          <w:rFonts w:ascii="Times New Roman" w:cs="Times New Roman" w:eastAsia="Times New Roman" w:hAnsi="Times New Roman"/>
          <w:sz w:val="18"/>
          <w:szCs w:val="18"/>
          <w:color w:val="auto"/>
        </w:rPr>
        <w:t>” Armada’s management circulated to the Armada board of directors for review and consideration the foregoing information provided by Rezolve. After the board of directors reviewed and considered the information provided by Rezolve and certain directors held discussions with Armada management, the Armada board of directors determined by unanimous written consent on June 10, 2024 that (i) the Marshall &amp; Stevens opinion remained valid; and (ii) the board of directors continued to recommend that Armada’s stockholders approve the Business Combination Agreement and the Business Combination. In arriving at such determinations, the board of directors focused on the facts provided by Rezolve’s management demonstrating that ANY’s revenues and certain of its historical results, while part of the business model and Projections, were not material to Rezolve’s business model or future prospects or the Projections that formed the basis of the Marshall &amp; Stevens opinion following the introduction of Rezolve’s Brain offering on July 25, 2023 and the transition towards a subscription-based model of the Rezolve platform in which subscribers to Rezolve’s Brain offering would be entitled to use Rezolve’s other offerings, including those offerings provided by ANY. For additional information regarding Rezolve’s business model, future prospects and the Projections, refer to the section below captioned “</w:t>
      </w:r>
      <w:r>
        <w:rPr>
          <w:rFonts w:ascii="Times New Roman" w:cs="Times New Roman" w:eastAsia="Times New Roman" w:hAnsi="Times New Roman"/>
          <w:sz w:val="18"/>
          <w:szCs w:val="18"/>
          <w:i w:val="1"/>
          <w:iCs w:val="1"/>
          <w:color w:val="auto"/>
        </w:rPr>
        <w:t>— Opinion of Marshall &amp; Stevens—Rezolve Financial Projections.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Board of Directors’ Reasons for the Approval of the Business Combination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 board of directors’ approval of the Business Combination,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 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Armada’s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Times New Roman" w:cs="Times New Roman" w:eastAsia="Times New Roman" w:hAnsi="Times New Roman"/>
          <w:sz w:val="18"/>
          <w:szCs w:val="18"/>
          <w:i w:val="1"/>
          <w:iCs w:val="1"/>
          <w:color w:val="auto"/>
        </w:rPr>
        <w:t>Other Information Related to Armada — Our Management Team</w:t>
      </w:r>
      <w:r>
        <w:rPr>
          <w:rFonts w:ascii="Times New Roman" w:cs="Times New Roman" w:eastAsia="Times New Roman" w:hAnsi="Times New Roman"/>
          <w:sz w:val="18"/>
          <w:szCs w:val="18"/>
          <w:color w:val="auto"/>
        </w:rPr>
        <w:t>”. The due diligence conducted by Armada’s management team and/or legal, financial and other advisors included:</w:t>
      </w:r>
    </w:p>
    <w:p>
      <w:pPr>
        <w:spacing w:after="0" w:line="100" w:lineRule="exact"/>
        <w:rPr>
          <w:sz w:val="20"/>
          <w:szCs w:val="20"/>
          <w:color w:val="auto"/>
        </w:rPr>
      </w:pPr>
    </w:p>
    <w:p>
      <w:pPr>
        <w:ind w:left="1080" w:right="28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calls with Armada’s third-party advisors and Rezolve’s management and accounting teams regarding Rezolve’s software, operations, customers and forecasts, including demonstrations of Rezolve’s offerings;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Rezolve’s software and intellectual property matters;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financial, tax, legal, and accounting due diligence, including a review of Rezolve’s finance and accounting staff and staffing needs;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consultation with legal, financial and accounting advisors;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 of Rezolve and the Projections.</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Opinion of Marshall &amp; Stevens</w:t>
      </w:r>
      <w:r>
        <w:rPr>
          <w:rFonts w:ascii="Times New Roman" w:cs="Times New Roman" w:eastAsia="Times New Roman" w:hAnsi="Times New Roman"/>
          <w:sz w:val="18"/>
          <w:szCs w:val="18"/>
          <w:color w:val="auto"/>
        </w:rPr>
        <w:t>.” The full text of Marshall &amp; Stevens’ written opinion is attached as Annex K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is incorporated herein by reference.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Armada’s board of directors evaluated the validity of the opinion of Marshall &amp; Stevens in June 2024 following the change in Rezolve’s actual results reflected in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At the request of Armada’s management, Rezolve advised Armada’s management and its board of directors that ANY was not material in terms of sales and EBITDA within the business model and Projections that were provided to Marshall Stevens for purposes of its opinion. Rezolve further advised Armada’s management and the board of directors that ANY’s contribution to revenues in the business model was not material (with ANY’s percentage contribution to Rezolve’s consolidated revenue estimated to constitute approximately 6.5% in 2024 and decreasing to 1.0% by 2027 over the periods presented) and that the business model was developed so that revenue, less cost of sales, less costs would always net to zero in respect of ANY. For a more detailed discussion of ANY’s revenue in the Projections, refer to the section below captioned “</w:t>
      </w:r>
      <w:r>
        <w:rPr>
          <w:rFonts w:ascii="Times New Roman" w:cs="Times New Roman" w:eastAsia="Times New Roman" w:hAnsi="Times New Roman"/>
          <w:sz w:val="18"/>
          <w:szCs w:val="18"/>
          <w:i w:val="1"/>
          <w:iCs w:val="1"/>
          <w:color w:val="auto"/>
        </w:rPr>
        <w:t>— Opinion of Marshall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Stevens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Rezolve Financial Projections.</w:t>
      </w:r>
      <w:r>
        <w:rPr>
          <w:rFonts w:ascii="Times New Roman" w:cs="Times New Roman" w:eastAsia="Times New Roman" w:hAnsi="Times New Roman"/>
          <w:sz w:val="18"/>
          <w:szCs w:val="18"/>
          <w:color w:val="auto"/>
        </w:rPr>
        <w:t>” Based upon the foregoing, focusing on the facts provided by Rezolve’s management demonstrating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ANY’s revenues were not material to its business model or the Projections on which the Marshall &amp; Stevens opinion was based, the Armada board of directors determined by unanimous written consent on June 10, 2024 that the Marshall &amp; Stevens opinion remained valid. For additional information regarding the decision of Armada’s board of directors with respect to the validity of the Marshall &amp; Stevens opinion, refer to the above discussion of the June 10, 2024 action by written consent of the Armada board of directors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account Rezolve’s focus on mobile consumer engagement platforms, and ecommerce and loyalty solutions, the board of directors determined that Rezolve met the criteria in Armada’s prospectus for its initial public offering.</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approving the Business Combination, the board of directors considered the factors that include, but are not limited to, those set forth above as well as the following positive factors, several of which are based upon our due diligence:</w:t>
      </w:r>
    </w:p>
    <w:p>
      <w:pPr>
        <w:spacing w:after="0" w:line="63" w:lineRule="exact"/>
        <w:rPr>
          <w:sz w:val="20"/>
          <w:szCs w:val="20"/>
          <w:color w:val="auto"/>
        </w:rPr>
      </w:pPr>
    </w:p>
    <w:p>
      <w:pPr>
        <w:ind w:left="1080" w:right="160" w:hanging="424"/>
        <w:spacing w:after="0" w:line="26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Mobile Solution that Creates Value for Rezolve Customers. </w:t>
      </w:r>
      <w:r>
        <w:rPr>
          <w:rFonts w:ascii="Times New Roman" w:cs="Times New Roman" w:eastAsia="Times New Roman" w:hAnsi="Times New Roman"/>
          <w:sz w:val="18"/>
          <w:szCs w:val="18"/>
          <w:color w:val="auto"/>
        </w:rPr>
        <w:t>Rezolve provides a bridge between offline and online commerce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leveraging a mobile device’s camera, microphone and location awareness to allow any kind of product or media to trigger an instant, highly relevant, contextual engagement between consumer and advertiser or merchants. Rezolve opens new channels of engagement opportunity and revenue for customers.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Platform and Business Model. </w:t>
      </w:r>
      <w:r>
        <w:rPr>
          <w:rFonts w:ascii="Times New Roman" w:cs="Times New Roman" w:eastAsia="Times New Roman" w:hAnsi="Times New Roman"/>
          <w:sz w:val="18"/>
          <w:szCs w:val="18"/>
          <w:color w:val="auto"/>
        </w:rPr>
        <w:t>Rezolve’s forecast of $281 million in revenues by 2024, $831 million in revenues by 2025 and $1.45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billion in revenues in 2026, represented substantial year over year growth, with additional potential revenue streams and agreements providing further opportunity for scaling the business. (For a discussion of the impact of subsequent events impacting the Projections, refer to the section below captioned “— </w:t>
      </w:r>
      <w:r>
        <w:rPr>
          <w:rFonts w:ascii="Times New Roman" w:cs="Times New Roman" w:eastAsia="Times New Roman" w:hAnsi="Times New Roman"/>
          <w:sz w:val="18"/>
          <w:szCs w:val="18"/>
          <w:i w:val="1"/>
          <w:iCs w:val="1"/>
          <w:color w:val="auto"/>
        </w:rPr>
        <w:t>Opinion of Marshall &amp; Stevens—Rezolve Financial Projections</w:t>
      </w:r>
      <w:r>
        <w:rPr>
          <w:rFonts w:ascii="Times New Roman" w:cs="Times New Roman" w:eastAsia="Times New Roman" w:hAnsi="Times New Roman"/>
          <w:sz w:val="18"/>
          <w:szCs w:val="18"/>
          <w:color w:val="auto"/>
        </w:rPr>
        <w:t>.” )</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Operating Leverage and Other Key Financial Metrics. </w:t>
      </w:r>
      <w:r>
        <w:rPr>
          <w:rFonts w:ascii="Times New Roman" w:cs="Times New Roman" w:eastAsia="Times New Roman" w:hAnsi="Times New Roman"/>
          <w:sz w:val="18"/>
          <w:szCs w:val="18"/>
          <w:color w:val="auto"/>
        </w:rPr>
        <w:t>Rezolve’s estimated gross profit margin is 78% for 2024, and 86% for</w:t>
      </w:r>
    </w:p>
    <w:p>
      <w:pPr>
        <w:spacing w:after="0" w:line="31" w:lineRule="exact"/>
        <w:rPr>
          <w:rFonts w:ascii="Times New Roman" w:cs="Times New Roman" w:eastAsia="Times New Roman" w:hAnsi="Times New Roman"/>
          <w:sz w:val="18"/>
          <w:szCs w:val="18"/>
          <w:color w:val="auto"/>
        </w:rPr>
      </w:pPr>
    </w:p>
    <w:p>
      <w:pPr>
        <w:jc w:val="both"/>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2025 and 2026; and EBITDA margin for 2025 is estimated to be $76 million in 2024, $233 million in 2025, and $436 million in 2026. (For a discussion of the impact of subsequent events impacting the Projections, refer to the section below captioned “— </w:t>
      </w:r>
      <w:r>
        <w:rPr>
          <w:rFonts w:ascii="Times New Roman" w:cs="Times New Roman" w:eastAsia="Times New Roman" w:hAnsi="Times New Roman"/>
          <w:sz w:val="18"/>
          <w:szCs w:val="18"/>
          <w:i w:val="1"/>
          <w:iCs w:val="1"/>
          <w:color w:val="auto"/>
        </w:rPr>
        <w:t>Opinion of Marshall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Stevens—Rezolve Financial Projections</w:t>
      </w:r>
      <w:r>
        <w:rPr>
          <w:rFonts w:ascii="Times New Roman" w:cs="Times New Roman" w:eastAsia="Times New Roman" w:hAnsi="Times New Roman"/>
          <w:sz w:val="18"/>
          <w:szCs w:val="18"/>
          <w:color w:val="auto"/>
        </w:rPr>
        <w:t>.” )</w:t>
      </w:r>
    </w:p>
    <w:p>
      <w:pPr>
        <w:spacing w:after="0" w:line="87" w:lineRule="exact"/>
        <w:rPr>
          <w:rFonts w:ascii="Times New Roman" w:cs="Times New Roman" w:eastAsia="Times New Roman" w:hAnsi="Times New Roman"/>
          <w:sz w:val="18"/>
          <w:szCs w:val="18"/>
          <w:color w:val="auto"/>
        </w:rPr>
      </w:pPr>
    </w:p>
    <w:p>
      <w:pPr>
        <w:ind w:left="1080" w:right="860" w:hanging="424"/>
        <w:spacing w:after="0" w:line="286"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Provides a High Barrier to Entry. </w:t>
      </w:r>
      <w:r>
        <w:rPr>
          <w:rFonts w:ascii="Times New Roman" w:cs="Times New Roman" w:eastAsia="Times New Roman" w:hAnsi="Times New Roman"/>
          <w:sz w:val="18"/>
          <w:szCs w:val="18"/>
          <w:color w:val="auto"/>
        </w:rPr>
        <w:t>Rezolve has significant market momentum backed by sophisticated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e-Commerce and mobile technology stack.</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Due Diligence</w:t>
      </w:r>
      <w:r>
        <w:rPr>
          <w:rFonts w:ascii="Times New Roman" w:cs="Times New Roman" w:eastAsia="Times New Roman" w:hAnsi="Times New Roman"/>
          <w:sz w:val="18"/>
          <w:szCs w:val="18"/>
          <w:color w:val="auto"/>
        </w:rPr>
        <w:t>. Due diligence examinations of Rezolve by Armada’s management, as well as Armada’s legal, financial and other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discussions with its management.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right="120" w:hanging="424"/>
        <w:spacing w:after="0" w:line="286" w:lineRule="auto"/>
        <w:tabs>
          <w:tab w:leader="none" w:pos="1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Negotiated Transaction</w:t>
      </w:r>
      <w:r>
        <w:rPr>
          <w:rFonts w:ascii="Times New Roman" w:cs="Times New Roman" w:eastAsia="Times New Roman" w:hAnsi="Times New Roman"/>
          <w:sz w:val="18"/>
          <w:szCs w:val="18"/>
          <w:color w:val="auto"/>
        </w:rPr>
        <w:t>. The financial and other terms of the Business Combination Agreement and the related agreements,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 that such terms and conditions are reasonable and were the product of arm’s length negotiations between Armada and Rezolve.</w:t>
      </w:r>
    </w:p>
    <w:p>
      <w:pPr>
        <w:spacing w:after="0" w:line="15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the course of its deliberations, the board of directors also considered a variety of uncertainties, risks and other potentially negative factors relevant to the Business Combination, including the following:</w:t>
      </w:r>
    </w:p>
    <w:p>
      <w:pPr>
        <w:spacing w:after="0" w:line="63" w:lineRule="exact"/>
        <w:rPr>
          <w:sz w:val="20"/>
          <w:szCs w:val="20"/>
          <w:color w:val="auto"/>
        </w:rPr>
      </w:pPr>
    </w:p>
    <w:p>
      <w:pPr>
        <w:ind w:left="1080" w:right="20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 Company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risks that are associated with being a publicly traded company that is in its early, developmental stage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with limited to no experience operating a public company.</w:t>
      </w:r>
    </w:p>
    <w:p>
      <w:pPr>
        <w:spacing w:after="0" w:line="60" w:lineRule="exact"/>
        <w:rPr>
          <w:rFonts w:ascii="Times New Roman" w:cs="Times New Roman" w:eastAsia="Times New Roman" w:hAnsi="Times New Roman"/>
          <w:sz w:val="18"/>
          <w:szCs w:val="18"/>
          <w:color w:val="auto"/>
        </w:rPr>
      </w:pPr>
    </w:p>
    <w:p>
      <w:pPr>
        <w:ind w:left="1080" w:right="540" w:hanging="424"/>
        <w:spacing w:after="0" w:line="268"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Execution Risk. </w:t>
      </w:r>
      <w:r>
        <w:rPr>
          <w:rFonts w:ascii="Times New Roman" w:cs="Times New Roman" w:eastAsia="Times New Roman" w:hAnsi="Times New Roman"/>
          <w:sz w:val="18"/>
          <w:szCs w:val="18"/>
          <w:color w:val="auto"/>
        </w:rPr>
        <w:t>The risk that Rezolve will not be able to execute on its growth-oriented business plan by adding additional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including through the addition of new merchants, reduction of merchant attribution and increasing the number of products utilizing the Rezolve platform.</w:t>
      </w:r>
    </w:p>
    <w:p>
      <w:pPr>
        <w:spacing w:after="0" w:line="76"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Risk</w:t>
      </w:r>
      <w:r>
        <w:rPr>
          <w:rFonts w:ascii="Times New Roman" w:cs="Times New Roman" w:eastAsia="Times New Roman" w:hAnsi="Times New Roman"/>
          <w:sz w:val="18"/>
          <w:szCs w:val="18"/>
          <w:color w:val="auto"/>
        </w:rPr>
        <w:t>. The risk that a significant number of Armada stockholders elect to redeem their shares prior to the consummation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Vote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Armada’s stockholders may fail to provide the votes necessary to effect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line="317" w:lineRule="auto"/>
        <w:tabs>
          <w:tab w:leader="none" w:pos="108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Closing Conditions Risk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risk that completion of the Business Combination is conditioned on the satisfaction of certain closing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that are not within Armada’s control, including the risk that Rezolve will not be able complete the Pre-Closing Demerger timely.</w:t>
      </w:r>
    </w:p>
    <w:p>
      <w:pPr>
        <w:spacing w:after="0" w:line="37" w:lineRule="exact"/>
        <w:rPr>
          <w:rFonts w:ascii="Times New Roman" w:cs="Times New Roman" w:eastAsia="Times New Roman" w:hAnsi="Times New Roman"/>
          <w:sz w:val="17"/>
          <w:szCs w:val="17"/>
          <w:color w:val="auto"/>
        </w:rPr>
      </w:pPr>
    </w:p>
    <w:p>
      <w:pPr>
        <w:ind w:left="1080" w:right="24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Benefits May Not Be Achieved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that the potential benefits of the Business Combination may not be fully achieved or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achieved within the expected timeframe.</w:t>
      </w:r>
    </w:p>
    <w:p>
      <w:pPr>
        <w:spacing w:after="0" w:line="60"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 Risk</w:t>
      </w:r>
      <w:r>
        <w:rPr>
          <w:rFonts w:ascii="Times New Roman" w:cs="Times New Roman" w:eastAsia="Times New Roman" w:hAnsi="Times New Roman"/>
          <w:sz w:val="18"/>
          <w:szCs w:val="18"/>
          <w:color w:val="auto"/>
        </w:rPr>
        <w:t>. The risk of the possibility of litigation challenging the Business Combination or that an adverse judgment granting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injunctive relief could indefinitely enjoin consummation of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Armada Stockholders Receiving a Minority Positions Risk</w:t>
      </w:r>
      <w:r>
        <w:rPr>
          <w:rFonts w:ascii="Times New Roman" w:cs="Times New Roman" w:eastAsia="Times New Roman" w:hAnsi="Times New Roman"/>
          <w:sz w:val="18"/>
          <w:szCs w:val="18"/>
          <w:color w:val="auto"/>
        </w:rPr>
        <w:t>. The risk that Armada stockholders will hold a minority position in Rezolve.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Expenses and Time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risk of incurring significant fees and expenses associated with completing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substantial time and effort of management required to complete the Business Combination.</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 Factors</w:t>
      </w:r>
      <w:r>
        <w:rPr>
          <w:rFonts w:ascii="Times New Roman" w:cs="Times New Roman" w:eastAsia="Times New Roman" w:hAnsi="Times New Roman"/>
          <w:sz w:val="18"/>
          <w:szCs w:val="18"/>
          <w:color w:val="auto"/>
        </w:rPr>
        <w:t>. Various other risk factors associated with Rezolve’s business, as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more information,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Approval of the Business Combination — Interests of Armada’s Directors and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Armada’s board of directors reconsidered whether it would continue recommend that Armada’s stockholders approve the Business Combination Agreement and the Business Combination following the release of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Based upon information provided to Armada’s board of directors as discussed in more detail above and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the Armada board of directors determined by unanimous written consent on June 10, 2024 that it continued to recommend that Armada’s stockholders approve the Business Combination Agreement and the Business Combination. In arriving at such determination, the board of directors focused on the facts provided by Rezolve’s management demonstrating that ANY’s revenues and certain of its historical results, while part of the business model and Projections, were not material to Rezolve’s business model or future prospects or the Projections that formed the basis of the Marshall &amp; Stevens opinion and that the board of directors determined that the Marshall &amp; Stevens opinion remained valid following the introduction of Rezolve’s Brain offering on July 25, 2023 and the transition towards a subscription-based model of the Rezolve platform in which subscribers to Rezolve’s Brain offering would be entitled to use Rezolve’s other offerings, including those offerings provided by ANY. For additional information regarding Rezolve’s business model, future prospects and the Projections, refer to the section below captioned “</w:t>
      </w:r>
      <w:r>
        <w:rPr>
          <w:rFonts w:ascii="Times New Roman" w:cs="Times New Roman" w:eastAsia="Times New Roman" w:hAnsi="Times New Roman"/>
          <w:sz w:val="18"/>
          <w:szCs w:val="18"/>
          <w:i w:val="1"/>
          <w:iCs w:val="1"/>
          <w:color w:val="auto"/>
        </w:rPr>
        <w:t>— Opinion of Marshall &amp; Stevens—Rezolve Financial Projections.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above discussion of the material factors considered by the board of directors is not intended to be exhaustive but does set forth the principal factors considered by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Armada’s Directors and Officers in the Business Combination</w:t>
      </w:r>
    </w:p>
    <w:p>
      <w:pPr>
        <w:spacing w:after="0" w:line="12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1080" w:hanging="424"/>
        <w:spacing w:after="0" w:line="261"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61" w:lineRule="auto"/>
        <w:rPr>
          <w:sz w:val="20"/>
          <w:szCs w:val="20"/>
          <w:color w:val="auto"/>
        </w:rPr>
      </w:pPr>
      <w:r>
        <w:rPr>
          <w:rFonts w:ascii="Times New Roman" w:cs="Times New Roman" w:eastAsia="Times New Roman" w:hAnsi="Times New Roman"/>
          <w:sz w:val="18"/>
          <w:szCs w:val="18"/>
          <w:color w:val="auto"/>
        </w:rPr>
        <w:t>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85" w:lineRule="exact"/>
        <w:rPr>
          <w:sz w:val="20"/>
          <w:szCs w:val="20"/>
          <w:color w:val="auto"/>
        </w:rPr>
      </w:pPr>
    </w:p>
    <w:p>
      <w:pPr>
        <w:ind w:left="1080" w:right="2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Armada’s existing directors and officers and the continuation of Armada’s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8"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$55,904,625 and $2,347,250, respectively, based upon the closing price of $11.45 per public share on the Nasdaq on June 20, 2024,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52" w:lineRule="auto"/>
        <w:rPr>
          <w:sz w:val="20"/>
          <w:szCs w:val="20"/>
          <w:color w:val="auto"/>
        </w:rPr>
      </w:pPr>
      <w:r>
        <w:rPr>
          <w:rFonts w:ascii="Times New Roman" w:cs="Times New Roman" w:eastAsia="Times New Roman" w:hAnsi="Times New Roman"/>
          <w:sz w:val="18"/>
          <w:szCs w:val="18"/>
          <w:color w:val="auto"/>
        </w:rPr>
        <w:t>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 and</w:t>
      </w:r>
    </w:p>
    <w:p>
      <w:pPr>
        <w:spacing w:after="0" w:line="101" w:lineRule="exact"/>
        <w:rPr>
          <w:sz w:val="20"/>
          <w:szCs w:val="20"/>
          <w:color w:val="auto"/>
        </w:rPr>
      </w:pPr>
    </w:p>
    <w:p>
      <w:pPr>
        <w:jc w:val="both"/>
        <w:ind w:left="1080" w:right="20" w:hanging="424"/>
        <w:spacing w:after="0" w:line="261"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Armada’s Sponsor holds in the aggregate approximately 74.95% of the total shares outstanding as of the date of this proxy statement/prospectus.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Founder Shares will likely be worthless if Armada does not complete a business combination by the applicable deadline.</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personal and financial interests of Armada’s officers and directors described above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Rezolve Memorandum and Articles of Association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prior to the consummation of the Business Combination, Rezolve’s memorandum and articles of association will be amended and restated promptly to:</w:t>
      </w:r>
    </w:p>
    <w:p>
      <w:pPr>
        <w:spacing w:after="0" w:line="67" w:lineRule="exact"/>
        <w:rPr>
          <w:sz w:val="20"/>
          <w:szCs w:val="20"/>
          <w:color w:val="auto"/>
        </w:rPr>
      </w:pPr>
    </w:p>
    <w:p>
      <w:pPr>
        <w:ind w:left="1080" w:right="22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 necessary changes for a company listed on Nasdaq (for a summary of the memorandum and articles of association to be amended please see </w:t>
      </w:r>
      <w:r>
        <w:rPr>
          <w:rFonts w:ascii="Times New Roman" w:cs="Times New Roman" w:eastAsia="Times New Roman" w:hAnsi="Times New Roman"/>
          <w:sz w:val="18"/>
          <w:szCs w:val="18"/>
          <w:i w:val="1"/>
          <w:iCs w:val="1"/>
          <w:color w:val="auto"/>
        </w:rPr>
        <w:t>“Description Of Rezolve Ordinary Shares, Articles Of Association And Certain Legal Considerations</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other changes that Rezolve’s board of directors deems appropriate for a public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Headquarters; Stock Symbols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completion of the transactions contemplated by the Business Combination Agreement:</w:t>
      </w:r>
    </w:p>
    <w:p>
      <w:pPr>
        <w:spacing w:after="0" w:line="131" w:lineRule="exact"/>
        <w:rPr>
          <w:sz w:val="20"/>
          <w:szCs w:val="20"/>
          <w:color w:val="auto"/>
        </w:rPr>
      </w:pPr>
    </w:p>
    <w:p>
      <w:pPr>
        <w:ind w:left="1080" w:hanging="424"/>
        <w:spacing w:after="0" w:line="282"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headquarters and principal executive offices of Rezolve will be located at 3rd Floor, 80 New Bond Street, London, W1S 1SB, United Kingdom;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applications for listing are approved, Rezolve’s Ordinary Shares and warrants will be traded on the Nasdaq under the symbols “RZLV” and “RZLV.W,”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Marshall &amp; Stevens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w:t>
      </w:r>
    </w:p>
    <w:p>
      <w:pPr>
        <w:spacing w:after="0" w:line="19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the M&amp;S Opinion, which sets forth, among other things, the assumptions made, matters considered and limitations on the scope of review undertaken by Marshall &amp; Stevens in rendering its opinion, is attached as Annex K and is incorporated into this proxy statement by reference in its entirety. Holders of the Armada Common Stock are encouraged to read this opinion carefully in its entirety. 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 any matters relating to the Business Combination. The summary of Marshall &amp; Stevens’ opinion in this proxy statement is qualified in its entirety by reference to the full text of the opinion.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Marshall &amp; Stevens:</w:t>
      </w:r>
    </w:p>
    <w:p>
      <w:pPr>
        <w:spacing w:after="0" w:line="131" w:lineRule="exact"/>
        <w:rPr>
          <w:sz w:val="20"/>
          <w:szCs w:val="20"/>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Business Combination Agreement as of June 6, 2023;</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9" w:lineRule="auto"/>
        <w:tabs>
          <w:tab w:leader="none" w:pos="108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w:t>
      </w:r>
    </w:p>
    <w:p>
      <w:pPr>
        <w:spacing w:after="0" w:line="63"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Rezolve’s management regarding Rezolve’s operations, financial condition, future prospects and projected operations and performance and regarding the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discussions with the board and its counsel regarding Rezolve’s projected financials results, among other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business, financial and other information regarding Rezolve that was furnished to it by Rezolve through its management;</w:t>
      </w:r>
    </w:p>
    <w:p>
      <w:pPr>
        <w:spacing w:after="0" w:line="142"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based on the projected financial information provided by Rezolve’s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as deemed appropriate.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Marshall &amp; Stevens relied upon and assumed, without independent verification, that (a) the representations and warranties of all parties to the agreements identified in the Business Combination Agreement and all other related documents and instruments that are referred to therein are true and correct, (b) each party to each such agreement, document or instrument will perform all of the covenants and agreements required to be performed 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was not requested to make, and did not make, any physical inspection or independent appraisal or evaluation of any of the assets, properties or liabilities (contingent or otherwise) of Rezolve, Armada</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20"/>
          </w:cols>
          <w:pgMar w:left="320" w:top="455" w:right="5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Paid to Marshall &amp; Stevens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Rezolve Financial Projections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Armada is including the information set forth below solely to give Armada’s stockholders access to the financial projections of Rezolve (the “Projections”) that were provided to, and relied upon, by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The Projections were also made available to Armada’s board of directors in connection with 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 and the Projections are not, and should not be construed as guidance.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7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20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Rezolve Management Projections</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r>
              <w:rPr>
                <w:rFonts w:ascii="Times New Roman" w:cs="Times New Roman" w:eastAsia="Times New Roman" w:hAnsi="Times New Roman"/>
                <w:sz w:val="10"/>
                <w:szCs w:val="10"/>
                <w:b w:val="1"/>
                <w:bCs w:val="1"/>
                <w:color w:val="auto"/>
              </w:rPr>
              <w:t>(4)</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2023E</w:t>
            </w:r>
          </w:p>
        </w:tc>
        <w:tc>
          <w:tcPr>
            <w:tcW w:w="98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62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CY 2027E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(2)</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281.1</w:t>
            </w:r>
          </w:p>
        </w:tc>
        <w:tc>
          <w:tcPr>
            <w:tcW w:w="34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2"/>
              </w:rPr>
              <w:t>(2)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830.9</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1,445.1</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2,195.6</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8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p>
        </w:tc>
        <w:tc>
          <w:tcPr>
            <w:tcW w:w="1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$ 13.3)</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Management Projections are unaudited.</w:t>
      </w:r>
    </w:p>
    <w:p>
      <w:pPr>
        <w:spacing w:after="0" w:line="27"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50"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w:t>
      </w:r>
      <w:r>
        <w:rPr>
          <w:rFonts w:ascii="Times New Roman" w:cs="Times New Roman" w:eastAsia="Times New Roman" w:hAnsi="Times New Roman"/>
          <w:sz w:val="18"/>
          <w:szCs w:val="18"/>
          <w:i w:val="1"/>
          <w:iCs w:val="1"/>
          <w:color w:val="auto"/>
        </w:rPr>
        <w:t>Reconciliation of Non-GAAP Financial Measures</w:t>
      </w:r>
      <w:r>
        <w:rPr>
          <w:rFonts w:ascii="Times New Roman" w:cs="Times New Roman" w:eastAsia="Times New Roman" w:hAnsi="Times New Roman"/>
          <w:sz w:val="18"/>
          <w:szCs w:val="18"/>
          <w:color w:val="auto"/>
        </w:rPr>
        <w:t>” for additional information.</w:t>
      </w:r>
    </w:p>
    <w:p>
      <w:pPr>
        <w:spacing w:after="0" w:line="1" w:lineRule="exact"/>
        <w:rPr>
          <w:rFonts w:ascii="Times New Roman" w:cs="Times New Roman" w:eastAsia="Times New Roman" w:hAnsi="Times New Roman"/>
          <w:sz w:val="18"/>
          <w:szCs w:val="18"/>
          <w:color w:val="auto"/>
        </w:rPr>
      </w:pPr>
    </w:p>
    <w:p>
      <w:pPr>
        <w:jc w:val="both"/>
        <w:ind w:left="540" w:right="160" w:hanging="424"/>
        <w:spacing w:after="0" w:line="250"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Limited has restated its consolidated combined carve-out financial statements for the year ended December 31, 2022 by restating the comparative financial statements for the year ended December 31, 2023 submitted with its Amendment No. 5 to Registration Statement on Form F-4 (as amended or supplemented, this “Amended Registration Statement”) by not consolidating ANY Lifestyle Management GmbH (“ANY”).</w:t>
      </w:r>
    </w:p>
    <w:p>
      <w:pPr>
        <w:spacing w:after="0" w:line="1" w:lineRule="exact"/>
        <w:rPr>
          <w:rFonts w:ascii="Times New Roman" w:cs="Times New Roman" w:eastAsia="Times New Roman" w:hAnsi="Times New Roman"/>
          <w:sz w:val="18"/>
          <w:szCs w:val="18"/>
          <w:color w:val="auto"/>
        </w:rPr>
      </w:pPr>
    </w:p>
    <w:p>
      <w:pPr>
        <w:jc w:val="both"/>
        <w:ind w:left="54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Rezolve AI Limited and subsidiaries for the year ended December 31, 2023 and the year then ended included in this Amended Registration Statement. Historical results have not been adjusted for the restatement of Rezolve’s consolidated combined carve-out financial statements for the year ended December 31, 2022 and are as presented to both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Projections provided by Rezolve for Armada’s use were good faith estimates of what Armada and Rezolve believe is the range of financial results that can reasonably be expected of Rezolve. There can be no assurance that these Projections will prove accurate. Additionally, as discussed in additional detail below, the Projections were prepared based on certain assumptions. Since the preparation of the Projections in June 2023, certain factors have arisen with the passage of time that were not consistent with Rezolve’s assumptions and affected Rezolve’s historical financial results, notably in 2023, and which are expected to continue to affect Rezolve’s financial results going forward in 2024 and into 2025.</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Projections were based upon various estimates and assumptions that relate only to the periods presented and based on information known or estimated as of the date the Projections were prepared, subject to the qualifications for subsequently occurring events noted herein. The Projections do not take into account any circumstances or events occurring after the date they were prepared, subject to the qualifications for subsequently occurring events noted herein. Accordingly, the Projections should not be relied upon for any other purpose. The Projections are also subjective in many respects and the recent changes in Rezolve’s operations, notably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proxy statement/prospectus for a description of the risks relating to Rezolve’s business. Stockholders should also read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in this proxy statement/prospectus for additional information regarding the risks inherent in forward-looking information such as the Projections.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Projections include the following key assumptions that Rezolve’s management believed to be material:</w:t>
      </w:r>
    </w:p>
    <w:p>
      <w:pPr>
        <w:spacing w:after="0" w:line="223"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Assumptions. </w:t>
      </w:r>
      <w:r>
        <w:rPr>
          <w:rFonts w:ascii="Times New Roman" w:cs="Times New Roman" w:eastAsia="Times New Roman" w:hAnsi="Times New Roman"/>
          <w:sz w:val="18"/>
          <w:szCs w:val="18"/>
          <w:color w:val="auto"/>
        </w:rPr>
        <w:t>The Projections reflect Rezolve management’s good faith assessment of the prospective revenue from Rezolve’s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Rezolve will have the opportunity and capability to achieve in the period 2023 through 2027.</w:t>
      </w:r>
    </w:p>
    <w:p>
      <w:pPr>
        <w:spacing w:after="0" w:line="66"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 total addressable market (worldwide) for Rezolve’s offerings of $478 billion.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approximately $12,000 in revenues per year per merchant outside China.</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merchant partners and the number of months assumed to achieve the maximum number of merchant partners: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Merchant Distribution</w:t>
            </w: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14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Merchant Dist.</w:t>
            </w: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Merchant Dist.</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5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Germany</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0" w:type="dxa"/>
            <w:vAlign w:val="bottom"/>
          </w:tcPr>
          <w:p>
            <w:pPr>
              <w:spacing w:after="0"/>
              <w:rPr>
                <w:sz w:val="1"/>
                <w:szCs w:val="1"/>
                <w:color w:val="auto"/>
              </w:rPr>
            </w:pPr>
          </w:p>
        </w:tc>
      </w:tr>
      <w:tr>
        <w:trPr>
          <w:trHeight w:val="173"/>
        </w:trPr>
        <w:tc>
          <w:tcPr>
            <w:tcW w:w="316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by geography</w:t>
            </w:r>
          </w:p>
        </w:tc>
        <w:tc>
          <w:tcPr>
            <w:tcW w:w="152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3</w:t>
            </w: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Partner 4</w:t>
            </w: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 5</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Merchant Customers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Merchant Penetration</w:t>
            </w: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20%</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Mos. to Max. No. of Merchants</w:t>
            </w:r>
          </w:p>
        </w:tc>
        <w:tc>
          <w:tcPr>
            <w:tcW w:w="15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30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2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assume the following distribution of retail partners and the number of months assumed to achieve the maximum number of merchant partners: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Retail Dist.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Retail Dist.</w:t>
            </w:r>
          </w:p>
        </w:tc>
      </w:tr>
      <w:tr>
        <w:trPr>
          <w:trHeight w:val="155"/>
        </w:trPr>
        <w:tc>
          <w:tcPr>
            <w:tcW w:w="328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Retail Distribution Partners</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India</w:t>
            </w:r>
          </w:p>
        </w:tc>
        <w:tc>
          <w:tcPr>
            <w:tcW w:w="10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2"/>
                <w:szCs w:val="12"/>
                <w:b w:val="1"/>
                <w:bCs w:val="1"/>
                <w:color w:val="auto"/>
              </w:rPr>
              <w:t>Mexico</w:t>
            </w:r>
            <w:r>
              <w:rPr>
                <w:rFonts w:ascii="Times New Roman" w:cs="Times New Roman" w:eastAsia="Times New Roman" w:hAnsi="Times New Roman"/>
                <w:sz w:val="17"/>
                <w:szCs w:val="17"/>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Partner 3</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4</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5</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6</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Partner 7</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Partner 8</w:t>
            </w: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Partner Customers</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150,000,000</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25,000,000</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60,000,000</w:t>
            </w:r>
          </w:p>
        </w:tc>
        <w:tc>
          <w:tcPr>
            <w:tcW w:w="180" w:type="dxa"/>
            <w:vAlign w:val="bottom"/>
            <w:tcBorders>
              <w:top w:val="single" w:sz="8" w:color="CCEEFF"/>
            </w:tcBorders>
            <w:shd w:val="clear" w:color="auto" w:fill="CCEEFF"/>
          </w:tcPr>
          <w:p>
            <w:pPr>
              <w:spacing w:after="0"/>
              <w:rPr>
                <w:sz w:val="12"/>
                <w:szCs w:val="12"/>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Partner Penetration</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Mos. to Max. No. of Customers</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36</w:t>
            </w:r>
          </w:p>
        </w:tc>
      </w:tr>
    </w:tbl>
    <w:p>
      <w:pPr>
        <w:spacing w:after="0" w:line="220" w:lineRule="exact"/>
        <w:rPr>
          <w:sz w:val="20"/>
          <w:szCs w:val="20"/>
          <w:color w:val="auto"/>
        </w:rPr>
      </w:pPr>
    </w:p>
    <w:p>
      <w:pPr>
        <w:jc w:val="both"/>
        <w:ind w:left="540" w:right="100" w:hanging="424"/>
        <w:spacing w:after="0" w:line="236" w:lineRule="auto"/>
        <w:tabs>
          <w:tab w:leader="none" w:pos="54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Rezolve’s contract with Grupo Carso, which has operations across Latin America, for Rezolve’s Instant Checkout offering in Grupo Carso’s Claro Shop marketplace. The parties have been testing the Instant Checkout offering in Claro Shop during the first half of 2023 and the Projections assume that Rezolve’s Instant Checkout offering will commence commercial use on the Claro Shop marketplace in the third quarter of 2023. According to the Claro Shop website, Claro Shop is used by over 10,000 merchants and accessed by over 10.0 million customers.</w:t>
      </w:r>
    </w:p>
    <w:p>
      <w:pPr>
        <w:spacing w:after="0" w:line="18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While Rezolve management does not anticipate that the introduction of these offerings and the shift in its platform will materially affect its Projections of the revenue, gross profit margin or EBITDA,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Rezolve management believes that such shift in its business model will increase Rezolve’s reliance on the Latin American market, while decreasing Rezolve’s reliance on re-entering the China market, the reasons for which are discussed below in greater detail.</w:t>
      </w:r>
    </w:p>
    <w:p>
      <w:pPr>
        <w:spacing w:after="0" w:line="92" w:lineRule="exact"/>
        <w:rPr>
          <w:sz w:val="20"/>
          <w:szCs w:val="20"/>
          <w:color w:val="auto"/>
        </w:rPr>
      </w:pPr>
    </w:p>
    <w:p>
      <w:pPr>
        <w:ind w:left="1080" w:right="60" w:hanging="424"/>
        <w:spacing w:after="0" w:line="258"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myBrain</w:t>
      </w:r>
      <w:r>
        <w:rPr>
          <w:rFonts w:ascii="Times New Roman" w:cs="Times New Roman" w:eastAsia="Times New Roman" w:hAnsi="Times New Roman"/>
          <w:sz w:val="18"/>
          <w:szCs w:val="18"/>
          <w:color w:val="auto"/>
        </w:rPr>
        <w:t>. Rezolve’s myBrain offering allows individual users limited free access to Rezolve’s AI tool, a proprietary Large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(or “LLM”) utility that allows users to ingest links and documents from any source to extract data from the documents in a personalized format by asking questions. Rezolve plans to advertise myBrain in Europe through the channels WhatsApp, Instagram, Facebook, TikTok and LinkedIn, which are expected to reach approximately 50.0 million consumers, and through Grupo Carso in Mexico, the contract with which Rezolve expects to commence in mid-August 2023 and to reach approximately 100.0 million consumers.</w:t>
      </w:r>
    </w:p>
    <w:p>
      <w:pPr>
        <w:spacing w:after="0" w:line="88"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Brain. </w:t>
      </w:r>
      <w:r>
        <w:rPr>
          <w:rFonts w:ascii="Times New Roman" w:cs="Times New Roman" w:eastAsia="Times New Roman" w:hAnsi="Times New Roman"/>
          <w:sz w:val="18"/>
          <w:szCs w:val="18"/>
          <w:color w:val="auto"/>
        </w:rPr>
        <w:t>Rezolve’s Brain offering to businesses utilizes AI and GPT models based on Rezolve’s proprietary LLM utility called “BrainPowa,”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has been trained specifically for eCommerce. Brain is designed to</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transform online stores, call-centers, social media interactions and in-store kiosks into personalized, conversational, online shopping experiences that increase orders and reduce costs. Rezolve believes it is in a unique position with first mover advantage in the retail space. The triggers for the AI offering have been active and used by merchants for at least 3 years and Rezolve initiated a large-scale trial in China that proved the technology. Merchants who engage Rezolve for the Brain platform will have access to Brain and all triggers (Geozone, audio triggers, watermarks, Instant Act and Instant Buy).</w:t>
      </w:r>
    </w:p>
    <w:p>
      <w:pPr>
        <w:spacing w:after="0" w:line="87" w:lineRule="exact"/>
        <w:rPr>
          <w:sz w:val="20"/>
          <w:szCs w:val="20"/>
          <w:color w:val="auto"/>
        </w:rPr>
      </w:pPr>
    </w:p>
    <w:p>
      <w:pPr>
        <w:ind w:left="1540" w:hanging="331"/>
        <w:spacing w:after="0"/>
        <w:tabs>
          <w:tab w:leader="none" w:pos="1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Brain-Latin America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expand its offerings to Grupo Carso to include its myBrain and Brain offerings by the end of Q3 2024.</w:t>
      </w:r>
    </w:p>
    <w:p>
      <w:pPr>
        <w:spacing w:after="0" w:line="130" w:lineRule="exact"/>
        <w:rPr>
          <w:rFonts w:ascii="Times New Roman" w:cs="Times New Roman" w:eastAsia="Times New Roman" w:hAnsi="Times New Roman"/>
          <w:sz w:val="18"/>
          <w:szCs w:val="18"/>
          <w:color w:val="auto"/>
        </w:rPr>
      </w:pPr>
    </w:p>
    <w:p>
      <w:pPr>
        <w:ind w:left="2200" w:right="240" w:hanging="545"/>
        <w:spacing w:after="0" w:line="312" w:lineRule="auto"/>
        <w:tabs>
          <w:tab w:leader="none" w:pos="220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 anticipates that it will enter into contracts by the end of 2024 with the Latin American digital merchants with which it is currently in negotiations, including a grocery store chain, a pharmacy chain and a digital marketing designer.</w:t>
      </w:r>
    </w:p>
    <w:p>
      <w:pPr>
        <w:spacing w:after="0" w:line="45" w:lineRule="exact"/>
        <w:rPr>
          <w:rFonts w:ascii="Times New Roman" w:cs="Times New Roman" w:eastAsia="Times New Roman" w:hAnsi="Times New Roman"/>
          <w:sz w:val="17"/>
          <w:szCs w:val="17"/>
          <w:color w:val="auto"/>
        </w:rPr>
      </w:pPr>
    </w:p>
    <w:p>
      <w:pPr>
        <w:ind w:left="2200" w:right="220" w:hanging="545"/>
        <w:spacing w:after="0" w:line="224" w:lineRule="auto"/>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17.94 million SME’s in Latin America in 2021</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Rezolve’s platform assumes that it will be engaged by approximately 0.0048% of Latin American SME merchants by December 2024 to achieve the Projections.</w:t>
      </w:r>
    </w:p>
    <w:p>
      <w:pPr>
        <w:spacing w:after="0" w:line="10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Brain-Europe.</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the Weekend based in Germany to promote the Rezolve platform.</w:t>
      </w:r>
    </w:p>
    <w:p>
      <w:pPr>
        <w:spacing w:after="0" w:line="130" w:lineRule="exact"/>
        <w:rPr>
          <w:rFonts w:ascii="Times New Roman" w:cs="Times New Roman" w:eastAsia="Times New Roman" w:hAnsi="Times New Roman"/>
          <w:sz w:val="18"/>
          <w:szCs w:val="18"/>
          <w:color w:val="auto"/>
        </w:rPr>
      </w:pPr>
    </w:p>
    <w:p>
      <w:pPr>
        <w:ind w:left="2200" w:right="60" w:hanging="545"/>
        <w:spacing w:after="0" w:line="266" w:lineRule="auto"/>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by the end of 2024 with several European digital merchants with which it is currently in negotiations, including digital marketing companies, telecommunications companies, a consulting company and various digital marketplaces.</w:t>
      </w:r>
    </w:p>
    <w:p>
      <w:pPr>
        <w:spacing w:after="0" w:line="81" w:lineRule="exact"/>
        <w:rPr>
          <w:rFonts w:ascii="Times New Roman" w:cs="Times New Roman" w:eastAsia="Times New Roman" w:hAnsi="Times New Roman"/>
          <w:sz w:val="18"/>
          <w:szCs w:val="18"/>
          <w:color w:val="auto"/>
        </w:rPr>
      </w:pPr>
    </w:p>
    <w:p>
      <w:pPr>
        <w:ind w:left="2200" w:right="20" w:hanging="545"/>
        <w:spacing w:after="0" w:line="224" w:lineRule="auto"/>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33.21 million SME’s in Europe in 2021</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Rezolve’s platform assumes Rezolve will be engaged by approximately 0.0015% of Europe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right="340" w:hanging="545"/>
        <w:spacing w:after="0" w:line="282" w:lineRule="auto"/>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Latin America was worth $1.9 trillion in 2017 and was forecasted to grow to $2.35 trillion by 2022 (Statista).</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Brain-Asia</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2200" w:right="240" w:hanging="545"/>
        <w:spacing w:after="0" w:line="282" w:lineRule="auto"/>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anticipates that it will enter into contracts for the Rezolve platform offering by the end of 2024 with Indian and South Korean digital merchants with which it is currently in negotiations, including a digital retailer.</w:t>
      </w:r>
    </w:p>
    <w:p>
      <w:pPr>
        <w:spacing w:after="0" w:line="67" w:lineRule="exact"/>
        <w:rPr>
          <w:rFonts w:ascii="Times New Roman" w:cs="Times New Roman" w:eastAsia="Times New Roman" w:hAnsi="Times New Roman"/>
          <w:sz w:val="18"/>
          <w:szCs w:val="18"/>
          <w:color w:val="auto"/>
        </w:rPr>
      </w:pPr>
    </w:p>
    <w:p>
      <w:pPr>
        <w:ind w:left="2200" w:right="120" w:hanging="545"/>
        <w:spacing w:after="0" w:line="230" w:lineRule="auto"/>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approximately 1.2 trillion SME’s in India in 2021</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with approximately 63 million MSME’s and approximately 1.5 million SME’s in South Korea, Rezolve’s platform assumes Rezolve will be engaged by approximately 0.0005% of SME merchants in these two countries by December 2024 for its Brain offering to achieve the Projections.</w:t>
      </w:r>
    </w:p>
    <w:p>
      <w:pPr>
        <w:spacing w:after="0" w:line="103"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India was worth $1.2 trillion in 2022 and $487 billion in South Korea.</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Brain-North America.</w:t>
      </w:r>
    </w:p>
    <w:p>
      <w:pPr>
        <w:spacing w:after="0" w:line="132"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party to a contract with ACI Group in North America to promote the Rezolve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340" w:hanging="224"/>
        <w:spacing w:after="0"/>
        <w:tabs>
          <w:tab w:leader="none" w:pos="340" w:val="left"/>
        </w:tabs>
        <w:numPr>
          <w:ilvl w:val="0"/>
          <w:numId w:val="2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Research Department, “Estimated number of small and medium sized enterprises (SMEs) worldwide from 2000 to 2021, by region” (August 2022)</w:t>
      </w:r>
    </w:p>
    <w:p>
      <w:pPr>
        <w:spacing w:after="0" w:line="1" w:lineRule="exact"/>
        <w:rPr>
          <w:rFonts w:ascii="Times New Roman" w:cs="Times New Roman" w:eastAsia="Times New Roman" w:hAnsi="Times New Roman"/>
          <w:sz w:val="27"/>
          <w:szCs w:val="27"/>
          <w:color w:val="auto"/>
          <w:vertAlign w:val="superscript"/>
        </w:rPr>
      </w:pPr>
    </w:p>
    <w:p>
      <w:pPr>
        <w:ind w:left="120"/>
        <w:spacing w:after="0" w:line="18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Id.</w:t>
      </w:r>
    </w:p>
    <w:p>
      <w:pPr>
        <w:ind w:left="12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Id.</w:t>
      </w:r>
    </w:p>
    <w:p>
      <w:pPr>
        <w:spacing w:after="0" w:line="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200" w:right="580" w:hanging="545"/>
        <w:spacing w:after="0" w:line="282" w:lineRule="auto"/>
        <w:tabs>
          <w:tab w:leader="none" w:pos="22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 Group has access to over 80,000 merchants for which Rezolve has assumed it will be engaged by 0.3% of such merchants by December 2024.</w:t>
      </w:r>
    </w:p>
    <w:p>
      <w:pPr>
        <w:spacing w:after="0" w:line="67" w:lineRule="exact"/>
        <w:rPr>
          <w:rFonts w:ascii="Times New Roman" w:cs="Times New Roman" w:eastAsia="Times New Roman" w:hAnsi="Times New Roman"/>
          <w:sz w:val="18"/>
          <w:szCs w:val="18"/>
          <w:color w:val="auto"/>
        </w:rPr>
      </w:pPr>
    </w:p>
    <w:p>
      <w:pPr>
        <w:ind w:left="2200" w:right="220" w:hanging="545"/>
        <w:spacing w:after="0" w:line="224" w:lineRule="auto"/>
        <w:tabs>
          <w:tab w:leader="none" w:pos="22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Statista’s determination of 31.85 million SME’s in the United States in 2021</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Rezolve’s platform assumes Rezolve will be engaged by approximately 0.0006% of North American SME merchants by December 2024 for its Brain offering to achieve the Projections.</w:t>
      </w:r>
    </w:p>
    <w:p>
      <w:pPr>
        <w:spacing w:after="0" w:line="104"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Statista, the retail market in the United States was worth $6.6 trillion in 2021.</w:t>
      </w:r>
    </w:p>
    <w:p>
      <w:pPr>
        <w:spacing w:after="0" w:line="22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In developing the assumptions for the Projections, Rezolve management compared its assumptions to publicly available forecasts of other similar payments companies and AI tools, such as ChatGPT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to assess the reasonableness of its assumptions, including with respect to the market opportunity for payment services and similar AI tools. While Rezolve management believes the above-mentioned assumptions to be reasonable for preparation of the Projections, the assumptions are dependent upon future events, and actual conditions may differ from those assumed. In addition, as noted above, Rezolve management used and relied upon certain information provided by others. While Rezolve management believes the use of such information and assumptions to be reasonable for preparation of its Projections, it offers no assurances with respect thereto and some assumptions may vary significantly due to unanticipated events and circumstances. Armada’s management and Board also reviewed such publicly available information, and consulted with its advisors to aid in evaluating the reasonableness of Rezolve’s Projections and the underlying assumptions. From time to time on an ongoing basis, Rezolve’s management reviews the reasonableness of significant assumptions related to its Projections. This analysis includes, among other things, the size and market opportunity of the retail markets in each of the Latin American, European, Asian and North American markets of Rezolve, its pipeline of merchants and entry of competitors into the digital payments and AI-enabled solutions spaces.</w:t>
      </w:r>
    </w:p>
    <w:p>
      <w:pPr>
        <w:spacing w:after="0" w:line="20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Forecast Period. </w:t>
      </w:r>
      <w:r>
        <w:rPr>
          <w:rFonts w:ascii="Times New Roman" w:cs="Times New Roman" w:eastAsia="Times New Roman" w:hAnsi="Times New Roman"/>
          <w:sz w:val="18"/>
          <w:szCs w:val="18"/>
          <w:color w:val="auto"/>
        </w:rPr>
        <w:t>Since Rezolve expects to commence providing its offerings under its contracts during the second half of 2023 and during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Rezolve management believes using a five-year period effectively shows the economic impact of the potential merchant engagement that can be reasonably extrapolated from the current level of inbound interest and ongoing discussions with current and prospective merchants. Taking these factors into account, Marshall &amp; Stevens requested that Rezolve management provide Projections covering a five-year period for purposes of the analyses it performed. In addition, due to the uncertainties and risks associated with the adoption and use of Rezolve’s offerings, as well as the size and scope of the potential market opportunity available to Rezolve, projections beyond 2027 could not be supported by information known to or reasonably estimable by Rezolve at the time the projections were developed.</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the preparation of the Projections in June 2023, certain factors have arisen with the passage of time that were not consistent with Rezolve’s assumptions underlying the preparation of the Projections and affected Rezolve’s actual financial results, notably in 2023, and which are expected to continue to affect Rezolve’s financial results in 2024 and into 2025. The primary factors, among other unanticipated circumstances, are (i) the delayed closing of the Business Combination (and, in particular, the corresponding delay in capital infusion for investment purposes) resulting from a delay related to the review of the registration statement relating to the Business Combination discussed in Note 2.20 in the Notes to the Carve-out Consolidated Financial Statements of Rezolve AI Limited and subsidiaries for the year ended December 31, 2023 and the year then ended included in this Amended Registration Statement and the resulting delay in the completion of the audit of Rezolve’s historical financial statements by its independent registered public accounting firm; (ii) Rezolve AI Limited has restated its consolidated combined carve-out financial statements for the year ended December 31, 2022 by restating the comparative financial statements for the year ended December 31, 2023 submitted with this Amended Registration Statement by not consolidating ANY, as discussed in Note 2.20 in the Notes to the Carve-out Consolidated Financial Statements of Rezolve AI Limited and subsidiaries for the year ended December 31, 2023 and the year then ended included in this Amended Registration Statement; and (iii) a delay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7" w:lineRule="exact"/>
        <w:rPr>
          <w:sz w:val="20"/>
          <w:szCs w:val="20"/>
          <w:color w:val="auto"/>
        </w:rPr>
      </w:pPr>
    </w:p>
    <w:p>
      <w:pPr>
        <w:ind w:left="340" w:hanging="224"/>
        <w:spacing w:after="0"/>
        <w:tabs>
          <w:tab w:leader="none" w:pos="340" w:val="left"/>
        </w:tabs>
        <w:numPr>
          <w:ilvl w:val="0"/>
          <w:numId w:val="2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Id.</w:t>
      </w:r>
    </w:p>
    <w:p>
      <w:pPr>
        <w:spacing w:after="0" w:line="1" w:lineRule="exact"/>
        <w:rPr>
          <w:sz w:val="20"/>
          <w:szCs w:val="20"/>
          <w:color w:val="auto"/>
        </w:rPr>
      </w:pPr>
    </w:p>
    <w:p>
      <w:pPr>
        <w:ind w:left="5480" w:right="3880" w:hanging="5364"/>
        <w:spacing w:after="0" w:line="311" w:lineRule="auto"/>
        <w:tabs>
          <w:tab w:leader="none" w:pos="323" w:val="left"/>
        </w:tabs>
        <w:numPr>
          <w:ilvl w:val="0"/>
          <w:numId w:val="2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“ChatGPT owner OpenAI projects $1 billion in revenue by 2024,” Reuters (December 15 2022) 154</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implementing Rezolve’s business model (as discussed above under “—</w:t>
      </w:r>
      <w:r>
        <w:rPr>
          <w:rFonts w:ascii="Times New Roman" w:cs="Times New Roman" w:eastAsia="Times New Roman" w:hAnsi="Times New Roman"/>
          <w:sz w:val="18"/>
          <w:szCs w:val="18"/>
          <w:i w:val="1"/>
          <w:iCs w:val="1"/>
          <w:color w:val="auto"/>
        </w:rPr>
        <w:t>Revenue Assumptions</w:t>
      </w:r>
      <w:r>
        <w:rPr>
          <w:rFonts w:ascii="Times New Roman" w:cs="Times New Roman" w:eastAsia="Times New Roman" w:hAnsi="Times New Roman"/>
          <w:sz w:val="18"/>
          <w:szCs w:val="18"/>
          <w:color w:val="auto"/>
        </w:rPr>
        <w:t>”) from a transaction-based revenue model to a subscription-based model resulting from the delayed closing of the Business Combination and the corresponding delays in capital infusions necessary to finance the implemention of Rezolve’s new subscription-based offerings and related customer acquisition and entry into new contracts. While Rezolve management does not anticipate that these will materially affect its Projections of the revenue, gross profit margin or EBITDA, Rezolve management believes that such factors will impact the timing for the implementation of its business model and, therefore, delay the timing for the Projections and shift such Projections to the periods following the closing of the Business Combination and the corresponding receipt of capital infusions and subsequent deploying of such capital infusions. While access to capital and the deployment of such capital are necessary for the full implementation of Rezolve’s new offerings and customer acquisitions and contract executions, Rezolve has provided Armada’s management and board of directors updates from time to time on Rezolve’s customer pipeline, the development of which has continued, although not at the same rate as Rezolve anticipated at the time it originally prepared the Projections due to the delays in closing the Business Combination discussed above in this paragraph.</w:t>
      </w:r>
    </w:p>
    <w:p>
      <w:pPr>
        <w:spacing w:after="0" w:line="18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a result of the foregoing and as discussed in more detail above and in the section captioned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Armada’s management and board of directors considered whether it should request revised Projection following the change in Rezolve’s actual results reflected in Rezolve’s financial statement for the year ended December 31, 2023 and the restatement of its consolidated combined carve-out financial statements for the year ending December 31, 2022 by restating the comparative financial statements for the year ended December 31, 2023 by not consolidating ANY the Projections. At the request of Armada’s management, Rezolve advised Armada’s management and its board of directors that ANY was not material in terms of sales and EBITDA within the business model and Projections that were provided to Marshall Stevens for purposes of its opinion. As support for this determination, Rezolve advised Armada’s management and board of directors that revenue from ANY as a percentage of total revenue in the business model used to prepare the Projections was 6.5% in 2024, falling to 2.4% in 2025, 1.5% in 2026 and 1.0% in 2027. In 2028 revenue was forecast at $2,195,589,522 in 2028 with ANY forecast at $22,412,469, which would constitute approximately 1.0%. Rezolve also advised that the business model was developed so that revenue, less cost of sales, less costs would always net to zero in respect of ANY. Additionally, as noted above, Rezolve is continuing to develop its customer pipeline, although not at the same rate as Rezolve anticipated at the time it originally prepared the Projections due to the delays in closing the Business Combination and the corresponding delay in capital infusions for investment purposes. Accordingly, based upon the foregoing, no material changes (other than as noted in the immediately preceding paragraph) to the Projections are being requested from Rezolve at this time. The additional information would not have materially changed the board of directors’ understanding of Rezolve’s business and prospects, and the additional time and expense required for Rezolve’s management to create updated projections would have unnecessarily distracted management of Rezolve from focusing all of their efforts on running the business and bringing the Business Combination to a close, particularly since Armada’s board of directors understands that Rezolve’s access to capital markets is necessary to fund the development of its new offerings and marketing that enables the expected growth contemplated by the Projections.</w:t>
      </w:r>
    </w:p>
    <w:p>
      <w:pPr>
        <w:spacing w:after="0" w:line="19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w:t>
      </w:r>
      <w:r>
        <w:rPr>
          <w:rFonts w:ascii="Times New Roman" w:cs="Times New Roman" w:eastAsia="Times New Roman" w:hAnsi="Times New Roman"/>
          <w:sz w:val="18"/>
          <w:szCs w:val="18"/>
          <w:color w:val="auto"/>
        </w:rPr>
        <w:t>The Projections (including the Projections regarding revenues above) are subjective in many respects and Rezolve’s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operating history, notably following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or that the Projections will be realized according within the periods anticipated. The following risks and uncertainties may negatively impact the market opportunity of Rezolve’s platform and offerings and Rezolve’s ability to achieve the revenue Projections illustrated in the Projections:</w:t>
      </w:r>
    </w:p>
    <w:p>
      <w:pPr>
        <w:spacing w:after="0" w:line="90" w:lineRule="exact"/>
        <w:rPr>
          <w:sz w:val="20"/>
          <w:szCs w:val="20"/>
          <w:color w:val="auto"/>
        </w:rPr>
      </w:pPr>
    </w:p>
    <w:p>
      <w:pPr>
        <w:ind w:left="1080" w:right="46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 including with its new offerings myBrain and Brain.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radio advertising business in Germany is susceptible to risks associated with economic downturns and recession.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business is susceptible to risks associated with inadequate financing to continue to funds its growth and associated customer acquisitions and entry into new contracts with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upon consumers’ and merchants’ willingness to use the internet and internet- enabled mobile devices for commerce.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 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Times New Roman" w:cs="Times New Roman" w:eastAsia="Times New Roman" w:hAnsi="Times New Roman"/>
          <w:sz w:val="18"/>
          <w:szCs w:val="18"/>
          <w:i w:val="1"/>
          <w:iCs w:val="1"/>
          <w:color w:val="auto"/>
        </w:rPr>
        <w:t>Selected Financial Information of Rezolve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in this proxy statement/prospectus and to not rely on any single financial measure.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w:t>
      </w:r>
    </w:p>
    <w:p>
      <w:pPr>
        <w:spacing w:after="0" w:line="73" w:lineRule="exact"/>
        <w:rPr>
          <w:sz w:val="20"/>
          <w:szCs w:val="20"/>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Rezolve’s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interest expense, or the cash requirements to service interest or principal payments on, Rezolve’s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Rezolve’s tax expense or the cash requirements to pay Rezolve’s taxes;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Rezolve considers not to be indicative of its future operations;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Rezolve does.</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table below provides a reconciliation of Rezolve’s net income (loss) to its non-GAAP financial measure, Adjusted EBITDA, for each of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9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Historical Results</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Management Projections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CY 2021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2022</w:t>
            </w:r>
          </w:p>
        </w:tc>
        <w:tc>
          <w:tcPr>
            <w:tcW w:w="44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2023E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2024E</w:t>
            </w:r>
          </w:p>
        </w:tc>
        <w:tc>
          <w:tcPr>
            <w:tcW w:w="10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2025E</w:t>
            </w:r>
          </w:p>
        </w:tc>
        <w:tc>
          <w:tcPr>
            <w:tcW w:w="8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CY 2026E</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CY 2027E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Net income</w:t>
            </w:r>
            <w:r>
              <w:rPr>
                <w:rFonts w:ascii="Times New Roman" w:cs="Times New Roman" w:eastAsia="Times New Roman" w:hAnsi="Times New Roman"/>
                <w:sz w:val="23"/>
                <w:szCs w:val="23"/>
                <w:color w:val="auto"/>
                <w:vertAlign w:val="superscript"/>
              </w:rPr>
              <w:t>(2)</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($ 37.7)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($104.1)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61.1</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180.7</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Reconciliation to adjusted EBITDA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8"/>
                <w:szCs w:val="18"/>
                <w:u w:val="single" w:color="auto"/>
                <w:color w:val="auto"/>
              </w:rPr>
              <w:t>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($ 37.0)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99.6)</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9"/>
              </w:rPr>
              <w:t>16.1)</w:t>
            </w: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76.0</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FX (gain) or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parties for consultancy services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based compensation for consultancy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and other share based compensation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5"/>
              </w:rPr>
              <w:t>—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5"/>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($ 13.3)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52"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 for the years ended December 31, 2021 and 2022 exclude applicable adjustments. All of Management Projections are unaudited. Additionally, historical results have not been adjusted for the restatement of Rezolve’s consolidated combined carve-out financial statements for the year ended December 31, 2022 and are as presented in June 2023 both to Marshall &amp; Steven’s in connection with the rendering of its opinion as described in the section entitled “</w:t>
      </w:r>
      <w:r>
        <w:rPr>
          <w:rFonts w:ascii="Times New Roman" w:cs="Times New Roman" w:eastAsia="Times New Roman" w:hAnsi="Times New Roman"/>
          <w:sz w:val="18"/>
          <w:szCs w:val="18"/>
          <w:i w:val="1"/>
          <w:iCs w:val="1"/>
          <w:color w:val="auto"/>
        </w:rPr>
        <w:t>The Business Combination—Opinion of Marshall &amp; Steven’s</w:t>
      </w:r>
      <w:r>
        <w:rPr>
          <w:rFonts w:ascii="Times New Roman" w:cs="Times New Roman" w:eastAsia="Times New Roman" w:hAnsi="Times New Roman"/>
          <w:sz w:val="18"/>
          <w:szCs w:val="18"/>
          <w:color w:val="auto"/>
        </w:rPr>
        <w:t>” and Armada’s board of directors. We have included the above information since it was presented to Marshall &amp; Steven’s and Armada’s board of directors in June 2023, notwithstanding that the above information was subsequently adjusted to reflect the restatement discussed below. As discussed in Note 2.20 in the Notes to the Carve-out Consolidated Financial Statements of Rezolve AI Limited and subsidiaries for the year ended December 31, 2023 and the year then ended included in this registration statement, Rezolve AI Limited has restated its consolidated combined carve-out financial statements for the year ended December 31, 2022 by restating the comparative financial statements for the year ended December 31, 2023 submitted with its fifth amended F-4 registration statement by not consolidating ANY. For a discussion of the restatement and a reconciliation of the impacted financial statement line items as presented to Armada’s board of directors to the restated amounts as of December 31, 2022 and for the year then ended, please refer to Note 2.20 in the Notes to the Carve-out Consolidated Financial Statements of Rezolve AI Limited and subsidiaries for the year ended December 31, 2023 and the year then ended included in this registration statement.</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60" w:lineRule="auto"/>
        <w:tabs>
          <w:tab w:leader="none" w:pos="5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EBITDA (net income (loss) adjusted for interest expense, income tax, depreciation of property and equipment and amortization of acquired intangibles) adjusted for unrealized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520"/>
        <w:spacing w:after="0" w:line="266" w:lineRule="auto"/>
        <w:rPr>
          <w:sz w:val="20"/>
          <w:szCs w:val="20"/>
          <w:color w:val="auto"/>
        </w:rPr>
      </w:pPr>
      <w:r>
        <w:rPr>
          <w:rFonts w:ascii="Times New Roman" w:cs="Times New Roman" w:eastAsia="Times New Roman" w:hAnsi="Times New Roman"/>
          <w:sz w:val="18"/>
          <w:szCs w:val="18"/>
          <w:color w:val="auto"/>
        </w:rPr>
        <w:t>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major inputs and assumptions used in Marshall &amp; Stevens’s discounted cash flow method were as follows:</w:t>
      </w:r>
    </w:p>
    <w:p>
      <w:pPr>
        <w:spacing w:after="0" w:line="131" w:lineRule="exact"/>
        <w:rPr>
          <w:sz w:val="20"/>
          <w:szCs w:val="20"/>
          <w:color w:val="auto"/>
        </w:rPr>
      </w:pPr>
    </w:p>
    <w:p>
      <w:pPr>
        <w:ind w:left="1080" w:right="26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w:t>
      </w:r>
    </w:p>
    <w:p>
      <w:pPr>
        <w:spacing w:after="0" w:line="81"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weighted average cost of capital (WACC), adjusted for exposure to emerging markets, was used as the discount rate in Marshall &amp; Stevens’s analysis and applied to debt free, after-tax cash flows. The WACC was calculated to be approximately 27.0% and was determined based upon a cost of equity of approximately 28.08% and an after-tax cost of debt of approximately 6.20%.</w:t>
      </w:r>
    </w:p>
    <w:p>
      <w:pPr>
        <w:spacing w:after="0" w:line="81"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w:t>
      </w:r>
    </w:p>
    <w:p>
      <w:pPr>
        <w:spacing w:after="0" w:line="9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debt-to-capital ratio was estimated at 5.0% and the equity-to-capital ratio was estimated at 95.0% using input from the Guideline Companies discussed below.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income tax expense of 26.48% of pre-tax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projected year 2023 through 2032 were based upon discussions with Rezolve’s management;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year multiple of 4.17 was calculated using the Gordon Growth Model and based upon a WACC of 27.0% and terminal growth rate of 3.00% (multiple = 1/(WACC – growth rate).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Marshall &amp; Stevens performed sensitivity analyses utilizing the projections including varying the terminal growth rate, the WACC rate, and the revenues growth rate.</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Public Company Analysis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Business descriptions and financial information are provided below for the selected Guideline Companies. The descriptions of these companies and the financial information for such companies set out below are derived 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Shopify, Inc. (NYSE: SHOP)</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Trade Desk, Inc. (NasdaqGM: TTD)</w:t>
      </w:r>
    </w:p>
    <w:p>
      <w:pPr>
        <w:spacing w:after="0" w:line="121" w:lineRule="exact"/>
        <w:rPr>
          <w:sz w:val="20"/>
          <w:szCs w:val="20"/>
          <w:color w:val="auto"/>
        </w:rPr>
      </w:pPr>
    </w:p>
    <w:p>
      <w:pPr>
        <w:ind w:left="560" w:right="60"/>
        <w:spacing w:after="0" w:line="258" w:lineRule="auto"/>
        <w:rPr>
          <w:sz w:val="20"/>
          <w:szCs w:val="20"/>
          <w:color w:val="auto"/>
        </w:rPr>
      </w:pPr>
      <w:r>
        <w:rPr>
          <w:rFonts w:ascii="Times New Roman" w:cs="Times New Roman" w:eastAsia="Times New Roman" w:hAnsi="Times New Roman"/>
          <w:sz w:val="18"/>
          <w:szCs w:val="18"/>
          <w:color w:val="auto"/>
        </w:rPr>
        <w:t>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HubSpot, Inc. (NYSE: HUBS)</w:t>
      </w:r>
    </w:p>
    <w:p>
      <w:pPr>
        <w:spacing w:after="0" w:line="121"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DLocal Limited (NasdaqGS: DLO)</w:t>
      </w:r>
    </w:p>
    <w:p>
      <w:pPr>
        <w:spacing w:after="0" w:line="121" w:lineRule="exact"/>
        <w:rPr>
          <w:sz w:val="20"/>
          <w:szCs w:val="20"/>
          <w:color w:val="auto"/>
        </w:rPr>
      </w:pPr>
    </w:p>
    <w:p>
      <w:pPr>
        <w:ind w:left="560" w:right="200"/>
        <w:spacing w:after="0" w:line="289" w:lineRule="auto"/>
        <w:rPr>
          <w:sz w:val="20"/>
          <w:szCs w:val="20"/>
          <w:color w:val="auto"/>
        </w:rPr>
      </w:pPr>
      <w:r>
        <w:rPr>
          <w:rFonts w:ascii="Times New Roman" w:cs="Times New Roman" w:eastAsia="Times New Roman" w:hAnsi="Times New Roman"/>
          <w:sz w:val="17"/>
          <w:szCs w:val="17"/>
          <w:color w:val="auto"/>
        </w:rPr>
        <w:t>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DoubleVerify Holdings, Inc. (NYSE: DV)</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DoubleVerify Holdings, Inc. provides a software platform for digital media measurement, and analytics in the United States and internationally. The company provides solutions to advertisers unbiased data analytics 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Sprout Social, Inc. (NasdaqCM: SPT)</w:t>
      </w:r>
    </w:p>
    <w:p>
      <w:pPr>
        <w:spacing w:after="0" w:line="121"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Lightspeed Commerce Inc. (TSX: LSPD)</w:t>
      </w:r>
    </w:p>
    <w:p>
      <w:pPr>
        <w:spacing w:after="0" w:line="121" w:lineRule="exact"/>
        <w:rPr>
          <w:sz w:val="20"/>
          <w:szCs w:val="20"/>
          <w:color w:val="auto"/>
        </w:rPr>
      </w:pPr>
    </w:p>
    <w:p>
      <w:pPr>
        <w:ind w:left="560" w:right="220"/>
        <w:spacing w:after="0" w:line="255" w:lineRule="auto"/>
        <w:rPr>
          <w:sz w:val="20"/>
          <w:szCs w:val="20"/>
          <w:color w:val="auto"/>
        </w:rPr>
      </w:pPr>
      <w:r>
        <w:rPr>
          <w:rFonts w:ascii="Times New Roman" w:cs="Times New Roman" w:eastAsia="Times New Roman" w:hAnsi="Times New Roman"/>
          <w:sz w:val="18"/>
          <w:szCs w:val="18"/>
          <w:color w:val="auto"/>
        </w:rPr>
        <w:t>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320"/>
        <w:spacing w:after="0" w:line="258" w:lineRule="auto"/>
        <w:rPr>
          <w:sz w:val="20"/>
          <w:szCs w:val="20"/>
          <w:color w:val="auto"/>
        </w:rPr>
      </w:pPr>
      <w:r>
        <w:rPr>
          <w:rFonts w:ascii="Times New Roman" w:cs="Times New Roman" w:eastAsia="Times New Roman" w:hAnsi="Times New Roman"/>
          <w:sz w:val="18"/>
          <w:szCs w:val="18"/>
          <w:color w:val="auto"/>
        </w:rPr>
        <w:t>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EverCommerce Inc. (NasdaqGS: EVCM)</w:t>
      </w:r>
    </w:p>
    <w:p>
      <w:pPr>
        <w:spacing w:after="0" w:line="121"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Sprinklr, Inc. (NYSE: CXM)</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Amplitude, Inc. (NasdaqCM: AMPL)</w:t>
      </w:r>
    </w:p>
    <w:p>
      <w:pPr>
        <w:spacing w:after="0" w:line="121" w:lineRule="exact"/>
        <w:rPr>
          <w:sz w:val="20"/>
          <w:szCs w:val="20"/>
          <w:color w:val="auto"/>
        </w:rPr>
      </w:pPr>
    </w:p>
    <w:p>
      <w:pPr>
        <w:ind w:left="560" w:right="80"/>
        <w:spacing w:after="0" w:line="254" w:lineRule="auto"/>
        <w:rPr>
          <w:sz w:val="20"/>
          <w:szCs w:val="20"/>
          <w:color w:val="auto"/>
        </w:rPr>
      </w:pPr>
      <w:r>
        <w:rPr>
          <w:rFonts w:ascii="Times New Roman" w:cs="Times New Roman" w:eastAsia="Times New Roman" w:hAnsi="Times New Roman"/>
          <w:sz w:val="18"/>
          <w:szCs w:val="18"/>
          <w:color w:val="auto"/>
        </w:rPr>
        <w:t>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Sonalight, Inc. and changed its name to Amplitude, Inc. in December 2014. Amplitude, Inc. was incorporated in 2011 and is headquartered in San Francisco, California.</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Olo, Inc. (NYSE: OLO)</w:t>
      </w:r>
    </w:p>
    <w:p>
      <w:pPr>
        <w:spacing w:after="0" w:line="121" w:lineRule="exact"/>
        <w:rPr>
          <w:sz w:val="20"/>
          <w:szCs w:val="20"/>
          <w:color w:val="auto"/>
        </w:rPr>
      </w:pPr>
    </w:p>
    <w:p>
      <w:pPr>
        <w:ind w:left="560" w:right="140"/>
        <w:spacing w:after="0" w:line="254" w:lineRule="auto"/>
        <w:rPr>
          <w:sz w:val="20"/>
          <w:szCs w:val="20"/>
          <w:color w:val="auto"/>
        </w:rPr>
      </w:pPr>
      <w:r>
        <w:rPr>
          <w:rFonts w:ascii="Times New Roman" w:cs="Times New Roman" w:eastAsia="Times New Roman" w:hAnsi="Times New Roman"/>
          <w:sz w:val="18"/>
          <w:szCs w:val="18"/>
          <w:color w:val="auto"/>
        </w:rPr>
        <w:t>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 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BigCommerce Holdings, Inc. (NasdaqGM: BIGC)</w:t>
      </w:r>
    </w:p>
    <w:p>
      <w:pPr>
        <w:spacing w:after="0" w:line="121"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VTEX (NYSE: VTEX)</w:t>
      </w:r>
    </w:p>
    <w:p>
      <w:pPr>
        <w:spacing w:after="0" w:line="12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w:t>
      </w:r>
    </w:p>
    <w:p>
      <w:pPr>
        <w:spacing w:after="0" w:line="180" w:lineRule="exact"/>
        <w:rPr>
          <w:sz w:val="20"/>
          <w:szCs w:val="20"/>
          <w:color w:val="auto"/>
        </w:rPr>
      </w:pPr>
    </w:p>
    <w:p>
      <w:pPr>
        <w:ind w:left="120" w:right="140" w:firstLine="440"/>
        <w:spacing w:after="0" w:line="230" w:lineRule="auto"/>
        <w:rPr>
          <w:sz w:val="20"/>
          <w:szCs w:val="20"/>
          <w:color w:val="auto"/>
        </w:rPr>
      </w:pPr>
      <w:r>
        <w:rPr>
          <w:rFonts w:ascii="Times New Roman" w:cs="Times New Roman" w:eastAsia="Times New Roman" w:hAnsi="Times New Roman"/>
          <w:sz w:val="18"/>
          <w:szCs w:val="18"/>
          <w:color w:val="auto"/>
        </w:rPr>
        <w:t>Given the expected growth profile of Rezolve, the year ending December 31, 2024 forecasted value indications utilizing the enterprise value as a multiple of revenues and EBITDA were weighted 50.0% each to arrive at the final range of value and the average of the minimum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multiples were selected. The indication of enterprise value for Rezolve using the guideline public company method in the final value conclusion was estimated to be between approximately $1,645,000,000 to $1,995,000,000.</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 Transaction Analysis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Reconciled Conclusion of Value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Giving the weighing discussed above, Marshall &amp; Stevens concluded a final enterprise value range of approximately $1,595,000,000 to $1,885,000,000.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Northland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w:t>
      </w:r>
    </w:p>
    <w:p>
      <w:pPr>
        <w:spacing w:after="0" w:line="17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The full text of Northland’s updated written opinion letter, dated as of March 31, 2022 , is attached as Annex J. You should read 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-1135380</wp:posOffset>
            </wp:positionV>
            <wp:extent cx="28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arriving at its opinion, Northland conducted such analyses, examinations, and inquiries and considered such other financial, economic and market criteria as it deemed necessary. Northland, among other things:</w:t>
      </w:r>
    </w:p>
    <w:p>
      <w:pPr>
        <w:spacing w:after="0" w:line="67" w:lineRule="exact"/>
        <w:rPr>
          <w:sz w:val="20"/>
          <w:szCs w:val="20"/>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revised projected financial statements for the calendar years ending December 31, 2021 – December 31, 2024, which were revised by Rezolve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Rezolve’s roadshow presentation dated December 2021;</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financial and business information provided to Northland by Armada, Rezolve, and their advisors;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information, estimates, and financial and operations forecasts for Rezolve, prepared by Rezolve or Armada management;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press releases issued by Armada and Rezolve;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and commercial due diligence reports prepared by KPMG;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side letter between Armada Sponsor LLC and Rezolve, dated March 28, 2022;</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certain valuation and comparative analyses using generally accepted valuation and analytical techniques including an analysis of selected public companies that Northland deemed relevant and an analysis of selected precedent transactions that Northland deemed relevant.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business decision to proceed with or effect the Business Combination. Northland was not asked to, nor did Northland, offer any opinion as to the material terms of the Business Combination Agreement or the form of the Business Combination. Northland expressed no opinion or view as to the relative merits of the Business Combination as compared to any alternative business strategies or transactions that might exist for Armada or the 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w:t>
      </w:r>
    </w:p>
    <w:p>
      <w:pPr>
        <w:spacing w:after="0" w:line="188" w:lineRule="exact"/>
        <w:rPr>
          <w:sz w:val="20"/>
          <w:szCs w:val="20"/>
          <w:color w:val="auto"/>
        </w:rPr>
      </w:pPr>
    </w:p>
    <w:p>
      <w:pPr>
        <w:jc w:val="both"/>
        <w:ind w:left="120" w:right="500" w:firstLine="440"/>
        <w:spacing w:after="0" w:line="272" w:lineRule="auto"/>
        <w:rPr>
          <w:sz w:val="20"/>
          <w:szCs w:val="20"/>
          <w:color w:val="auto"/>
        </w:rPr>
      </w:pPr>
      <w:r>
        <w:rPr>
          <w:rFonts w:ascii="Times New Roman" w:cs="Times New Roman" w:eastAsia="Times New Roman" w:hAnsi="Times New Roman"/>
          <w:sz w:val="17"/>
          <w:szCs w:val="17"/>
          <w:color w:val="auto"/>
        </w:rPr>
        <w:t>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opinion, to Armada of the aggregate stock consideration under the Business Combination Agreement.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subsequent developments may affect Northland’s opinion, Northland does not have any obligation to update, revise, or reaffirm its opinion.</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Publicly Traded Companies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 Amplitude,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 Lightspeed Commerce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 BigCommerce Holdings,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 Shopify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 DLocal Limited</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 Sprout Social,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 EverCommerce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Trade Desk, Inc.</w:t>
            </w:r>
          </w:p>
        </w:tc>
      </w:tr>
      <w:tr>
        <w:trPr>
          <w:trHeight w:val="338"/>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 HubSpot, Inc.</w:t>
            </w:r>
          </w:p>
        </w:tc>
        <w:tc>
          <w:tcPr>
            <w:tcW w:w="1900" w:type="dxa"/>
            <w:vAlign w:val="bottom"/>
          </w:tcPr>
          <w:p>
            <w:pPr>
              <w:ind w:left="1740"/>
              <w:spacing w:after="0"/>
              <w:rPr>
                <w:sz w:val="20"/>
                <w:szCs w:val="20"/>
                <w:color w:val="auto"/>
              </w:rPr>
            </w:pPr>
            <w:r>
              <w:rPr>
                <w:rFonts w:ascii="Times New Roman" w:cs="Times New Roman" w:eastAsia="Times New Roman" w:hAnsi="Times New Roman"/>
                <w:sz w:val="13"/>
                <w:szCs w:val="13"/>
                <w:color w:val="auto"/>
                <w:w w:val="79"/>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 VTEX</w:t>
            </w:r>
          </w:p>
        </w:tc>
      </w:tr>
    </w:tbl>
    <w:p>
      <w:pPr>
        <w:spacing w:after="0" w:line="21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Northland reviewed, among other information and to the extent publicly available and meaningful, enterprise values of the Rezolve selected companies, calculated as implied equity values based on closing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prices on March 30, 2022 plus total debt, preferred equity, and non-controlling interests (as applicable) and less 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discounted overall low to high calendar year 2021 actual and calendar years 2022 and 2023 estimated revenue multiples observed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selected companies were as follows:</w:t>
      </w:r>
    </w:p>
    <w:p>
      <w:pPr>
        <w:spacing w:after="0" w:line="112" w:lineRule="exact"/>
        <w:rPr>
          <w:sz w:val="20"/>
          <w:szCs w:val="20"/>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2021 actual revenue multiples: low to high of 13.2x to 22.0x (with a mean of 16.5x and a median of 14.4x)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2022 estimated revenue multiples: low to high of 10.1x to 16.5x (with a mean of 12.5x and a median of 10.9x)</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2023 estimated revenue multiples: low to high of 7.6x to 13.1x (with a mean of 9.8x and a median of 8.5x)</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Selected Precedent Transactions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220" w:type="dxa"/>
            <w:vAlign w:val="bottom"/>
          </w:tcPr>
          <w:p>
            <w:pPr>
              <w:spacing w:after="0"/>
              <w:rPr>
                <w:sz w:val="16"/>
                <w:szCs w:val="16"/>
                <w:color w:val="auto"/>
              </w:rPr>
            </w:pPr>
          </w:p>
        </w:tc>
        <w:tc>
          <w:tcPr>
            <w:tcW w:w="37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Buyer / Seller</w:t>
            </w:r>
          </w:p>
        </w:tc>
        <w:tc>
          <w:tcPr>
            <w:tcW w:w="320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Target</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Global-e Online Ltd.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Flow Commerce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Thoma Bravo, L.P.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Medallia,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Ecwid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Constant Contact,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SharpSpring,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July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Stne Participacoes S.A.</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Linx S.A.</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FTAC Olympus Acquisition Corp.</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Payoneer Global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June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Just Eat Takeaway.com N.V.</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Grubhub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April 2021</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Vend Limited</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Lightspeed Commerce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Shopkeep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Vista Equity Partners</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MINDBODY,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Cision Ltd.</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Trendkite, Inc.</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PayPal Holdings, Inc.</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iZettle AB</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2018</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GTCR, Sycamore Partners Management</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Commerce Technologies, LLC</w:t>
            </w:r>
          </w:p>
        </w:tc>
      </w:tr>
      <w:tr>
        <w:trPr>
          <w:trHeight w:val="365"/>
        </w:trPr>
        <w:tc>
          <w:tcPr>
            <w:tcW w:w="3860" w:type="dxa"/>
            <w:vAlign w:val="bottom"/>
          </w:tcPr>
          <w:p>
            <w:pPr>
              <w:spacing w:after="0"/>
              <w:rPr>
                <w:sz w:val="24"/>
                <w:szCs w:val="24"/>
                <w:color w:val="auto"/>
              </w:rPr>
            </w:pPr>
          </w:p>
        </w:tc>
        <w:tc>
          <w:tcPr>
            <w:tcW w:w="374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publicly available Wall Street research analysts’ estimates, public filings, and other publicly available information. Financial data for Rezolve was based on financial projections and estimates of Armada’s management.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Northland’s services as Armada’s financial advisor in connection with the Business Combination, Armada paid Northland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fees of $120,000, which were payable upon the delivery of Northland’s original opinion and revised opinion. Armada will pay Northland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$1,030,000 upon the closing of Business Combination, which amount is not payable if the Business Combination does not close.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has agreed to reimburse Northland for certain of its expenses and to indemnify Northland and related persons against various potential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including certain liabilities that may arise in connection with Northland’ engagement. On August 12, 2021, Northland entered into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Underwriting Agreement with Armada, under which Northland received 1% of the gross proceeds of Armada’s initial public offering. Such amount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totaled $1,500,000. On August 12, 2021, Northland entered into a Business Combination Marketing Agreement with Armada, under which Northland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entitled to receive (a) a cash advisory fee of 2.25% of the gross proceeds of Armada’s initial public offering; (b) a capital markets advisory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 and (c) a finder fee equal to 1% of the total consideration if Northland introduces Armada to a target with which a business combination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completed. Because Northland did not introduce Armada to Rezolve, Northland will not receive the finder fee in connection with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The fees under the Business Combination Marketing Agreement are payable upon the closing of Armada’s initial business combination.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17"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79"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Our Sponsor has agreed to vote its shares of Armada Common Stock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Business Combination Proposal. As of the record date, our Sponsor owns approximately 74.95% of our issued and outstanding shares of Armada Common Stock.</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THE ARMADA STOCKHOLDERS VOTE “FOR” THE APPROVAL OF THE BUSINESS COMBINATION PROPOSAL.</w:t>
      </w:r>
    </w:p>
    <w:p>
      <w:pPr>
        <w:spacing w:after="0" w:line="15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p>
    <w:p>
      <w:pPr>
        <w:spacing w:after="0" w:line="1" w:lineRule="exact"/>
        <w:rPr>
          <w:sz w:val="20"/>
          <w:szCs w:val="20"/>
          <w:color w:val="auto"/>
        </w:rPr>
      </w:pPr>
    </w:p>
    <w:p>
      <w:pPr>
        <w:ind w:left="5480" w:right="3640" w:hanging="5373"/>
        <w:spacing w:after="0" w:line="433" w:lineRule="auto"/>
        <w:rPr>
          <w:sz w:val="20"/>
          <w:szCs w:val="20"/>
          <w:color w:val="auto"/>
        </w:rPr>
      </w:pPr>
      <w:r>
        <w:rPr>
          <w:rFonts w:ascii="Times New Roman" w:cs="Times New Roman" w:eastAsia="Times New Roman" w:hAnsi="Times New Roman"/>
          <w:sz w:val="18"/>
          <w:szCs w:val="18"/>
          <w:i w:val="1"/>
          <w:iCs w:val="1"/>
          <w:color w:val="auto"/>
        </w:rPr>
        <w:t>— Interests of Armada’s Directors and Officers in the Business Combination</w:t>
      </w:r>
      <w:r>
        <w:rPr>
          <w:rFonts w:ascii="Times New Roman" w:cs="Times New Roman" w:eastAsia="Times New Roman" w:hAnsi="Times New Roman"/>
          <w:sz w:val="18"/>
          <w:szCs w:val="18"/>
          <w:color w:val="auto"/>
        </w:rPr>
        <w:t>” for a further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w:t>
      </w:r>
    </w:p>
    <w:p>
      <w:pPr>
        <w:spacing w:after="0" w:line="16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Rezolve Ordinary Shares.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This section describes the material U.S. federal income tax considerations for beneficial owners of Armada Common Stock and Armada Warrants (collectively, the “Armada securities”) (i) electing to have their Armada Common Stock redeemed for cash if the Business Combination is completed,</w:t>
      </w:r>
    </w:p>
    <w:p>
      <w:pPr>
        <w:spacing w:after="0" w:line="1" w:lineRule="exact"/>
        <w:rPr>
          <w:sz w:val="20"/>
          <w:szCs w:val="20"/>
          <w:color w:val="auto"/>
        </w:rPr>
      </w:pPr>
    </w:p>
    <w:p>
      <w:pPr>
        <w:ind w:left="120" w:hanging="4"/>
        <w:spacing w:after="0" w:line="252" w:lineRule="auto"/>
        <w:tabs>
          <w:tab w:leader="none" w:pos="3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9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Armada securities, Rezolve Ordinary Shares or Rezolve Warrants as capital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Rezolve Ordinary Shares;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Armada securities, Rezolve Ordinary Shares or Rezolve Warrants as part of a straddle, hedging or conversion transaction, constructive sale, or other arrangement involving more than one position;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60" w:hanging="424"/>
        <w:spacing w:after="0" w:line="282" w:lineRule="auto"/>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Armada securities, Rezolve Ordinary Shares or Rezolve Warrants as a result of such income being recognized on an applicable financial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Armada securities, Rezolve Ordinary Shares or Rezolve Warrants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9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Armada securities, Rezolve Ordinary Shares or Rezolve Warrants that is, for U.S. federal income tax purposes:</w:t>
      </w:r>
    </w:p>
    <w:p>
      <w:pPr>
        <w:spacing w:after="0" w:line="67" w:lineRule="exact"/>
        <w:rPr>
          <w:sz w:val="20"/>
          <w:szCs w:val="20"/>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w:t>
      </w:r>
    </w:p>
    <w:p>
      <w:pPr>
        <w:spacing w:after="0" w:line="16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Rezolve</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A corporation is generally considered for U.S. federal income tax purposes to be a tax resident in the jurisdiction of its organization or incorporation. Accordingly, under the generally applicable U.S. federal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promulgated thereunder, and certain factual assumptions, Armada and Rezolve currently expect that the Section 7874 ownership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stockholders in Rezolve should be less than 80%. Accordingly, Rezolve is not currently expected to be treated as a U.S. corporation for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 under Section 7874. However, whether the 80% ownership test has been satisfied must be finally determined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of the Business Combination, by which time there could be adverse changes to the relevant facts and circumstances or facts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circumstances of which Armada and Rezolve are not currently aware. Further, for purposes of determining the ownership percentage of former Armada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for purposes of Section 7874, former Armada stockholders will be deemed to own an amount of Rezolve Ordinary Shares in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redemptions by Armada prior to the Business Combination. In addition, as discussed above, the rules for determining ownership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7874 are complex, unclear and the subject of ongoing regulatory change. Accordingly, there can be no assurance that Rezolve will not be treated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U.S. corporation for U.S. federal income tax purposes under Section 7874 of the Code.</w:t>
      </w:r>
    </w:p>
    <w:p>
      <w:pPr>
        <w:spacing w:after="0" w:line="20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Rezolve will not be treated as a U.S. corporation for U.S. federal income tax purposes under Section 7874 of the Code.</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least sixty percent (60%) but less than eighty percent (80%) (by vote or value) of the shares of the non-U.S. acquiror by reason of holding shares of the U.S. acquired corporation as determined for purposes of Section 7874 (this test is referred to as the “60% ownership test”).</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Qualification of the Business Combination as a Reorganization</w:t>
      </w:r>
    </w:p>
    <w:p>
      <w:pPr>
        <w:spacing w:after="0" w:line="11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w:t>
      </w:r>
    </w:p>
    <w:p>
      <w:pPr>
        <w:spacing w:after="0" w:line="19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LIGHT OF THE FOREGOING AND BECAUSE THE FOLLOWING DISCUSSION IS INTENDED AS A GENERAL SUMMARY ONLY, EACH HOLDER OF ARMADA SHARES OR WARRANTS IS URGED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Qualifies as a Reorganization</w:t>
      </w:r>
    </w:p>
    <w:p>
      <w:pPr>
        <w:spacing w:after="0" w:line="11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w:t>
      </w:r>
    </w:p>
    <w:p>
      <w:pPr>
        <w:spacing w:after="0" w:line="2" w:lineRule="exact"/>
        <w:rPr>
          <w:sz w:val="20"/>
          <w:szCs w:val="20"/>
          <w:color w:val="auto"/>
        </w:rPr>
      </w:pPr>
    </w:p>
    <w:p>
      <w:pPr>
        <w:ind w:left="380" w:hanging="264"/>
        <w:spacing w:after="0"/>
        <w:tabs>
          <w:tab w:leader="none" w:pos="380"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Holder of Armada warrants whose Armada warrants are assumed by Rezolve would not recognize gain or loss in respect of such assumptions;</w:t>
      </w:r>
    </w:p>
    <w:p>
      <w:pPr>
        <w:spacing w:after="0" w:line="20" w:lineRule="exact"/>
        <w:rPr>
          <w:rFonts w:ascii="Times New Roman" w:cs="Times New Roman" w:eastAsia="Times New Roman" w:hAnsi="Times New Roman"/>
          <w:sz w:val="17"/>
          <w:szCs w:val="17"/>
          <w:color w:val="auto"/>
        </w:rPr>
      </w:pPr>
    </w:p>
    <w:p>
      <w:pPr>
        <w:ind w:left="120" w:right="100" w:hanging="4"/>
        <w:spacing w:after="0" w:line="253" w:lineRule="auto"/>
        <w:tabs>
          <w:tab w:leader="none" w:pos="4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367(a)</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if the Business Combination Fails to Qualify as a Reorganization</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w:t>
      </w:r>
    </w:p>
    <w:p>
      <w:pPr>
        <w:spacing w:after="0" w:line="180"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Armada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corporate distribution. Such distribution generally will constitute a dividend for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Rezolve Ordinary Shares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Rezolve Ordinary Shares that is made out of Rezolve’s current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Material U.S. Federal Income Tax Considerations — 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Rezolve Ordinary Shares and Rezolve Warrants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Rezolve Warrant</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Distributions on Rezolve Ordinary Shares.</w:t>
      </w:r>
      <w:r>
        <w:rPr>
          <w:rFonts w:ascii="Times New Roman" w:cs="Times New Roman" w:eastAsia="Times New Roman" w:hAnsi="Times New Roman"/>
          <w:sz w:val="18"/>
          <w:szCs w:val="18"/>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Rezolve Ordinary Shares could be materially different from that described above if Rezolve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w:t>
      </w:r>
    </w:p>
    <w:p>
      <w:pPr>
        <w:spacing w:after="0" w:line="91"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Rezolve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losses) realized on the sale of Rezolve Ordinary Shares cannot be treated as capital gains, even if you hold the shares as capital assets. Further, no portion of any distribution will be treated as QDI.</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5"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Rezolve Ordinary Shares will be required to file an annual report on IRS Form 8621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Armada Common Stock, Armada Warrants or their 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NASDAQ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Assuming the Business Combination Proposal is approved, the consideration to be paid to the Armada Stockholders will consist of, assuming minimum redemptions by Armada’s public stockholders, approximately 1.42 million Rezolve Ordinary Shares to be issued by Rezolve, as set forth in and pursuant to the terms of the Business Combination Agreement.</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Rezolve Limited has issued an aggregate of $41,392,080 Convertible Loan Notes which will increase to $49,892,080 Convertible Loan Notes upon completion of the Pre-Closing Demerger, which can convert into ordinary shares in Rezolve Limited (or after the Pre-Closing Demerger, Rezolve Ordinary Shares) at a conversion price equal to the lesser of (1) 70% the price per share implied in connection with an initial public offering or a business combination with a publicly-listed company and (2) any of the quarterly VWAPs for the four immediately preceding quarterly reset dates as selected by the noteholder.</w:t>
      </w:r>
    </w:p>
    <w:p>
      <w:pPr>
        <w:spacing w:after="0" w:line="183"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As contemplated by the Incentive Equity Plan Proposal, we intend to reserve Rezolve Ordinary Shares for grants of awards under the Rezolve Incentive Equity Plan equal to 15% of the fully diluted and issued equity securities post-Closing less any amount issued or reserved for issuance pursuant to any Other Arrangements. For more information on the Incentive Equity Plan Proposal, see “</w:t>
      </w:r>
      <w:r>
        <w:rPr>
          <w:rFonts w:ascii="Times New Roman" w:cs="Times New Roman" w:eastAsia="Times New Roman" w:hAnsi="Times New Roman"/>
          <w:sz w:val="18"/>
          <w:szCs w:val="18"/>
          <w:i w:val="1"/>
          <w:iCs w:val="1"/>
          <w:color w:val="auto"/>
        </w:rPr>
        <w:t>Proposal No. 3—The Incentive Equity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Armada Needs Stockholder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seeking stockholder approval in order to comply with Nasdaq Listing Rule 5635.</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w:t>
      </w:r>
    </w:p>
    <w:p>
      <w:pPr>
        <w:spacing w:after="0" w:line="167"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SHAREHOLDERS VOTE “FOR” THE APPROVAL OF THE NASDAQ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Nasdaq Proposal.</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Sponsor and Armada’s directors and officers have agreed to vote the Founder Shares and any Armada public shares owned by them in favor of Nasdaq Proposal. See “</w:t>
      </w:r>
      <w:r>
        <w:rPr>
          <w:rFonts w:ascii="Times New Roman" w:cs="Times New Roman" w:eastAsia="Times New Roman" w:hAnsi="Times New Roman"/>
          <w:sz w:val="18"/>
          <w:szCs w:val="18"/>
          <w:i w:val="1"/>
          <w:iCs w:val="1"/>
          <w:color w:val="auto"/>
        </w:rPr>
        <w:t>Proposal No.1—The Business Combination Proposal—Ancillary Agreements</w:t>
      </w:r>
      <w:r>
        <w:rPr>
          <w:rFonts w:ascii="Times New Roman" w:cs="Times New Roman" w:eastAsia="Times New Roman" w:hAnsi="Times New Roman"/>
          <w:sz w:val="18"/>
          <w:szCs w:val="18"/>
          <w:color w:val="auto"/>
        </w:rPr>
        <w:t>” for more information.</w:t>
      </w:r>
    </w:p>
    <w:p>
      <w:pPr>
        <w:spacing w:after="0" w:line="158"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NASDAQ PROPOSAL.</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960"/>
          </w:cols>
          <w:pgMar w:left="320" w:top="455" w:right="6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INCENTIVE EQUITY PLAN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Incentive Equity Plan Proposal — </w:t>
      </w:r>
      <w:r>
        <w:rPr>
          <w:rFonts w:ascii="Times New Roman" w:cs="Times New Roman" w:eastAsia="Times New Roman" w:hAnsi="Times New Roman"/>
          <w:sz w:val="18"/>
          <w:szCs w:val="18"/>
          <w:color w:val="auto"/>
        </w:rPr>
        <w:t>Armada is asking its shareholders to approve the Rezolve Long Term Incentive Plan (the “Main LTIP”),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 Incentive Equity Plan, a copy of which is attached to this proxy statement/prospectus as Annex 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to Approve the Rezolve Incentive Equity Plan</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w:t>
      </w:r>
    </w:p>
    <w:p>
      <w:pPr>
        <w:spacing w:after="0" w:line="16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Approval of the Rezolve Incentive Equity Plan by our stockholders is required, among other things, to comply with stock exchange rules requiring shareholder approval of equity compensation plans and allow the grant of incentive stock options under the Rezolve Incentive Equity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Rezolve Incentive Equity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administration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Main LTIP provides for the grant of options,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the right to grant and determine who shall be granted one half of the awards has been delegated to Daniel Wagner.</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Daniel Wagner and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currently equal to 15%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This amount is the aggregate of the 5% pool per year for 2022, 2023 and 2024. The plan administrator may, at its sole discretion, at any time on or after 1 January 2025 and in each calendar year thereafter determine that an additional pool of shares be reserved for issuance or transfer from treasury, under the Rezolve Incentive Equity Plan and any sub-plan being a pool of up to 5% of the fully diluted issued and outstanding equity securities (including instruments such as options) of the Company as of 1 January of each year and this additional pool shall be separate to the 15% reservation set out above and to any additional pool created in any previous year.</w:t>
      </w:r>
    </w:p>
    <w:p>
      <w:pPr>
        <w:spacing w:after="0" w:line="19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w:t>
      </w:r>
    </w:p>
    <w:p>
      <w:pPr>
        <w:spacing w:after="0" w:line="18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Options are contractual rights to acquire Ordinary Shares in the future at an exercise price set at no less than the nominal value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w:t>
      </w:r>
    </w:p>
    <w:p>
      <w:pPr>
        <w:spacing w:after="0" w:line="180"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Restricted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w:t>
      </w:r>
    </w:p>
    <w:p>
      <w:pPr>
        <w:spacing w:after="0" w:line="182"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Deferred share units</w:t>
      </w:r>
      <w:r>
        <w:rPr>
          <w:rFonts w:ascii="Times New Roman" w:cs="Times New Roman" w:eastAsia="Times New Roman" w:hAnsi="Times New Roman"/>
          <w:sz w:val="18"/>
          <w:szCs w:val="18"/>
          <w:color w:val="auto"/>
        </w:rPr>
        <w:t>. Deferred share units are contractual promises to deliver Ordinary Shares in the future and may be accompanied by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the equivalent value of dividends paid on Ordinary Shares prior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 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Incentive share units</w:t>
      </w:r>
      <w:r>
        <w:rPr>
          <w:rFonts w:ascii="Times New Roman" w:cs="Times New Roman" w:eastAsia="Times New Roman" w:hAnsi="Times New Roman"/>
          <w:sz w:val="18"/>
          <w:szCs w:val="18"/>
          <w:color w:val="auto"/>
        </w:rPr>
        <w:t>. Incentive share units are contractual promises to deliver Ordinary Shares in the future, which may also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set performance goals in respect of any awards (but in particular incentive share units or options) in its discretion.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Transactions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and Termination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any increase to the limits on the number of shares that may be issued pursuant to the Rezolve Incentive Equity Plan (other than an adjustment as reflected in “Certain Transactions” above) or if such approval is required by law or the rules of the applicable exchange; or (ii) the provisions relating to amendments to the Rezolve Incentive Equity Plan. No awards may be granted under the Rezolve Incentive Equity Plan after their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and Participant Payments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Non-U.K. Participants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Benefit Trust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Employee Incentive Shares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Rezolve has in issue certain shares held by certain employees, directors, and consultants which were issued to incentivize performance and may be forfeited in the event of cessation of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ind w:left="120" w:right="1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xml:space="preserve"> as an Ordinary Resolution, that the Rezolve Incentive Equity Plan, substantially in the form attached to the proxy statement/prospectus as Annex G, be adopted and approved.”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Failure to vote by proxy or to vote in person (which would include presence at a virtual meeting) at the Special Meeting, abstentions and broker non-votes will have no effect on the Incentive Equity Plan Proposal.</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w:t>
      </w:r>
    </w:p>
    <w:p>
      <w:pPr>
        <w:spacing w:after="0" w:line="176"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The Sponsor and Armada’s directors and officers have agreed to vote the Founder Shares and any of Armada’s public shares owned by them in favor of Incentive Equity Plan Proposal. See “</w:t>
      </w:r>
      <w:r>
        <w:rPr>
          <w:rFonts w:ascii="Times New Roman" w:cs="Times New Roman" w:eastAsia="Times New Roman" w:hAnsi="Times New Roman"/>
          <w:sz w:val="17"/>
          <w:szCs w:val="17"/>
          <w:i w:val="1"/>
          <w:iCs w:val="1"/>
          <w:color w:val="auto"/>
        </w:rPr>
        <w:t>Proposal No.1—The Business Combination Proposal—Ancillary Agreements</w:t>
      </w:r>
      <w:r>
        <w:rPr>
          <w:rFonts w:ascii="Times New Roman" w:cs="Times New Roman" w:eastAsia="Times New Roman" w:hAnsi="Times New Roman"/>
          <w:sz w:val="17"/>
          <w:szCs w:val="17"/>
          <w:color w:val="auto"/>
        </w:rPr>
        <w:t>” for more information.</w:t>
      </w:r>
    </w:p>
    <w:p>
      <w:pPr>
        <w:spacing w:after="0" w:line="13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INCENTIVE EQUITY PLAN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CHARTER LIMITATION AMENDMENT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discussed in this proxy statement/prospectus, Armada is asking its stockholders to approve the Charter Limitation Amendment Proposal.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Charter Limitation Amendment Proposal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Armada stockholders are being asked to adopt the proposed amendments to the Armada Charter, prior to the Closing, which, in the judgment of Armada’s board of directors, is necessary to facilitate the Business Combination. The Armada Charter limits Armada’s ability to consummate a Business Combination, if it would cause Armada to have less than $5,000,001 in net tangible assets. The purpose of such limitation is to ensure that the Armada Common Stock are not deemed to be a “penny stock” pursuant to Rule 3a51-1 under the Exchange Act. Because the Armada Common Stock and the Rezolve Ordinary Shares, if listed, would not be deemed to be a “penny stock” since it will be listed on the Nasdaq, Armada is presenting the Charter Limitation Amendment Proposal to facilitate the consummation of the Business Combination. In connection with the approval of the Charter Limitation Amendment Proposal, the parties to the Business Combination Agreement have waived the condition to Closing under the Business Combination Agreement that Rezolve have, after giving effect to the Company Reorganization, the Merger and the Promissory Note, at least $5,000,0001 in net tangible assets (as determined in accordance with Rule 3a51-1(g)(1) under the Exchange Act), subject to the approval of the Charter Limitation Amendment Proposal and implementation. If the Charter Limitation Amendment Proposal is not approved and implemented, and there are significant requests for redemption such that Armada’s net tangible assets would be less than $5,000,001 upon the consummation of the Business Combination, we would be unable to consummate the Business Combination even if all other conditions to Closing are met.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Charter Limitation Amendment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Charter Limitation Amendment Proposal. Abstentions will be counted in connection with the determination of whether a valid quorum is established but will have no effect on the Charter Limitation Amendment Proposal.</w:t>
      </w:r>
    </w:p>
    <w:p>
      <w:pPr>
        <w:spacing w:after="0" w:line="176"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CHARTER LIMITATION AMENDMENT PROPOSAL.</w:t>
      </w:r>
    </w:p>
    <w:p>
      <w:pPr>
        <w:spacing w:after="0" w:line="15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the Incentive Equity Plan Proposal, or the Charter Limitation Amendment Proposal but no other proposal than the Business Combination Proposal, the Nasdaq Proposal, the Incentive Equity Plan Proposal and the Charter Limitation Amendment Proposal are approved.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passed is as follows:</w:t>
      </w:r>
    </w:p>
    <w:p>
      <w:pPr>
        <w:spacing w:after="0" w:line="113"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w:t>
      </w:r>
    </w:p>
    <w:p>
      <w:pPr>
        <w:spacing w:after="0" w:line="121"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76"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ARMADA BOARD OF DIRECTORS UNANIMOUSLY RECOMMENDS THAT ARMADA STOCKHOLDERS VOTE “FOR” THE APPROVAL OF THE ADJOURNMENT PROPOSAL.</w:t>
      </w:r>
    </w:p>
    <w:p>
      <w:pPr>
        <w:spacing w:after="0" w:line="15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Times New Roman" w:cs="Times New Roman" w:eastAsia="Times New Roman" w:hAnsi="Times New Roman"/>
          <w:sz w:val="17"/>
          <w:szCs w:val="17"/>
          <w:i w:val="1"/>
          <w:iCs w:val="1"/>
          <w:color w:val="auto"/>
        </w:rPr>
        <w:t>Proposal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1 — Approval of the Business Combination — Interests of Armada’s Directors and Officers in the Business Combination</w:t>
      </w:r>
      <w:r>
        <w:rPr>
          <w:rFonts w:ascii="Times New Roman" w:cs="Times New Roman" w:eastAsia="Times New Roman" w:hAnsi="Times New Roman"/>
          <w:sz w:val="17"/>
          <w:szCs w:val="17"/>
          <w:color w:val="auto"/>
        </w:rPr>
        <w:t>” for a further discussion.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 RELATED TO ARMADA</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References in this section to “Armada”, “we”, “our”, “us” or “the Company” refer to Armada Acquisition Corp. I., a Delaware corporation.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w:t>
      </w:r>
    </w:p>
    <w:p>
      <w:pPr>
        <w:spacing w:after="0" w:line="93" w:lineRule="exact"/>
        <w:rPr>
          <w:sz w:val="20"/>
          <w:szCs w:val="20"/>
          <w:color w:val="auto"/>
        </w:rPr>
      </w:pPr>
    </w:p>
    <w:p>
      <w:pPr>
        <w:ind w:left="1080" w:right="120" w:hanging="532"/>
        <w:spacing w:after="0" w:line="255" w:lineRule="auto"/>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532"/>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Combined Company will be named Rezolve PLC and will be listed on The Nasdaq Stock Market LLC under the new ticker symbol “RZLV.”</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w:t>
      </w:r>
    </w:p>
    <w:p>
      <w:pPr>
        <w:spacing w:after="0" w:line="20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w:t>
      </w:r>
    </w:p>
    <w:p>
      <w:pPr>
        <w:spacing w:after="0" w:line="15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 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w:t>
      </w:r>
    </w:p>
    <w:p>
      <w:pPr>
        <w:spacing w:after="0" w:line="19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past performance of our management team is not a guarantee of success with respect to any business combination we may consummate. No member of our management team has had management experience with any special purpose acquisition company in the past. You should not rely on the historical record of our management team’s performance as indicative of future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7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Armada determined to enter into a letter of intent with Rezolve and to pursue a potential Business Combination with Rezolve, due to, among other things, Rezolve’s public company readiness, including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 Investment Criteria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w:t>
      </w:r>
    </w:p>
    <w:p>
      <w:pPr>
        <w:spacing w:after="0" w:line="85" w:lineRule="exact"/>
        <w:rPr>
          <w:sz w:val="20"/>
          <w:szCs w:val="20"/>
          <w:color w:val="auto"/>
        </w:rPr>
      </w:pPr>
    </w:p>
    <w:p>
      <w:pPr>
        <w:ind w:left="1080" w:right="32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fundamentally sound and can unlock and enhance stockholder value through a combination with us, thereby offering attractive risk-adjusted returns for our stockholders;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an inflection point, such as requiring additional management expertise, and able to accelerate growth and financial performance through differentiated business models and the addition of our operational, financial, transactional and legal expertise and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need of a flexible, creative or opportunistic structure where we can deliver additional value;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or provides a platform to assemble an effective management team with a track record of driving growth and profitability;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with access to broader capital markets, to achieve the business’ growth strategy;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poised to grow both organically through the application of technology, as well as inorganically, through bolt-on or transformational acquisitions;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leading or niche market position and demonstrates advantages when compared to competitors, which may help to create barriers to entry against new competitors;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unrecognized value or other characteristics that we believe can be enhanced based on our analysis and due diligence review.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Rezolve meets these criteria.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offering the following benefits to Rezolve:</w:t>
      </w:r>
    </w:p>
    <w:p>
      <w:pPr>
        <w:spacing w:after="0" w:line="131" w:lineRule="exact"/>
        <w:rPr>
          <w:sz w:val="20"/>
          <w:szCs w:val="20"/>
          <w:color w:val="auto"/>
        </w:rPr>
      </w:pPr>
    </w:p>
    <w:p>
      <w:pPr>
        <w:ind w:left="1080" w:right="8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our management team members who have extensive and proven experience in operating, leading, advising and investing in market-leading financial services and FinTech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deep and broad networks, insights and operational, financial, transactional, and legal and regulatory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company profile and improved credibility with investors, customers, suppliers and other key stakeholders;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 of engagement with core, relevant, fundamental investors as anchor stockholders than what a traditional IPO book-building process offers;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risk path to a public listing with flexible structuring;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 of cash and ongoing access to public capital markets;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5"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public currency for future acquisitions and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for management team to retain control and focus on growing the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motivate and retain employees using stock-based compensation.</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9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the Polar Subscription Agreement with Polar, an unaffiliated third party of the Company, pursuant to which Polar agrees to make certain Investor Capital Contributions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not established any specific attributes or criteria (financial or otherwise) for prospective target businesses. In evaluating Rezolve, our management considered a variety of factors, including one or more of the following:</w:t>
      </w:r>
    </w:p>
    <w:p>
      <w:pPr>
        <w:spacing w:after="0" w:line="67" w:lineRule="exact"/>
        <w:rPr>
          <w:sz w:val="20"/>
          <w:szCs w:val="20"/>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potential;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skill of management and availability of additional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entry;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 of development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distribution and potential for expansion;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current or potential market acceptance of the products, processes or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aspects of products and the extent of intellectual property or other protection for products or formulas;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regulation on the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of the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effecting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leadership, sustainability of market share and attractiveness of market industries in which a target business participates;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competitive dynamics in the industry within which the company competes.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Times New Roman" w:cs="Times New Roman" w:eastAsia="Times New Roman" w:hAnsi="Times New Roman"/>
          <w:sz w:val="18"/>
          <w:szCs w:val="18"/>
          <w:i w:val="1"/>
          <w:iCs w:val="1"/>
          <w:color w:val="auto"/>
        </w:rPr>
        <w:t>The Business Combination Proposal — Opinion of Marshall &amp; Stevens</w:t>
      </w:r>
      <w:r>
        <w:rPr>
          <w:rFonts w:ascii="Times New Roman" w:cs="Times New Roman" w:eastAsia="Times New Roman" w:hAnsi="Times New Roman"/>
          <w:sz w:val="18"/>
          <w:szCs w:val="18"/>
          <w:color w:val="auto"/>
        </w:rPr>
        <w:t xml:space="preserve">” and the written opinion of Marshall &amp; Stevens attached as </w:t>
      </w:r>
      <w:r>
        <w:rPr>
          <w:rFonts w:ascii="Times New Roman" w:cs="Times New Roman" w:eastAsia="Times New Roman" w:hAnsi="Times New Roman"/>
          <w:sz w:val="18"/>
          <w:szCs w:val="18"/>
          <w:i w:val="1"/>
          <w:iCs w:val="1"/>
          <w:color w:val="auto"/>
        </w:rPr>
        <w:t xml:space="preserve">Annex K </w:t>
      </w:r>
      <w:r>
        <w:rPr>
          <w:rFonts w:ascii="Times New Roman" w:cs="Times New Roman" w:eastAsia="Times New Roman" w:hAnsi="Times New Roman"/>
          <w:sz w:val="18"/>
          <w:szCs w:val="18"/>
          <w:color w:val="auto"/>
        </w:rPr>
        <w:t>hereto.)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any proposed business combination, we will seek stockholder approval of our initial business combination at a meeting called for such purpose at which stockholders may seek to redeem their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unless the Charter Limitation Amendment Proposal is approved and is implemented,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w:t>
      </w:r>
    </w:p>
    <w:p>
      <w:pPr>
        <w:spacing w:after="0" w:line="17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July 26, 2024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 State Street – 30th Floor</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public stockholder may elect to redeem its public shares irrespective of whether they vote for or against the Proposed Transactions.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w:t>
      </w:r>
    </w:p>
    <w:p>
      <w:pPr>
        <w:spacing w:after="0" w:line="18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if No Business Combination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83"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w:t>
      </w:r>
    </w:p>
    <w:p>
      <w:pPr>
        <w:spacing w:after="0" w:line="16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w:t>
      </w:r>
    </w:p>
    <w:p>
      <w:pPr>
        <w:spacing w:after="0" w:line="190" w:lineRule="exact"/>
        <w:rPr>
          <w:sz w:val="20"/>
          <w:szCs w:val="20"/>
          <w:color w:val="auto"/>
        </w:rPr>
      </w:pPr>
    </w:p>
    <w:p>
      <w:pPr>
        <w:ind w:left="120" w:right="120" w:firstLine="440"/>
        <w:spacing w:after="0" w:line="236" w:lineRule="auto"/>
        <w:rPr>
          <w:sz w:val="20"/>
          <w:szCs w:val="20"/>
          <w:color w:val="auto"/>
        </w:rPr>
      </w:pPr>
      <w:r>
        <w:rPr>
          <w:rFonts w:ascii="Times New Roman" w:cs="Times New Roman" w:eastAsia="Times New Roman" w:hAnsi="Times New Roman"/>
          <w:sz w:val="18"/>
          <w:szCs w:val="18"/>
          <w:color w:val="auto"/>
        </w:rPr>
        <w:t>We anticipate notifying the trustee of the Trust Account to begin liquidating such assets promptly after our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or if extended,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w:t>
      </w:r>
    </w:p>
    <w:p>
      <w:pPr>
        <w:spacing w:after="0" w:line="20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6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w:t>
      </w:r>
    </w:p>
    <w:p>
      <w:pPr>
        <w:spacing w:after="0" w:line="100" w:lineRule="exact"/>
        <w:rPr>
          <w:sz w:val="20"/>
          <w:szCs w:val="20"/>
          <w:color w:val="auto"/>
        </w:rPr>
      </w:pPr>
    </w:p>
    <w:p>
      <w:pPr>
        <w:ind w:left="1080" w:hanging="424"/>
        <w:spacing w:after="0" w:line="256"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92"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immediately prior to or upon consummation of such business combination, unless the Charter Limitation Amendment Proposal is approved and implemented, and, if we seek stockholder approval, a majority of the outstanding shares of common stock voted are voted in favor of the business combination;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(as extended) from the closing of our initial public offering, then we will redeem all of the outstanding public shares and thereafter liquidate and dissolve our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our initial public offering, $150.0 million shall be placed into the Trust Account;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stock that participates in any manner in the proceeds of the Trust Account, or that votes as a class with the common stock sold in our initial public offering on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currently maintain our principal executive offices at 2005 Market Street, Suite 3120, Philadelphia, PA 19103. The cost for this space is included in the $10,000 per-month fee to our sponsor. We believe, based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rents and fees for similar services, that the fee charged by our sponsor is at least as favorable as we could have obtained from an unaffiliated person. We consider our current office space adequate for our current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Audited Financial Statements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60"/>
          </w:cols>
          <w:pgMar w:left="320" w:top="455" w:right="5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ARMADA’S MANAGEMENT’S DISCUSSION AND ANALYSIS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 this section, references to the “Company,” “us” or “we” refer to Armada Acquisition Corp. I.</w:t>
      </w:r>
    </w:p>
    <w:p>
      <w:pPr>
        <w:spacing w:after="0" w:line="225"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the financial statements and the notes thereto contained elsewhere in this report.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are a blank check company incorporated in Delaware on November 5, 2020, for the purpose of effecting a merger, stock exchange, asset acquisition, stock purchase, reorganization or other similar business combination with one or more businesses.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consummated our IPO of 15,000,000 units, at $10.00 per unit, generating gross proceeds of $150 million.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we consummated the private placement of 459,500 Private Shares for an aggregate purchase price of $4,595,000.</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17, 2021, $150,000,000 ($10.00 per unit) from the net proceeds of the sale of the units in the IPO and the sale of Private Shares were placed in the Trust Account.</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On August 2, 2023, we held a special meeting of stockholders to approve an amendment to the Armada Charter (the “Charter Amendment”) to extend the date by which the Company has to consummate a Business Combination from August 17, 2023 to September 17, 2023 and to allow the Company without another stockholder vote, to elect to extend the Termination Date to consummate a Business Combination on a monthly basis up to five times by an additional one month each time after the Charter Extension Date, by resolution of Company’s board of directors, if requested by the Sponsor, and upon five days’ advance notice prior to the applicable Termination Date, until February 17, 2024, or a total of up to six months after the Original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Termination Date, unless the closing of a Business Combination shall have occurred prior thereto (the “Second Extension Amendment Proposal”). The stockholders of the Company approved the Second Extension Amendment Proposal at the special meeting and on August 3, 2023, the Company filed the amendment to the Armada Charter with the Delaware Secretary of State. In connection with the Second Extension Amendment Proposal, the holders of 1,145,503 public shares of Common Stock of Armada exercised their right to redeem their shares for cash at a redemption price of approximately $10.56 per share, for an aggregate redemption amount of approximately $12,095,215.</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Notwithstanding the foregoing, in the event that Armada does not consummate a Business Combination, the total principal amount of the Extension Note may be converted, in whole or in part, at the option of the lender into common stock of the Company at a price of $10.00 per share, which shares will be identical to the private placement shares issued to Armada Sponsor LLC at the time of the initial public offering of the Company. As of November 13, 2023, there was $283,601.88 outstanding under the Extension Note. The proceeds of the Extension Note will be deposited in the Trust Account in connection with the Charter Amendment as follows: $70,900.47 to be deposited into the Trust Account within five business days following approval of the Charter Amendment by the Company’s stockholders, and up to $354,502 in five equal installments to be deposited into the Trust Account for each of the five one-month extensions.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February 15, 2024, we held a special meeting of its stockholders to approve an amendment to the Armada Charter to extend the date by which the Company has to consummate a Business Combination from February 17, 2024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 In connection with the Third Extension Amendment Proposal, the holders of 945,662 shares of Common Stock of the Company exercised their right to redeem their shares for cash at a redemption price of approximately $10.98 per share, for an aggregate redemption amount of $10,384,496.</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Agreement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 December 17, 2021, we announced that we entered into a business combination agreement, dated as of December 17, 2021, and amended on November 10, 2022, and as further amended and restated on June 16,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Rezolve and Rezolve Merger Sub will effect a series of transactions including, among other things:</w:t>
      </w:r>
    </w:p>
    <w:p>
      <w:pPr>
        <w:spacing w:after="0" w:line="67" w:lineRule="exact"/>
        <w:rPr>
          <w:sz w:val="20"/>
          <w:szCs w:val="20"/>
          <w:color w:val="auto"/>
        </w:rPr>
      </w:pPr>
    </w:p>
    <w:p>
      <w:pPr>
        <w:ind w:left="1080" w:right="80" w:hanging="532"/>
        <w:spacing w:after="0" w:line="255"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4"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8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(i) the shareholders of Rezolve will receive a number of Rezolve Ordinary Shares equal to (A) the quotient obtained by dividing (x) $1,600,000,000 by (y) $10.00 minus (B) the Outstanding Warrant Number (as defined in the Business Combination Agreement) and minus (C) the Acquisition Shares (as defined in the Business Combination Agreement) (to the extent such Acquisition Shares are not already issued on or prior to the Company Reorganization Date), and (ii) the combined company will pay or cause to be paid all of the transaction expenses.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business combination values Rezolve at a pro forma enterprise value of approximately $1.60 billion.</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transactions, it is expected that the company will be named Rezolve PLC and will be listed on The Nasdaq Stock Market LLC under the new ticker symbol “RZLV.”</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our plans to complete our initial business combination will be successful.</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5"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2023, we had a net loss of $320,150, which consisted of formation and operating costs of $2,570,972, stock-based compensation of $218,254, and income tax provision of $615,284, partially offset by trust interest income of $3,084,260.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September 30, 2022, we had a net loss of $3,622,794, which consisted of formation and operating costs of $4,391,263, stock-based compensation of $111,852, and income tax provision of $145,621, partially offset by trust interest income of $1,025,942.</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2023, we had a net loss of $360,314, which consisted of formation and operating costs of $571,529, stock-based compensation of $50,400, and income tax provision of $67,834, partially offset by trust interest income of $334,836 and interest expense of $5,387.</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2022, we had a net income of $607,027, which consisted of trust interest income of $1,289,673, offset by formation and operating costs of $394,352, stock-based compensation of $27,963, and income tax provision of $260,331.</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of $380,846, which consisted of formation and operating costs of $459,911, stock-based compensation of $25,200, and income tax provision of $47,080, partially offset by trust interest income of $270,156 and interest expense of $118,811.</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2024, we had a net loss of $741,160, which consisted of formation and operating costs of $1,031,440, stock-based compensation of $75,600, and income tax provision of $114,914, partially offset by trust interest income of $604,992 and interest expense of $124,198.</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had a net loss of $27,143, which consisted of formation and operating costs of $790,735, stock-based compensation of $27,963, and income tax provision of $182,853, offset by trust interest income of $974,408.</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March 31, 2023, we had a net income of $579,884, which consisted of trust interest income of $2,264,081, offset by formation and operating costs of $1,185,087, stock-based compensation of $55,926, and income tax provision of $443,184.</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exercise of the automatic extension of the deadline for us to complete an initial business combination under our second amended and restated certificate of incorporation, we had until February 17, 2023 (or 18 months following our initial public offering) to consummate a business combination (unless we further extend the period of time to consummate a business combination) (the “Combination Period”).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until no later than February 17, 2024. 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an additional five months or until February 17, 2024.</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February 15, 2024, the stockholders approved a third amendment to the Company’s certificate of incorporation to extend the Combination Period for up to six additional months or until no later than August 17, 2024. On February 13, 2024, the Company deposited $49,900 into the Trust Account thereby extending the Combination Period until March 17, 2024, and on each of March 13, 2024, April 16, 2024, May 17, 2024 and June 17, 2024, the Company deposited $49,900 into the Trust Account thereby extending the Combination Period for an additional two months or until July 17, 2024.</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5"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if we are unable to complete the initial Business Combination within the Combination Period (unless such period is further extended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the approval of our stockholders), we will (i) cease all operations except for the purpose of winding up, (ii) as promptly as reasonably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possible but not more than ten business days thereafter, redeem 100% of the outstanding public shares, at a per-share price, payable in cash,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amount then on deposit in the Trust Account, including interest earned on the funds held in the Trust Account and not previously released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but net of taxes payable (and less up to $100,000 of interest to pay dissolution expenses), divided by the number of then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which redemption will completely extinguish public stockholders’ rights as stockholders (including the right to receive further liquidation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distributions, if any), subject to applicable law, and (iii) as promptly as reasonably possible following such redemption, subject to the approval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remaining stockholders and the Company’s board of directors, liquidate and dissolve, subject (in the case of (ii) and (iii) above) to our obligations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law to provide for claims of creditors and the requirements of other applicable law. As of September 30, 2023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$130,246,958 to the Company to pay tax obligations and for redemptions, including $129,175,094 for redemptions and $1,071,864 for tax obligations.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2023, and September 30, 2023, the Trust Account has released $130,246,958 to the Company to pay tax obligations and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redemptions, including $129,175,094 for redemptions and $1,071,864 for tax obligations. As of March 31, 2024, the Trust Account has released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$140,787,627 to the Company to pay tax obligations and for redemptions, including $139,559,590 for redemptions and $1,228,038 for tax obligations.</w:t>
      </w:r>
    </w:p>
    <w:p>
      <w:pPr>
        <w:spacing w:after="0" w:line="2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have also agreed to reimburse the Sponsor for office space, secretarial and administrative services provided to members of our management team, in an amount not to exceed $10,000 per month. Upon completion of or initial business combination or our liquidation, we will cease paying these monthly fees. For each of the two fiscal years ended September 30, 2023 and 2022, the Company paid $120,000 under this agreement. For the three months ended December 31, 2023 the Company did not pay these administrative fees and recorded an account payable to the Sponsor for $30,000 and for the three months ended December 31, 2022, the Company paid $30,000 under this agreement. For the three and six months ended March 31, 2024, the Company incurred $30,000 and $60,000, respectively in administrative service fee.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2024, we had cash outside our Trust Account of $107,722, available for working capital needs. As of December 31, 2023, we had cash outside our Trust Account of $54,405, available for working capital needs. As of September 30, 2022 and September 30, 2023, we had cash outside our Trust Account of $177,578 and $60,284, respectively, available for working capital needs. The amount of $15,771,190 as of March 31, 2024, held in the Trust Account is generally unavailable for our use, prior to an initial business combination.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17, 2021, we completed the sale of 15,000,000 Units at $10.00 per Unit, generating gross proceeds of $150,000,000.</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IPO, the underwriters were granted a 45-day option from the date of the prospectus for the IPO to purchase up to 2,250,000 additional units to cover over-allotments, if any. On October 1, 2021 this option expired unused.</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Following our IPO and the sale of the Private Shares, a total of $150,000,000 ($10.00 per Unit) was placed in the Trust Account. We incurred $3,537,515 in IPO related costs, including $1,500,000 of underwriting fees and $2,037,515 of other costs.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May 9, 2022, the Sponsor loaned us the aggregate amount of $483,034 in order to assist us to fund our working capital needs. The loan was evidenced by two promissory notes. During July 2022, we fully repaid one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of the promissory notes in the amount of $187,034 which represented monies loaned to us for the payment of Delaware franchise taxes. We utilized the interest earned on the Trust Account to repay the promissory note, $120,000 of which was distributed to us from the Trust Account during June 2022, and $62,069 of which was distributed to us from the Trust Account during July 2022. We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 The promissory notes are non-interest bearing and due on the earlier of: (i) the liquidation or release of all of the monies held in the Trust Account or</w:t>
      </w:r>
    </w:p>
    <w:p>
      <w:pPr>
        <w:spacing w:after="0" w:line="5" w:lineRule="exact"/>
        <w:rPr>
          <w:sz w:val="20"/>
          <w:szCs w:val="20"/>
          <w:color w:val="auto"/>
        </w:rPr>
      </w:pPr>
    </w:p>
    <w:p>
      <w:pPr>
        <w:ind w:left="120" w:right="580" w:hanging="4"/>
        <w:spacing w:after="0" w:line="260" w:lineRule="auto"/>
        <w:tabs>
          <w:tab w:leader="none" w:pos="38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10, 2022 our Sponsor loaned us $1,500,000 in order to cover the additional contribution to the Trust Account required in connection with the exercise by us of the extension of our deadline to complete our Initial Business Combination until February 17, 2023 (which deadline has been subsequently further extended), and $450,000 for our working capital needs. These loans were evidenced by two promissory notesfrom us, as maker, to our Sponsor, as payee. The promissory notes are non-interest bearing and due on the earlier of: (i) the liquidation or release of all of the monies held in the Trust Account or (ii) the date on which we consummate an acquisition, merger or other business combination transaction involving us or our affiliates. The principal balance may be prepaid at any time.</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August 2, 2023, the Company issued the Extension Note to the Sponsor in the amount of up to $425,402.82.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$425,402.82 of the total principal amount of the Extension Note into common stock of the Company at a price of $10.00 per share. The Common Stock shall be identical to the private placement shares issued to Armada Sponsor, LLC at the time of the Company’s IPO. As of September 30, 2023, $141,800.94 was drawn and outstanding under the Extension Note.</w:t>
      </w:r>
    </w:p>
    <w:p>
      <w:pPr>
        <w:spacing w:after="0" w:line="18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August 8, 2023, the Company borrowed $70,900.47 under the Extension Note and deposited the funds into the Trust Account thereby extending the Termination Date to September 17, 2023.</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August 9, 2023, the Company issued a promissory note to the Sponsor for the aggregate amount of $20,840.03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10, 2023, the Company issued a promissory note to the Sponsor for the aggregate amount of $79,099.53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12, 2023, the Company borrowed $70,900.47 under the Extension Note and deposited the funds into the Trust Account thereby extending the Termination Date to October 17,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On February 15, the Company issued the Second Extension Note in an amount up to $297,714.30. The Second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$297,714.30 of the total principal amount of the Second Extension Note into common stock of the Company at a price of $10.00 per share. The Common Stock shall be identical to the private placement shares issued to Armada Sponsor, LLC at the time of the Company’s IPO.</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aggregate balance outstanding under all promissory notes, including the Extension Note and the Second Extension Note, was $2,776,600 and $2,564,439 as of March 31, 2024, and September 30, 2023,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Trust Account has released $ 1,228,038 and $1,071,864 as of March 31, 2024 and September 30, 2023, respectively, to the Company to pay its income and franchise tax obligations. The Trust Account has released $0 and $1,071,864 as of December 31, 2023 and September 30, 2023, respectively, to the Company to pay its income and franchise tax obligations. In connection with the Extension approved by our stockholders on February 2, 2023, the holders of 11,491,148 shares of Common Stock elected to redeem their shares at a per share redemption price of approximately $10.19. As a result, $117,079,879 was removed from the Company’s Trust Account to pay such holders. During August 2023, holders of 1,145,503 shares of Common Stock elected to redeem their shares in connection with the Second Amendment Extension Proposal. As a result, $12,095,215, or approximately $10.56 per share, was removed from the Company’s Trust Account to pay such holders. During February 2024, holders of 945,662 shares of Common Stock elected to redeem their shares in connection with the Third Extension Amendment Proposal. As a result, $10,384,496, or approximately, $10.98 per share, was removed from the Trust Account.</w:t>
      </w:r>
    </w:p>
    <w:p>
      <w:pPr>
        <w:spacing w:after="0" w:line="188"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For the year ended September 30, 2023, cash used in operating activities was $1,860,042. Net loss of $320,150 was impacted primarily by changes in operating assets and liabilities of $1,326,108, stock-based compensation of $218,254, partially offset by trust interest income of $3,084,260.</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 the year ended September 30, 2022, cash used in operating activities was $913,835. Net loss of $3,622,794 was impacted primarily by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changes in operating assets and liabilities of $3,623,049, stock-based compensation of $111,852, partially offset by trust interest income of $1,025,942.</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2023 annual franchise tax obligations to be $127,600, which we may pay from funds from the Public Offering held outside of the Trust Account or from interest earned on the funds held in the Trust 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As of December 31, 2023, and September 30, 2023, the Trust Account has released $130,246,958 to the Company to pay tax obligations and for redemptions, including $129,175,094 for redemptions and $1,071,864 for tax obligations.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$2,776,600 and $2,564,439 under the loans (including the Extension Note) as of December 31, 2023 and September 30, 2023, respectively.</w:t>
      </w:r>
    </w:p>
    <w:p>
      <w:pPr>
        <w:spacing w:after="0" w:line="16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However, if our estimates of the operating costs are less than the actual amount necessary to do so, or our Sponsor ceases to loan us sufficient funds,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2024 raises substantial doubt about our ability to continue as a going concern. No adjustments have been made to the carrying amounts of assets or liabilities that might be necessary if we are unable to continue as a going concern.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Shares of Armada Common Stock</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w:t>
      </w:r>
    </w:p>
    <w:p>
      <w:pPr>
        <w:spacing w:after="0" w:line="17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00"/>
          </w:cols>
          <w:pgMar w:left="320" w:top="455" w:right="5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we did not have any dilutive securities or other contracts that could, potentially, be exercised or converted into common stock and then share in the earnings of the Company. As a result, diluted net loss per common stock is the same as basic net loss per common stock for the period presented.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6"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We have not entered into any off-balance sheet financing arrangements, established any special purpose entities, guaranteed any debt or commitments of other entities, or entered into any non-financial agreements involving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Advisory Fee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is engaged to represent our interests only. We have engaged CCM as a capital markets advisor in connection with the initial Business Combination for which it will earn an advisory fee of $3,000,000, payable only upon closing of the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Combination. The Company also engaged CCM as a financial advisor in connection with the initial Business Combination for which it will earn an advisory fee of $8,750,000, payable only upon closing of the Business Combination.</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have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engaged Northland Securities, Inc., the representative of the underwriter, as an advisor in connection with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only upon the consummation of the initial Business Combination in an amount equal to 2.25% of the gross proceeds of the IPO, or $3,375,000. We will also pay the representative a separate capital market advisory fee of $2,500,000 only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canceled.</w:t>
      </w:r>
    </w:p>
    <w:p>
      <w:pPr>
        <w:spacing w:after="0" w:line="19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of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 of First Refusal</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w:t>
      </w:r>
    </w:p>
    <w:p>
      <w:pPr>
        <w:spacing w:after="0" w:line="180"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favor of the Business Combination Agreement and the agreements contemplated thereby and the transactions contemplated hereby, (c) enter into an Investor Rights Agreement at Closing and (d) the termination of certain agreements effective as of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Effective December 12, 2023, Armada and the Sponsor entered into an subscription agreement (the “Polar Subscription Agreement”) with Polar Multi-Strategy Master Fund (“Polar”), an unaffiliated third party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Company, pursuant to which Polar agrees to make certain capital contributions (the “Investor Capital Contribution”) from time to time, at the request of the Sponsor, subject to the terms and conditions of the Polar Subscription Agreement, to the Sponsor to meet the Sponsor’s commitment to fund the Company’s working capital needs. In exchange for the commitment of Polar to provide the Investor Capital Contribution, (i) the Sponsor will transfer shares of common stock, par value $0.0001 per share, to Polar at the closing of its initial business combination, as further described below; and (ii) upon repayment of working capital loans by the Company, the Sponsor will return the Investor Capital Contribution at the closing of an initial business combination, as further described below.</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maximum aggregate Investor Capital Contribution is $440,000, with an initial Investor Capital Contribution of $110,000 available for drawdown within five (5) business days of the Polar Subscription Agreement and the balance available for drawdown in three equal monthly tranches of $110,000 during January, February and March 2024. The initial Investor Capital Contribution of $110,000 has been funded to the Sponsor, on January 16, 2024, the second Investor Capital Contribution of $110,000 was funded, and on February 13, 2024, the third Investor Capital Contribution of $110,000 was funded.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exchange for the forgoing commitment of Polar to make capital contributions to the Sponsor, the Company agrees to, or cause the surviving entity following the closing of the Company’s initial business combination to, issue 880,000 shares of Armada common stock currently held by the Sponsor in consideration for the amount that has been funded by Polar as of or prior to the closing of an initial business combination.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w:t>
      </w:r>
    </w:p>
    <w:p>
      <w:pPr>
        <w:spacing w:after="0" w:line="1" w:lineRule="exact"/>
        <w:rPr>
          <w:sz w:val="20"/>
          <w:szCs w:val="20"/>
          <w:color w:val="auto"/>
        </w:rPr>
      </w:pPr>
    </w:p>
    <w:p>
      <w:pPr>
        <w:jc w:val="both"/>
        <w:ind w:left="120" w:right="220"/>
        <w:spacing w:after="0" w:line="255" w:lineRule="auto"/>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REZOLVE LIMITED</w:t>
      </w:r>
    </w:p>
    <w:p>
      <w:pPr>
        <w:spacing w:after="0" w:line="22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Limited and its subsidiaries prior to the Pre-Closing Demerger, unless the context clearly indicates otherwise.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340" w:right="4220" w:hanging="224"/>
        <w:spacing w:after="0" w:line="218" w:lineRule="auto"/>
        <w:tabs>
          <w:tab w:leader="none" w:pos="340" w:val="left"/>
        </w:tabs>
        <w:numPr>
          <w:ilvl w:val="0"/>
          <w:numId w:val="2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“—Partner Agreements”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$110.7 million and $31.7 million inclusive of non-cash items representing $10.2m and $28.6m, respectively for the years ended December 31, 2022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respectively. We currently generate our revenue from Transaction fees based on sales of ticketing for La Liga football events in Spain.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“—Business of Rezolve Limited.” For additional information regarding Rezolve’s business model and Rezolve management’s anticipated impacts to its business from the transition of its business model to its myBrain and Brain offerings, see “—The Business Combination Proposal—Opinion of Marshall &amp; Stevens—Rezolve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5168900" cy="26574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5" w:right="5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29" w:lineRule="exact"/>
        <w:rPr>
          <w:sz w:val="20"/>
          <w:szCs w:val="20"/>
          <w:color w:val="auto"/>
        </w:rPr>
      </w:pPr>
    </w:p>
    <w:p>
      <w:pPr>
        <w:ind w:left="108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85" w:lineRule="exact"/>
        <w:rPr>
          <w:rFonts w:ascii="Times New Roman" w:cs="Times New Roman" w:eastAsia="Times New Roman" w:hAnsi="Times New Roman"/>
          <w:sz w:val="18"/>
          <w:szCs w:val="18"/>
          <w:color w:val="auto"/>
        </w:rPr>
      </w:pPr>
    </w:p>
    <w:p>
      <w:pPr>
        <w:ind w:left="1080" w:right="100" w:hanging="424"/>
        <w:spacing w:after="0" w:line="272" w:lineRule="auto"/>
        <w:tabs>
          <w:tab w:leader="none" w:pos="10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Instant Checkout. </w:t>
      </w:r>
      <w:r>
        <w:rPr>
          <w:rFonts w:ascii="Times New Roman" w:cs="Times New Roman" w:eastAsia="Times New Roman" w:hAnsi="Times New Roman"/>
          <w:sz w:val="17"/>
          <w:szCs w:val="17"/>
          <w:color w:val="auto"/>
        </w:rPr>
        <w:t>Rezolve’s Instant Checkout allows websites to convert passive browsers into actors or buyers with one click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7" w:lineRule="exact"/>
        <w:rPr>
          <w:rFonts w:ascii="Times New Roman" w:cs="Times New Roman" w:eastAsia="Times New Roman" w:hAnsi="Times New Roman"/>
          <w:sz w:val="17"/>
          <w:szCs w:val="17"/>
          <w:color w:val="auto"/>
        </w:rPr>
      </w:pPr>
    </w:p>
    <w:p>
      <w:pPr>
        <w:ind w:left="1080" w:hanging="424"/>
        <w:spacing w:after="0" w:line="258"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85"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3" w:lineRule="exact"/>
        <w:rPr>
          <w:sz w:val="20"/>
          <w:szCs w:val="20"/>
          <w:color w:val="auto"/>
        </w:rPr>
      </w:pPr>
    </w:p>
    <w:p>
      <w:pPr>
        <w:ind w:left="1080" w:right="60" w:hanging="424"/>
        <w:spacing w:after="0" w:line="256"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Actionable Analytics and Insights. </w:t>
      </w:r>
      <w:r>
        <w:rPr>
          <w:rFonts w:ascii="Times New Roman" w:cs="Times New Roman" w:eastAsia="Times New Roman" w:hAnsi="Times New Roman"/>
          <w:sz w:val="18"/>
          <w:szCs w:val="18"/>
          <w:color w:val="auto"/>
        </w:rPr>
        <w:t>With our platform, we expect merchants will be able to receive direct insights into consumer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Frictionless Consumer Experience. </w:t>
      </w:r>
      <w:r>
        <w:rPr>
          <w:rFonts w:ascii="Times New Roman" w:cs="Times New Roman" w:eastAsia="Times New Roman" w:hAnsi="Times New Roman"/>
          <w:sz w:val="18"/>
          <w:szCs w:val="18"/>
          <w:color w:val="auto"/>
        </w:rPr>
        <w:t>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146685</wp:posOffset>
            </wp:positionV>
            <wp:extent cx="4697730" cy="2708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977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129" w:lineRule="exact"/>
        <w:rPr>
          <w:sz w:val="20"/>
          <w:szCs w:val="20"/>
          <w:color w:val="auto"/>
        </w:rPr>
      </w:pPr>
    </w:p>
    <w:p>
      <w:pPr>
        <w:ind w:left="1080" w:right="100" w:hanging="424"/>
        <w:spacing w:after="0" w:line="284" w:lineRule="auto"/>
        <w:tabs>
          <w:tab w:leader="none" w:pos="10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Upsell Opportunities: </w:t>
      </w:r>
      <w:r>
        <w:rPr>
          <w:rFonts w:ascii="Times New Roman" w:cs="Times New Roman" w:eastAsia="Times New Roman" w:hAnsi="Times New Roman"/>
          <w:sz w:val="18"/>
          <w:szCs w:val="18"/>
          <w:color w:val="auto"/>
        </w:rPr>
        <w:t>We will collaborate with our Channels to sign up merchants and share with them a portion of the revenue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those merchants. The Rezolve platform offers an additional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66" w:lineRule="auto"/>
        <w:rPr>
          <w:sz w:val="20"/>
          <w:szCs w:val="20"/>
          <w:color w:val="auto"/>
        </w:rPr>
      </w:pPr>
      <w:r>
        <w:rPr>
          <w:rFonts w:ascii="Times New Roman" w:cs="Times New Roman" w:eastAsia="Times New Roman" w:hAnsi="Times New Roman"/>
          <w:sz w:val="18"/>
          <w:szCs w:val="18"/>
          <w:color w:val="auto"/>
        </w:rPr>
        <w:t>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w:t>
      </w:r>
    </w:p>
    <w:p>
      <w:pPr>
        <w:spacing w:after="0" w:line="79" w:lineRule="exact"/>
        <w:rPr>
          <w:sz w:val="20"/>
          <w:szCs w:val="20"/>
          <w:color w:val="auto"/>
        </w:rPr>
      </w:pPr>
    </w:p>
    <w:p>
      <w:pPr>
        <w:ind w:left="1080" w:right="140" w:hanging="424"/>
        <w:spacing w:after="0" w:line="267" w:lineRule="auto"/>
        <w:tabs>
          <w:tab w:leader="none" w:pos="10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Offerings: </w:t>
      </w:r>
      <w:r>
        <w:rPr>
          <w:rFonts w:ascii="Times New Roman" w:cs="Times New Roman" w:eastAsia="Times New Roman" w:hAnsi="Times New Roman"/>
          <w:sz w:val="18"/>
          <w:szCs w:val="18"/>
          <w:color w:val="auto"/>
        </w:rPr>
        <w:t>The Rezolve platform augments our Channels’ offerings and services to further retain and attract more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onto the platform. Our platform enables our Channels to provide a seamless digital solution for the merchants with minimum investment required. As our Channels expand their merchant network, they further fuel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5186045" cy="3111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860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“—Partner Agreements.”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60"/>
          </w:cols>
          <w:pgMar w:left="320" w:top="455" w:right="5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will cease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 limited’s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58"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5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31" w:lineRule="exact"/>
        <w:rPr>
          <w:sz w:val="20"/>
          <w:szCs w:val="20"/>
          <w:color w:val="auto"/>
        </w:rPr>
      </w:pPr>
    </w:p>
    <w:p>
      <w:pPr>
        <w:ind w:left="1080" w:hanging="424"/>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29" w:lineRule="exact"/>
        <w:rPr>
          <w:sz w:val="20"/>
          <w:szCs w:val="20"/>
          <w:color w:val="auto"/>
        </w:rPr>
      </w:pPr>
    </w:p>
    <w:p>
      <w:pPr>
        <w:jc w:val="both"/>
        <w:ind w:left="1080" w:right="160" w:hanging="424"/>
        <w:spacing w:after="0" w:line="267"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78"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will be able to replicate the success we are experiencing in our current markets. Opening new distribution channels will allow us to accelerate our growth.</w:t>
      </w:r>
    </w:p>
    <w:p>
      <w:pPr>
        <w:spacing w:after="0" w:line="78" w:lineRule="exact"/>
        <w:rPr>
          <w:rFonts w:ascii="Times New Roman" w:cs="Times New Roman" w:eastAsia="Times New Roman" w:hAnsi="Times New Roman"/>
          <w:sz w:val="18"/>
          <w:szCs w:val="18"/>
          <w:color w:val="auto"/>
        </w:rPr>
      </w:pPr>
    </w:p>
    <w:p>
      <w:pPr>
        <w:ind w:left="1080" w:right="160" w:hanging="424"/>
        <w:spacing w:after="0" w:line="267"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7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4"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63"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10" w:lineRule="exact"/>
        <w:rPr>
          <w:sz w:val="20"/>
          <w:szCs w:val="20"/>
          <w:color w:val="auto"/>
        </w:rPr>
      </w:pPr>
    </w:p>
    <w:p>
      <w:pPr>
        <w:ind w:left="1080" w:right="20" w:hanging="424"/>
        <w:spacing w:after="0" w:line="257"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60"/>
          </w:cols>
          <w:pgMar w:left="320" w:top="455" w:right="5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4997450" cy="1808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974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80" w:hanging="424"/>
        <w:spacing w:after="0" w:line="261"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shopping preferences, which they can use to drive further consumer engagement. For brands that typically sell their products through third-party intermediaries, these insights are useful for building brand affinity and loyalty.</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Mobile Vouchering. </w:t>
      </w:r>
      <w:r>
        <w:rPr>
          <w:rFonts w:ascii="Times New Roman" w:cs="Times New Roman" w:eastAsia="Times New Roman" w:hAnsi="Times New Roman"/>
          <w:sz w:val="18"/>
          <w:szCs w:val="18"/>
          <w:color w:val="auto"/>
        </w:rPr>
        <w:t>We expect to enable merchants to be more flexible in their offerings to consumers. With the Rezolve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into merchants’ apps, consumers are able to scan products and buy them through the app, eliminating the need to wait online in retail stores.</w:t>
      </w:r>
    </w:p>
    <w:p>
      <w:pPr>
        <w:spacing w:after="0" w:line="78" w:lineRule="exact"/>
        <w:rPr>
          <w:rFonts w:ascii="Times New Roman" w:cs="Times New Roman" w:eastAsia="Times New Roman" w:hAnsi="Times New Roman"/>
          <w:sz w:val="18"/>
          <w:szCs w:val="18"/>
          <w:color w:val="auto"/>
        </w:rPr>
      </w:pPr>
    </w:p>
    <w:p>
      <w:pPr>
        <w:ind w:left="1080" w:right="580" w:hanging="424"/>
        <w:spacing w:after="0" w:line="284"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shoppable campaigns and to track consumers’ shopping trends.</w:t>
      </w:r>
    </w:p>
    <w:p>
      <w:pPr>
        <w:spacing w:after="0" w:line="63" w:lineRule="exact"/>
        <w:rPr>
          <w:rFonts w:ascii="Times New Roman" w:cs="Times New Roman" w:eastAsia="Times New Roman" w:hAnsi="Times New Roman"/>
          <w:sz w:val="18"/>
          <w:szCs w:val="18"/>
          <w:color w:val="auto"/>
        </w:rPr>
      </w:pPr>
    </w:p>
    <w:p>
      <w:pPr>
        <w:ind w:left="1080" w:right="20" w:hanging="424"/>
        <w:spacing w:after="0" w:line="315" w:lineRule="auto"/>
        <w:tabs>
          <w:tab w:leader="none" w:pos="108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40" w:lineRule="exact"/>
        <w:rPr>
          <w:rFonts w:ascii="Times New Roman" w:cs="Times New Roman" w:eastAsia="Times New Roman" w:hAnsi="Times New Roman"/>
          <w:sz w:val="17"/>
          <w:szCs w:val="17"/>
          <w:color w:val="auto"/>
        </w:rPr>
      </w:pPr>
    </w:p>
    <w:p>
      <w:pPr>
        <w:ind w:left="1080" w:hanging="424"/>
        <w:spacing w:after="0" w:line="26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29" w:lineRule="exact"/>
        <w:rPr>
          <w:sz w:val="20"/>
          <w:szCs w:val="20"/>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indoor and outdoor locations.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260" w:hanging="424"/>
        <w:spacing w:after="0" w:line="284"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65" w:lineRule="exact"/>
        <w:rPr>
          <w:sz w:val="20"/>
          <w:szCs w:val="20"/>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sold from a display wall</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79" w:lineRule="exact"/>
        <w:rPr>
          <w:sz w:val="20"/>
          <w:szCs w:val="20"/>
          <w:color w:val="auto"/>
        </w:rPr>
      </w:pPr>
    </w:p>
    <w:p>
      <w:pPr>
        <w:ind w:left="1080" w:hanging="424"/>
        <w:spacing w:after="0" w:line="271" w:lineRule="auto"/>
        <w:tabs>
          <w:tab w:leader="none" w:pos="108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Artificial Intelligence. </w:t>
      </w:r>
      <w:r>
        <w:rPr>
          <w:rFonts w:ascii="Times New Roman" w:cs="Times New Roman" w:eastAsia="Times New Roman" w:hAnsi="Times New Roman"/>
          <w:sz w:val="17"/>
          <w:szCs w:val="17"/>
          <w:color w:val="auto"/>
        </w:rPr>
        <w:t>Our Large Language Model (“LLM”) uses proprietary AI to interrogate presales, sales and post-sales content as well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66" w:lineRule="auto"/>
        <w:rPr>
          <w:sz w:val="20"/>
          <w:szCs w:val="20"/>
          <w:color w:val="auto"/>
        </w:rPr>
      </w:pPr>
      <w:r>
        <w:rPr>
          <w:rFonts w:ascii="Times New Roman" w:cs="Times New Roman" w:eastAsia="Times New Roman" w:hAnsi="Times New Roman"/>
          <w:sz w:val="18"/>
          <w:szCs w:val="18"/>
          <w:color w:val="auto"/>
        </w:rPr>
        <w:t>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140335</wp:posOffset>
            </wp:positionV>
            <wp:extent cx="4320540" cy="25374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2054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80" w:right="340" w:hanging="424"/>
        <w:spacing w:after="0" w:line="284"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GDPR policies.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8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8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380" w:hanging="424"/>
        <w:spacing w:after="0" w:line="261"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85" w:lineRule="exact"/>
        <w:rPr>
          <w:rFonts w:ascii="Times New Roman" w:cs="Times New Roman" w:eastAsia="Times New Roman" w:hAnsi="Times New Roman"/>
          <w:sz w:val="18"/>
          <w:szCs w:val="18"/>
          <w:color w:val="auto"/>
        </w:rPr>
      </w:pPr>
    </w:p>
    <w:p>
      <w:pPr>
        <w:jc w:val="both"/>
        <w:ind w:left="1080" w:right="80" w:hanging="424"/>
        <w:spacing w:after="0" w:line="267"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7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63"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63" w:lineRule="exact"/>
        <w:rPr>
          <w:rFonts w:ascii="Times New Roman" w:cs="Times New Roman" w:eastAsia="Times New Roman" w:hAnsi="Times New Roman"/>
          <w:sz w:val="18"/>
          <w:szCs w:val="18"/>
          <w:color w:val="auto"/>
        </w:rPr>
      </w:pPr>
    </w:p>
    <w:p>
      <w:pPr>
        <w:jc w:val="both"/>
        <w:ind w:left="1080" w:right="600" w:hanging="424"/>
        <w:spacing w:after="0" w:line="267"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gateway as well as eCommerce platforms with minimum effort. Rezolve already supports a large number of payment providers and ramping up support for e-commerce platforms via its unique plugin architecture and webhooks.</w:t>
      </w:r>
    </w:p>
    <w:p>
      <w:pPr>
        <w:spacing w:after="0" w:line="7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these triggers via Rezolve’s Experience Platform when combined with its SDK delivers a powerful tool to Merchants to deliver non spamming targeted engagements.</w:t>
      </w:r>
    </w:p>
    <w:p>
      <w:pPr>
        <w:spacing w:after="0" w:line="7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67" w:lineRule="exact"/>
        <w:rPr>
          <w:sz w:val="20"/>
          <w:szCs w:val="20"/>
          <w:color w:val="auto"/>
        </w:rPr>
      </w:pPr>
    </w:p>
    <w:p>
      <w:pPr>
        <w:ind w:left="5480" w:right="4040" w:hanging="4824"/>
        <w:spacing w:after="0" w:line="454" w:lineRule="auto"/>
        <w:tabs>
          <w:tab w:leader="none" w:pos="107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 229</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Partner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Adobe</w:t>
      </w:r>
    </w:p>
    <w:p>
      <w:pPr>
        <w:spacing w:after="0" w:line="11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On March 19, 2024, Rezolve entered into an agreement with Adobe, Inc. (“Adobe”),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ACI Worldwide</w:t>
      </w:r>
    </w:p>
    <w:p>
      <w:pPr>
        <w:spacing w:after="0" w:line="11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On March 31, 2022, Rezolve entered into an agreement with ACI Worldwide (EMEA) Limited (“ACI”), pursuant to which, among other things, Rezolve granted ACI a non-sublicensable,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Haendlerbund</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2023, Rezolve entered into an agreement with HB Marketplace GmbH (“Haendlerbund”), pursuant to which, among other things, Rezolve granted Haendlerbund a non-exclusive distribution and marketing license of the Brain in exchange for Handlerbund selling and marketing Brain on its digital marketplace to online retailers. Under the agreement, Handlerbund will receives 25% of the net sales actually</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0"/>
          </w:cols>
          <w:pgMar w:left="320" w:top="455" w:right="5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Epages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January 22, 2024, Rezolve entered into an agreement with Epages GMBH (“Epages”),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JTL</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March 19, 2024, Rezolve entered into an agreement with JTL Software GmbH (“JTL”),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Oxid</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March 22, 2024, Rezolve entered into an agreement with OXID eSales AG (“OXID”),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Chatwerk</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May 23, 2023, Rezolve entered into a non-binding offer with Chatwerk by Inbox Solutions GmbH (“Chatwerk”) to purchase Rezolve’s products. Under the agreement, Chatwerk will receive 20% on all Rezolve services-based revenues generated by Chatwerk.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9"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REZOLVE’S MANAGEMENT’S DISCUSSION AND ANALYSIS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AI Limited and its subsidiaries prior to the consummation of the Business Combination and to Rezolve PLC and its subsidiaries following the consummation of the Business Combination.</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“Business of Rezolve,”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 Partner Agreements”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340" w:right="4180" w:hanging="224"/>
        <w:spacing w:after="0" w:line="218" w:lineRule="auto"/>
        <w:tabs>
          <w:tab w:leader="none" w:pos="340" w:val="left"/>
        </w:tabs>
        <w:numPr>
          <w:ilvl w:val="0"/>
          <w:numId w:val="2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Please see Rezolve Press Release dated July 25, 2023, available at </w:t>
      </w:r>
      <w:r>
        <w:rPr>
          <w:rFonts w:ascii="Times New Roman" w:cs="Times New Roman" w:eastAsia="Times New Roman" w:hAnsi="Times New Roman"/>
          <w:sz w:val="17"/>
          <w:szCs w:val="17"/>
          <w:u w:val="single" w:color="auto"/>
          <w:color w:val="auto"/>
        </w:rPr>
        <w:t>https://www.rezolve.com/investors/britainsbrain-heralds-new-era-of-commerce-enabled-ai/</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5"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27" w:lineRule="exact"/>
        <w:rPr>
          <w:sz w:val="20"/>
          <w:szCs w:val="20"/>
          <w:color w:val="auto"/>
        </w:rPr>
      </w:pPr>
    </w:p>
    <w:p>
      <w:pPr>
        <w:ind w:left="1080" w:right="220" w:hanging="424"/>
        <w:spacing w:after="0" w:line="286"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60" w:lineRule="exact"/>
        <w:rPr>
          <w:rFonts w:ascii="Times New Roman" w:cs="Times New Roman" w:eastAsia="Times New Roman" w:hAnsi="Times New Roman"/>
          <w:sz w:val="18"/>
          <w:szCs w:val="18"/>
          <w:color w:val="auto"/>
        </w:rPr>
      </w:pPr>
    </w:p>
    <w:p>
      <w:pPr>
        <w:ind w:left="1080" w:right="220" w:hanging="424"/>
        <w:spacing w:after="0" w:line="259"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84"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84"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likelihood of expanding their activity on our platform. Supporting merchants begins with enhancing both the shopper and the merchant experience. We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140"/>
        <w:spacing w:after="0" w:line="266" w:lineRule="auto"/>
        <w:rPr>
          <w:sz w:val="20"/>
          <w:szCs w:val="20"/>
          <w:color w:val="auto"/>
        </w:rPr>
      </w:pPr>
      <w:r>
        <w:rPr>
          <w:rFonts w:ascii="Times New Roman" w:cs="Times New Roman" w:eastAsia="Times New Roman" w:hAnsi="Times New Roman"/>
          <w:sz w:val="18"/>
          <w:szCs w:val="18"/>
          <w:color w:val="auto"/>
        </w:rPr>
        <w:t>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7" w:lineRule="exact"/>
        <w:rPr>
          <w:sz w:val="20"/>
          <w:szCs w:val="20"/>
          <w:color w:val="auto"/>
        </w:rPr>
      </w:pPr>
    </w:p>
    <w:p>
      <w:pPr>
        <w:jc w:val="both"/>
        <w:ind w:left="1080" w:right="420" w:hanging="424"/>
        <w:spacing w:after="0" w:line="291" w:lineRule="auto"/>
        <w:tabs>
          <w:tab w:leader="none" w:pos="108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Offering and service enhancement</w:t>
      </w:r>
      <w:r>
        <w:rPr>
          <w:rFonts w:ascii="Times New Roman" w:cs="Times New Roman" w:eastAsia="Times New Roman" w:hAnsi="Times New Roman"/>
          <w:sz w:val="17"/>
          <w:szCs w:val="17"/>
          <w:color w:val="auto"/>
        </w:rPr>
        <w:t>: We intend to continue investing in the capabilities of our offerings and services to deliver better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 for our users and merchants and address new market opportunities. Additionally, we will work to perfect our platform services, including Instant Act, Instant Checkout, SmartLinks, SmartCodes and the use of watermarking technology for anticounterfeiting.</w:t>
      </w:r>
    </w:p>
    <w:p>
      <w:pPr>
        <w:spacing w:after="0" w:line="58" w:lineRule="exact"/>
        <w:rPr>
          <w:rFonts w:ascii="Times New Roman" w:cs="Times New Roman" w:eastAsia="Times New Roman" w:hAnsi="Times New Roman"/>
          <w:sz w:val="17"/>
          <w:szCs w:val="17"/>
          <w:color w:val="auto"/>
        </w:rPr>
      </w:pPr>
    </w:p>
    <w:p>
      <w:pPr>
        <w:ind w:left="1080" w:right="120" w:hanging="424"/>
        <w:spacing w:after="0" w:line="268"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65" w:lineRule="exact"/>
        <w:rPr>
          <w:sz w:val="20"/>
          <w:szCs w:val="20"/>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7"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depreciation of fixed tangible assets. We note that all software development expenditure up until the end of December 2022 has been expensed.</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rights and indicators of impairment.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145,051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115,159</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34,791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745,040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6,731,254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4,338,557</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17,986,528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1,156,316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242,436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44,438</w:t>
            </w:r>
          </w:p>
        </w:tc>
      </w:tr>
      <w:tr>
        <w:trPr>
          <w:trHeight w:val="230"/>
        </w:trPr>
        <w:tc>
          <w:tcPr>
            <w:tcW w:w="3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100" w:type="dxa"/>
            <w:vAlign w:val="bottom"/>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8"/>
              </w:rPr>
              <w:t>(26,006,274)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(107,046,147)</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(4,791,782)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256,659</w:t>
            </w:r>
          </w:p>
        </w:tc>
      </w:tr>
      <w:tr>
        <w:trPr>
          <w:trHeight w:val="27"/>
        </w:trPr>
        <w:tc>
          <w:tcPr>
            <w:tcW w:w="3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(4,666,416)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(3,628,036)</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(30,672,690</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(110,674,183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(63,408)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(30,736,098</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(110,712,948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2"/>
        </w:trPr>
        <w:tc>
          <w:tcPr>
            <w:tcW w:w="3760" w:type="dxa"/>
            <w:vAlign w:val="bottom"/>
          </w:tcPr>
          <w:p>
            <w:pPr>
              <w:spacing w:after="0"/>
              <w:rPr>
                <w:sz w:val="24"/>
                <w:szCs w:val="24"/>
                <w:color w:val="auto"/>
              </w:rPr>
            </w:pPr>
          </w:p>
        </w:tc>
        <w:tc>
          <w:tcPr>
            <w:tcW w:w="16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145,051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115,159</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29,892</w:t>
            </w:r>
          </w:p>
        </w:tc>
        <w:tc>
          <w:tcPr>
            <w:tcW w:w="46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710,259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6,731,254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4,338,557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2,392,697</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17,986,528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86,640,500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(68,653,972)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821,364</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235,797</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6,639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14,866,460—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(14,866,460)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26,151,325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107,161,306</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 (81,009,991)</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$3.3m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2022. $14.6m of the reduction related to the impairment of investment in ANY in 2022. Share-based payments to employees increased by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$3.6 million due to a grant in September 2023. Share based payments to directors decreased by $36.5 million for payments to related parties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$4,791,782</w:t>
            </w:r>
          </w:p>
        </w:tc>
        <w:tc>
          <w:tcPr>
            <w:tcW w:w="4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$3,884,695</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907,087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3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(125,366)</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(256,659)</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(131,293)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4,666,416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3,626,036</w:t>
            </w: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5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$0.5m of interest costs related to the converrable loan note.</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This was due to a decrease in Operating expenses from $107.2 million for the year ended December 31, 2022 to $26.2 million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 December, 2023. The drivers of decreased Operating expenses are as detailed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00"/>
          </w:cols>
          <w:pgMar w:left="320" w:top="455" w:right="4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color w:val="auto"/>
        </w:rPr>
        <w:t>projections and make strategic decisions. We discuss revenues below under “—</w:t>
      </w:r>
      <w:r>
        <w:rPr>
          <w:rFonts w:ascii="Times New Roman" w:cs="Times New Roman" w:eastAsia="Times New Roman" w:hAnsi="Times New Roman"/>
          <w:sz w:val="18"/>
          <w:szCs w:val="18"/>
          <w:i w:val="1"/>
          <w:iCs w:val="1"/>
          <w:color w:val="auto"/>
        </w:rPr>
        <w:t>Components 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79" w:lineRule="exact"/>
        <w:rPr>
          <w:sz w:val="20"/>
          <w:szCs w:val="20"/>
          <w:color w:val="auto"/>
        </w:rPr>
      </w:pPr>
    </w:p>
    <w:p>
      <w:pPr>
        <w:ind w:left="1080" w:right="180" w:hanging="424"/>
        <w:spacing w:after="0" w:line="284"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16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believes that the presentation of key business metrics provide important supplemental information to management and investors of the business trends and drivers of the Company’s operations. Management uses these key business measures to track and evaluate operating performance, the metrics above provide additional useful measures of the Company’s operating performance and facilitate comparisons of the Company’s core operating performance against prior periods and its business model objectives.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3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Operational and Other Data: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3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Period-on-period revenues growth</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16"/>
        </w:trPr>
        <w:tc>
          <w:tcPr>
            <w:tcW w:w="4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Transaction Fee Revenues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115,159</w:t>
            </w:r>
          </w:p>
        </w:tc>
      </w:tr>
      <w:tr>
        <w:trPr>
          <w:trHeight w:val="229"/>
        </w:trPr>
        <w:tc>
          <w:tcPr>
            <w:tcW w:w="4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EBITDA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(25,638,472)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(106,553,691)</w:t>
            </w: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ticketing revenues transactions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54,510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37,142</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define period-on-period revenues growth as a percentage change for revenues derived from merchants between different periods.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85" w:lineRule="exact"/>
        <w:rPr>
          <w:sz w:val="20"/>
          <w:szCs w:val="20"/>
          <w:color w:val="auto"/>
        </w:rPr>
      </w:pPr>
    </w:p>
    <w:p>
      <w:pPr>
        <w:ind w:left="1080" w:hanging="424"/>
        <w:spacing w:after="0"/>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20"/>
          </w:cols>
          <w:pgMar w:left="320" w:top="455" w:right="5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3,884,695</w:t>
            </w: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120" w:type="dxa"/>
            <w:vAlign w:val="bottom"/>
          </w:tcPr>
          <w:p>
            <w:pPr>
              <w:spacing w:after="0"/>
              <w:rPr>
                <w:sz w:val="18"/>
                <w:szCs w:val="18"/>
                <w:color w:val="auto"/>
              </w:rPr>
            </w:pPr>
          </w:p>
        </w:tc>
        <w:tc>
          <w:tcPr>
            <w:tcW w:w="14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(25,638,472</w:t>
            </w:r>
          </w:p>
        </w:tc>
        <w:tc>
          <w:tcPr>
            <w:tcW w:w="500" w:type="dxa"/>
            <w:vAlign w:val="bottom"/>
          </w:tcPr>
          <w:p>
            <w:pPr>
              <w:jc w:val="right"/>
              <w:ind w:right="4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(106,553,691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81" w:lineRule="exact"/>
        <w:rPr>
          <w:sz w:val="20"/>
          <w:szCs w:val="20"/>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20"/>
          </w:cols>
          <w:pgMar w:left="320" w:top="455" w:right="5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7" w:lineRule="exact"/>
        <w:rPr>
          <w:sz w:val="20"/>
          <w:szCs w:val="20"/>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31" w:lineRule="exact"/>
        <w:rPr>
          <w:sz w:val="20"/>
          <w:szCs w:val="20"/>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35" w:lineRule="exact"/>
        <w:rPr>
          <w:sz w:val="20"/>
          <w:szCs w:val="20"/>
          <w:color w:val="auto"/>
        </w:rPr>
      </w:pPr>
    </w:p>
    <w:p>
      <w:pPr>
        <w:ind w:left="1080" w:hanging="424"/>
        <w:spacing w:after="0"/>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88"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(30,736,098)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(110,712,948)</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3,884,698</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38,765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235,797</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(25,638,472)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(106,553,691)</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(375,298)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(714,914)</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in ANY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44,438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14,822,022</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731,940</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334,952</w:t>
            </w:r>
          </w:p>
        </w:tc>
      </w:tr>
      <w:tr>
        <w:trPr>
          <w:trHeight w:val="22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777,161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7,136,168</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39,501,701</w:t>
            </w: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485,080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18,417,816</w:t>
            </w: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5,238,117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2,115,015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(15,355,075)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(24,164,553)</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3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2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2023 </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2022 </w:t>
            </w:r>
          </w:p>
        </w:tc>
        <w:tc>
          <w:tcPr>
            <w:tcW w:w="40" w:type="dxa"/>
            <w:vAlign w:val="bottom"/>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10,441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13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10,441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39,380</w:t>
            </w:r>
          </w:p>
        </w:tc>
      </w:tr>
      <w:tr>
        <w:trPr>
          <w:trHeight w:val="54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6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(13,001,875)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(26,788,906)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(1,781,524)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(36,854)</w:t>
            </w: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14,712,061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23,999,920</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42,399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177,287</w:t>
            </w:r>
          </w:p>
        </w:tc>
        <w:tc>
          <w:tcPr>
            <w:tcW w:w="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(28,939)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(2,648,553)</w:t>
            </w:r>
          </w:p>
        </w:tc>
        <w:tc>
          <w:tcPr>
            <w:tcW w:w="4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$447,067. There are no formal loan documents in place and no interest is payable.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All of our revenue is denominated in the Euro (“EUR”)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February 23, 2023, Rezolve Limited executed a $250 million standby equity purchase agreement providing a capital commitment facility from YA II PN, LTD ( “YA”), a Cayman Islands exempt limited company, in the form of a share subscription facility, and which was amended and restated on February 2, 2024 to provide for, inter alia, Rezolve AI Limited joining as a party to the agreement and the subscription by YA of a promissory convertible note (“YA Agreement”). With effect from the completion of the Pre-Closing Demerger, the rights and obligations of Rezolve Limited under the YA Agreement shall be novated to Rezolve AI Limited.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YA Agreement, YA subscribed for a convertible promissory note with a total principal amount of $2.5 million (the “YA Note”)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for an advance by YA to Rezolve Limited of an amount equal to 80% of the total principal amount. The YA Note was issued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February 2, 2024 pursuant to the terms of a convertible promissory note instrument entered into by Rezolve Limited and Rezolve AI Limited (“YA Note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With effect from the completion of the Pre-Closing Demerger, the rights and obligations of Rezolve Limited under the YA Note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Instrument be novated to Rezolve AI Limited. Pursuant to the YA Note Instrument, the YA Note will mature on the date falling 6 months from the date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issue (or as extended at the option of the noteholder) unless an event of default occurs that triggers an acceleration of the repayment obligation,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bears interest of 10% per annum (save where an event of default has occurred and is continuing, an 18% interest rate will apply). The YA Note is freely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transferrable in whole or in part, subject to the terms of the YA Note Instrument.</w:t>
      </w:r>
    </w:p>
    <w:p>
      <w:pPr>
        <w:spacing w:after="0" w:line="2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YA Note is convertible into ordinary shares in Rezolve AI Limited upon the public listing of the ordinary shares of Rezolve AI Limited, or if either an event of default occurs or the YA Note reaches maturity. The noteholder may elect to convert all or part of the YA Note into ordinary shares in Rezolve AI Limited at the “Conversion Price” (being the lower of (i) $10 per share (the “Fixed Price”) or (ii) 90% of the lowest daily VWAP during the ten (10) consecutive trading days immediately preceding the conversion date or other later date of determination (the “Variable Price”) but which Variable Price shall not be lower than the “Floor Price” (being $2.00 per share unless reduced by Rezolve) then in effect), however subject to the conversion limitations whereby (i) the noteholder shall not be able to convert any portion of the YA Note to the extent that after conversion the noteholder (together with any affiliates) would beneficially own in excess of 4.99% of the number of outstanding ordinary shares in Rezolve AI Limited (such prohibition on conversion being capable of waiver by the noteholder), and/or (ii) the issue of ordinary shares upon conversion would (together with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other issuances in accordance with the terms of the YA Agreement or any other related transactions)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YA Note upon 10 trading days prior written notice (“Redemption Notice”), provided that on the date of the Redemption Notice the VWAP of the ordinary shares in Rezolve AI Limited is less than the Fixed Price. The YA Note may also be redeemed early by Rezolve prior to the completion of the Business Combination. Upon such early redemption of the YA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YA Note.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the Floor Price for five (5) trading days during a period of seven (7) consecutive trading days (the “Floor Price Trigger”), or (ii) Rezolve AI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has issued in excess of 99% of the ordinary shares available under the Exchange Cap unless Rezolve AI Limited shareholders have approved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issuances, or if Rezolve AI Limited is permitted to follow (and has elected to do so) its home country practices instead of the stockholder approval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Nasdaq Rule 5635) (the “Exchange Cap Trigger”)), then Rezolve AI Limited shall make monthly payments equal to the sum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$625,000 per month (or, if lesser, the then-outstanding principal of the YA Note) plus a payment premium of 10% of the principal amount being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any accrued and unpaid interest as of each payment date, with such monthly payment obligation to cease if any time after the date of a Trigger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(i) in the event of a Floor Price Trigger, the daily VWAP is greater than 110% of the Floor Price for any 5 of 7 consecutive trading days,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YA Note Instrument), or (ii) in the event of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Cap Trigger, the date Rezolve AI Limited has obtained stockholder approval to increase the number of ordinary shares under the Exchange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 (or if the Exchange Cap no longer applies), unless a subsequent Trigger Event occurs.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YA Note has certain rights and obligations under an Intercreditor Agreement entered into between Rezolve Limited, Rezolve AI Limited, YA, Apeiron Investment Group Ltd, and GLAS Trust Corporation Limited as security trustee for Apeiron Investment Group Ltd (“Intercreditor Agreement”),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YA Agreement, the YA Note and all other ancillary instruments and agreements.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YA Agreement, YA will also provide Rezolve with up to $250 million in equity capital for a 36-month term following a public listing of the Company’s Ordinary Shares. Rezolve will not be obligated to draw the full $250 million but can do so in part or in whole at its discretion, provided that (i) no balance is outstanding under the YA Note, or if there is any balance outstanding, 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Where there are outstanding amounts owing under the YA Note and a Trigger Event has occurred (and Rezolve’s obligation to make monthly payments under the YA Note as a result of the Trigger Event has not ceased), Rezolve may submit an advance notice to YA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before delivery of an advance notice by Rezolve to YA. The Company will pay a commitment fee in an amount equal to 1.25 % of the $250 million Commitment Amount (the “Commitment Fee”), which the Company shall pay in cash by wire transfer to YA on or before the 12 month anniversary of the closing of the Business Combination. YA shall reduce by half any amount due to Rezolve under an advance notice by offsetting such amount against the outstanding amount of the Commitment Fee .</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the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and ending on the termination of the YA Agreement (which unless terminated earlier the YA Agreement shall terminate no later than 36 months after the Effective Date or if the YA Note remains outstanding, the date that the YA Note has been repaid), the proceeds from YA under the YA Agreement (including YA’s subscription for the YA Note) shall be used by Rezolve AI Limited in the manner as set forth in a registration statement (and any post-effective amendments) for the registration and resale by YA of Ordinary Shares acquired under the YA Agreement and any prospectus (including any prospectus supplement) used by Rezolve AI Limited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further amended on 18 December 2023 and 29 December 2023 and further amended and restated on 26 January 2024 (the “Loan Note Instrument”) and currently is in respect of an aggregate amount of $49,892,080 loan notes of $1.00 each in the capital of Rezolve Limited (the “Convertible Notes”) of which $41,392,080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the lesser of (i) a 30% discount to the equity value of such ordinary shares (or after the Pre-Closing Demerger, Rezolve Ordinary Shares) in connection with the consummation of the Business Combination; or (ii) any of quarterly VWAPs for the four immediately preceding quarterly reset dates (if any) as selected by the relevant noteholder.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above the prevailing interest that applies at such time).</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Limited (or after the Pre-Closing Demerger, Rezolve) to pay any amount due thereunder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when due. Furthermore, if Closing has not occurred by 30 June 2024, at any time and from time to time, in each case with the prior written consent of holders of a majority (more than 50%) of the aggregate principal amount of the notes then outstanding, any noteholder may cause Rezolve Limited to redeem such noteholder’s notes, in whole or in part, at their aggregate principal amount plus accrued and unpaid interest (provided that interest shall be deemed to have accrued at a rate of seven and a half percent (7.50%) per annum from 11 January 2024).</w:t>
      </w:r>
    </w:p>
    <w:p>
      <w:pPr>
        <w:spacing w:after="0" w:line="180"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Rezolve Limited (and after the Pre-Closing Demerger, 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80"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pari passu or senior to the Convertible Notes without the prior consent of holders of more than two-thirds of the aggregate principal amount of the Convertible Notes outstanding from time to time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unless such person is wholly owned by Rezolve Limited (or after the Pre-Closing Demerger, Rezolve) or, in the case of a natural person,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employee or director of Rezolve Limited (or after the Pre-Closing Demerger, Rezolve) and such loan or advance is made in the ordinary course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under the terms of an employee stock or option plan that has been notified to the noteholders; (b) guaranteeing, directly or indirectly,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permitting any subsidiary to guarantee, directly or indirectly, any indebtedness except for trade accounts of Rezolve Limited or any of its subsidiaries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the Pre-Closing Demerger, Rezolve or any of its subsidiaries) arising in the ordinary course of business; (c) changing the principal business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 (or after the Pre-Closing Demerger, Rezolve), entering new lines of business, or exiting the current line of business; (d) selling,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assigning, licensing, charging, pledging, or encumbering material technology or intellectual property, other than licenses granted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(e) entering into any corporate strategic relationship, joint venture, cooperation or other similar agreement, other than in the ordinary course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business; (f) (i) prior to the date of Closing, acquiring or disposing of assets (including shares) where the consideration paid or received exceeds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$1,000,000; or (ii) following the date of Closing, acquiring or disposing of assets (including shares) (x) where the consideration paid or received exceeds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twenty per cent. (20.00%) of the 90-Day average market cap of the Company (calculated by reference to the 90-Day VWAP of the Company’s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multiplied by the number of issued and outstanding shares at the relevant time ;or (y) other than (A) on arm’s length terms; ; (g) amending the articles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association of Rezolve Limited (or after the Pre-Closing Demerger, Rezolve) in a manner that is adverse to the noteholders; (h) effecting any 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reorganization, scheme of arrangement, restructuring plan or other similar transaction except for any merger, combination or scheme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arrangement undertaken solely to implement the acquisition or disposition of assets which would not constitute an Extraordinary Transaction (as defined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Loan Note Instrument) under (f); and (i) liquidating, dissolving or winding up the affairs of Rezolve Limited (or after the Pre-Closing Demerger,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Notes will not be repaid at the Closing of the Business Combination and will either convert into Rezolve Ordinary Shares or remain outstanding. The Convertible Notes will not be registered under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Securities Act and have been issued in reliance on the exemption from registration requirements thereof provided by Regulation S promulgated thereunder as a transaction solely to non-US persons (as defined in Regulation 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loan bears a borrowing fee of $660,000 and €660,000, respectively, which has been recorded in interest expense in the year ended December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loans were due to mature on July 31, 2023 or at the option of the investor, can be converted into ordinary shares of the Company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accrued borrowing fees at a conversion rate of 0.50 to the Company’s share price at listing after completing any reorganization. The loans were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repaid by the maturity date at which until further terms and conditions are negotiated such as extended repayment terms or conversion into ordinary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 the Company was in default of the two unsecured convertible loans and the loans remained repayable on demand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On January 26, 2024, the two unsecured convertible loans were added to the Company’s senior secured convertible notes. The loan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and accrued borrowing fees were rounded to a sum of $8,000,000. The key terms of the loan amendment include that of the senior 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notes, as noted below.</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 publicly listed company and 2) any of the quarterly VWAPs for the four immediately preceding quarterly reset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dates as selected by the noteholder after the date of an IPO or Business Combination with a publicly listed company and prior to the maturity date.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18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7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7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Share-based payment liability . . . . . . . . . . . . . . . . . .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$1,177,617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$ 1,311,028</w:t>
            </w:r>
          </w:p>
        </w:tc>
      </w:tr>
    </w:tbl>
    <w:p>
      <w:pPr>
        <w:spacing w:after="0" w:line="206" w:lineRule="exact"/>
        <w:rPr>
          <w:sz w:val="20"/>
          <w:szCs w:val="20"/>
          <w:color w:val="auto"/>
        </w:rPr>
      </w:pPr>
    </w:p>
    <w:p>
      <w:pPr>
        <w:ind w:left="540" w:hanging="424"/>
        <w:spacing w:after="0"/>
        <w:tabs>
          <w:tab w:leader="none" w:pos="5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117" w:lineRule="exact"/>
        <w:rPr>
          <w:rFonts w:ascii="Times New Roman" w:cs="Times New Roman" w:eastAsia="Times New Roman" w:hAnsi="Times New Roman"/>
          <w:sz w:val="18"/>
          <w:szCs w:val="18"/>
          <w:color w:val="auto"/>
        </w:rPr>
      </w:pPr>
    </w:p>
    <w:p>
      <w:pPr>
        <w:ind w:left="5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Rezolve AI Limited (“Subscription Agreements”) to subscribe for convertible promissory notes with a total principal amount of $2,849,906 (the “Promissory Notes”) in consideration for an advance by each subscriber to Rezolve Limited of an amount equal to 80% of the principal amount subscribed (such amount being the “Net Investment Amount”).</w:t>
      </w:r>
    </w:p>
    <w:p>
      <w:pPr>
        <w:spacing w:after="0" w:line="176"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Promissory Notes were issued during the course of February 23, 2024 pursuant to the terms of convertible promissory note instruments entered into by Rezolve Limited and Rezolve AI Limited (all on substantially the same terms) in favour of the subscribers (“Promissory Note Instruments”).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shall be novated to Rezolve AI Limited.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upon the public listing of the ordinary shares in Rezolve AI Limited, or if either an event of default occurs or the Promissory Notes reaches maturity. The noteholders may elect to convert all or part of the amount outstanding under their Promissory Note into ordinary shares at the “Conversion Price” (being the lower of (i) $10 per share (the “Fixed Price”) or (ii) 90% of the lowest daily VWAP during the ten (10) consecutive trading days immediately preceding the conversion date or other date of determination (the “Variable Price”) but which Variable Price shall not be lower than the “Floor Price” (being $2.00 per share unless reduced by Rezolve) then in effect), however subject to the conversion limitation whereby the issue of ordinary shares upon conversion would exceed the number of ordinary shares that Rezolve AI Limited may issue in a transaction in compliance with its obligations under rules or regulations of Nasdaq (the “Exchange Cap”) (unless Rezolve AI Limited shareholders have approved such issuances, or if Rezolve AI Limited is permitted to follow (and has elected to do so) its home country practices instead of the stockholder approval requirements of Nasdaq Rule 5635).</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upon 10 trading days prior written notice (“Redemption Notice”), provided that on the date of the Redemption Notice the VWAP of the ordinary shares in Rezolve AI Limited is less than the Fixed Price. The Promissory Notes may also be redeemed early by Rezolve prior to the completion of the Business Combination.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“Trigger Event” occurs (being where (i) the daily VWAP is less than the Floor Price for five (5) trading days during a period of seven (7) consecutive trading days (the “Floor Price Trigger”),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“Exchange Cap Trigger”)),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Trigger Event, (i) in the event of a Floor Price Trigger, the daily VWAP is greater than 110% of the Floor Price for any 5 of 7 consecutive trading days, or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Trigger Event occurs.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Subscription Agreements, each subscriber shall also be granted freely transferrable warrants by Rezolve AI Limited upon completion of the Business Combination, with the warrant subscription value for each subscriber to be two (2) times the Net Investment Amount. The warrants shall confer the right to each warrantholder to subscribe for ordinary shares in Rezolve AI Limited at the exercise price of $8.00 per share (which may be adjusted upon an alteration of Rezolve AI Limited’s share capital), and which may be exercised until 31 January 2027 (“Expiry Date”). If before the Expiry Date it comes to the attention of Rezolve AI Limited of an “Exercise Event” (being a takeover offer for Rezolve AI Limited, or an offer made to all ordinary shareholders by Rezolve AI Limited to purchase its own shares) it shall give notice to each warrantholder to allow such holder to exercise their warrants (on condition that such notified Exercise Event does occur within 14 days of the notice), and if such Exercise Event does occur then any unexercised warrants shall lapse.</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Rezolve AI Limited may (and shall on the written request by warrantholders holding at least one-fifth of the warrants then outstanding) convene a meeting of warrantholders, and such meeting shall have power to sanction any modification or compromise in respect of rights of the warrantholders including any provisions of the warrant instrument, and to appoint any person as agent to represent the interests of warrantholders.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MANAGEMENT AND COMPENSATION OF REZOLVE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Rezolve Following the Business Combination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contemplated by the Business Combination Agreement, Rezolve’s board of directors following the Business Combination will be comprised of eight directors (provided that Daniel Wagner shall have the right to appoint an additional director to the Board from time to time).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concerning the persons who are expected to serve as Rezolve’s directors and executive officers following the consummation of the Business Combination, including their ages, as of May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0"/>
              </w:rPr>
              <w:t>Daniel</w:t>
            </w:r>
          </w:p>
        </w:tc>
        <w:tc>
          <w:tcPr>
            <w:tcW w:w="5140" w:type="dxa"/>
            <w:vAlign w:val="bottom"/>
          </w:tcPr>
          <w:p>
            <w:pPr>
              <w:ind w:left="160"/>
              <w:spacing w:after="0" w:line="185" w:lineRule="exact"/>
              <w:rPr>
                <w:sz w:val="20"/>
                <w:szCs w:val="20"/>
                <w:color w:val="auto"/>
              </w:rPr>
            </w:pPr>
            <w:r>
              <w:rPr>
                <w:rFonts w:ascii="Times New Roman" w:cs="Times New Roman" w:eastAsia="Times New Roman" w:hAnsi="Times New Roman"/>
                <w:sz w:val="18"/>
                <w:szCs w:val="18"/>
                <w:color w:val="auto"/>
              </w:rPr>
              <w:t>Wagner</w:t>
            </w:r>
          </w:p>
        </w:tc>
        <w:tc>
          <w:tcPr>
            <w:tcW w:w="24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6"/>
                <w:szCs w:val="16"/>
                <w:color w:val="auto"/>
              </w:rPr>
            </w:pPr>
          </w:p>
        </w:tc>
        <w:tc>
          <w:tcPr>
            <w:tcW w:w="50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CEO, and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Wagner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Lurio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Commercial Officer and General Manager (EMEA)</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CEO Products, Technology, and Digital Services</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Technology Officer</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Biographical information concerning the directors and executive officers listed above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w:t>
      </w:r>
    </w:p>
    <w:p>
      <w:pPr>
        <w:spacing w:after="0" w:line="27"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Douglas Lurio.</w:t>
      </w:r>
    </w:p>
    <w:p>
      <w:pPr>
        <w:spacing w:after="0" w:line="1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81" w:lineRule="exact"/>
        <w:rPr>
          <w:sz w:val="20"/>
          <w:szCs w:val="20"/>
          <w:color w:val="auto"/>
        </w:rPr>
      </w:pPr>
    </w:p>
    <w:p>
      <w:pPr>
        <w:ind w:left="1080" w:right="4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w:t>
      </w:r>
    </w:p>
    <w:p>
      <w:pPr>
        <w:spacing w:after="0" w:line="27" w:lineRule="exact"/>
        <w:rPr>
          <w:rFonts w:ascii="Times New Roman" w:cs="Times New Roman" w:eastAsia="Times New Roman" w:hAnsi="Times New Roman"/>
          <w:sz w:val="18"/>
          <w:szCs w:val="18"/>
          <w:color w:val="auto"/>
        </w:rPr>
      </w:pPr>
    </w:p>
    <w:p>
      <w:pPr>
        <w:ind w:left="1080" w:righ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85" w:lineRule="exact"/>
        <w:rPr>
          <w:sz w:val="20"/>
          <w:szCs w:val="20"/>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intend to structure our corporate governance in a manner that we and Armada believe will closely align our interests with those of our shareholders following the Business Combination. Notable features of this corporate governance include that:</w:t>
      </w:r>
    </w:p>
    <w:p>
      <w:pPr>
        <w:spacing w:after="0" w:line="67" w:lineRule="exact"/>
        <w:rPr>
          <w:sz w:val="20"/>
          <w:szCs w:val="20"/>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implement a range of other corporate governance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expect that upon consummation of the Business Combination, five members of our board will be independent directors and our board will have audit, remuneration and nominating and corporate governance committees. We expect we will adopt standard practices of the United Kingdom with respect to the independence of directors serving on the remuneration and nominating and corporate governance committees.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expect our board of directors following the Business Combination to be comprised of eight directors (provided that Daniel Wagner shall have the right to appoint an additional director to the Board from time to time), five of whom will qualify as independent directors as defined in the Nasdaq listing requirements. Daniel Wagner will serve as the Chairman of the board of directors and Anthony Sharp will serve as deputy Chairman.</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060"/>
          </w:cols>
          <w:pgMar w:left="320" w:top="455" w:right="5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Business Combination, the board of directors has determined that Anthony Sharp, Sir David Wright, Stephen Perry, Derek Smith and Douglas Lurio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will be responsible for, among other things:</w:t>
      </w:r>
    </w:p>
    <w:p>
      <w:pPr>
        <w:spacing w:after="0" w:line="131" w:lineRule="exact"/>
        <w:rPr>
          <w:sz w:val="20"/>
          <w:szCs w:val="20"/>
          <w:color w:val="auto"/>
        </w:rPr>
      </w:pPr>
    </w:p>
    <w:p>
      <w:pPr>
        <w:ind w:left="1080" w:right="52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Rezolve’s audit committee will initially consist of Anthony Sharp, Derek Smith and Steve Perry, with Steve Perry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remuneration committee will be responsible for, among other things:</w:t>
      </w:r>
    </w:p>
    <w:p>
      <w:pPr>
        <w:spacing w:after="0" w:line="131" w:lineRule="exact"/>
        <w:rPr>
          <w:sz w:val="20"/>
          <w:szCs w:val="20"/>
          <w:color w:val="auto"/>
        </w:rPr>
      </w:pPr>
    </w:p>
    <w:p>
      <w:pPr>
        <w:ind w:left="1080" w:right="28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remuneration committee will initially consist of Anthony Sharp, Derek Smith and Steve Perry, with Steve Perry serving as the chair of the committee. Our board of directors will adopt a written terms of reference for the remuneration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initially consist of Anthony Sharp, Derek Wright and Derek Smith, with Derek Smith serving as the chair of the committee. Our board of directors will adopt a written terms of reference for the nominating and corporate governance committee, which will be available on our website after adoption.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Code of Ethics applicable to our directors, executive officers and team members that complies with the rules and regulations of the SEC and Nasdaq. The Code of Ethics will be available on our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Rezolve believes that these provisions, the insurance and the indemnity agreements are necessary to attract and retain talented and experienced officers and directors.</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the articles of association of Rezolve, see the section entitled “</w:t>
      </w:r>
      <w:r>
        <w:rPr>
          <w:rFonts w:ascii="Times New Roman" w:cs="Times New Roman" w:eastAsia="Times New Roman" w:hAnsi="Times New Roman"/>
          <w:sz w:val="18"/>
          <w:szCs w:val="18"/>
          <w:i w:val="1"/>
          <w:iCs w:val="1"/>
          <w:color w:val="auto"/>
        </w:rPr>
        <w:t>Description of Rezolve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and Articles of Association</w:t>
      </w:r>
      <w:r>
        <w:rPr>
          <w:rFonts w:ascii="Times New Roman" w:cs="Times New Roman" w:eastAsia="Times New Roman" w:hAnsi="Times New Roman"/>
          <w:sz w:val="18"/>
          <w:szCs w:val="18"/>
          <w:color w:val="auto"/>
        </w:rPr>
        <w:t>” of this proxy statement/prospectus, and for a summary of the indemnification agreement, see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“Indemnification Agreements with Officers and Directors”.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Douglas Lurio and Stephen Herbert)</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(Douglas Lurio and Stephen Herbert)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Rezolve will enter into letters of appointment with the above named non-executive directors on the same terms as set out above with the exception of the term of appointment, which will be for a period of one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 Long Term Incentive Plan</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aggregate number of Rezolve Ordinary Shares that will be available for issuance under the Rezolve Incentive Equity Plan will initially be equal to 15% of the fully diluted and issued equity securities post-Closing less any amount issued or reserved for issuance pursuant to any Other Arrangements.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the remuneration committee may make grants of awards under the Rezolve Incentive Equity Plan to key employees, in forms and amounts to be determined by the remuneration committee. The right to grant and determine who shall be granted one half of the awards has been delegated to Daniel Wagner. No final decisions have been made with respect to grants of equity awards under the Rezolve Incentive Equity Plan.</w:t>
      </w:r>
    </w:p>
    <w:p>
      <w:pPr>
        <w:spacing w:after="0" w:line="178" w:lineRule="exact"/>
        <w:rPr>
          <w:sz w:val="20"/>
          <w:szCs w:val="20"/>
          <w:color w:val="auto"/>
        </w:rPr>
      </w:pPr>
    </w:p>
    <w:p>
      <w:pPr>
        <w:jc w:val="center"/>
        <w:ind w:right="240"/>
        <w:spacing w:after="0" w:line="456" w:lineRule="auto"/>
        <w:rPr>
          <w:sz w:val="20"/>
          <w:szCs w:val="20"/>
          <w:color w:val="auto"/>
        </w:rPr>
      </w:pPr>
      <w:r>
        <w:rPr>
          <w:rFonts w:ascii="Times New Roman" w:cs="Times New Roman" w:eastAsia="Times New Roman" w:hAnsi="Times New Roman"/>
          <w:sz w:val="18"/>
          <w:szCs w:val="18"/>
          <w:color w:val="auto"/>
        </w:rPr>
        <w:t xml:space="preserve">For more information, please see “ </w:t>
      </w:r>
      <w:r>
        <w:rPr>
          <w:rFonts w:ascii="Times New Roman" w:cs="Times New Roman" w:eastAsia="Times New Roman" w:hAnsi="Times New Roman"/>
          <w:sz w:val="18"/>
          <w:szCs w:val="18"/>
          <w:i w:val="1"/>
          <w:iCs w:val="1"/>
          <w:color w:val="auto"/>
        </w:rPr>
        <w:t>Proposal No. 3—The Incentive Equity Plan Proposal</w:t>
      </w:r>
      <w:r>
        <w:rPr>
          <w:rFonts w:ascii="Times New Roman" w:cs="Times New Roman" w:eastAsia="Times New Roman" w:hAnsi="Times New Roman"/>
          <w:sz w:val="18"/>
          <w:szCs w:val="18"/>
          <w:color w:val="auto"/>
        </w:rPr>
        <w:t>” elsewhere in this proxy statement/prospectus. 264</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Compensation of Armada Prior to the Business Combination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080"/>
          </w:cols>
          <w:pgMar w:left="320" w:top="455" w:right="4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Armada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Armada as of June 24, 2024, by:</w:t>
      </w:r>
    </w:p>
    <w:p>
      <w:pPr>
        <w:spacing w:after="0" w:line="131" w:lineRule="exact"/>
        <w:rPr>
          <w:sz w:val="20"/>
          <w:szCs w:val="20"/>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outstanding shares of Armada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Armada’s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Armada’s executive officers and directors as a group.</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74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w w:val="99"/>
              </w:rPr>
              <w:t>Percent of Class</w:t>
            </w:r>
          </w:p>
        </w:tc>
        <w:tc>
          <w:tcPr>
            <w:tcW w:w="220" w:type="dxa"/>
            <w:vAlign w:val="bottom"/>
          </w:tcPr>
          <w:p>
            <w:pPr>
              <w:spacing w:after="0"/>
              <w:rPr>
                <w:sz w:val="17"/>
                <w:szCs w:val="17"/>
                <w:color w:val="auto"/>
              </w:rPr>
            </w:pP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7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840" w:type="dxa"/>
            <w:vAlign w:val="bottom"/>
          </w:tcPr>
          <w:p>
            <w:pPr>
              <w:jc w:val="center"/>
              <w:ind w:left="412"/>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220" w:type="dxa"/>
            <w:vAlign w:val="bottom"/>
          </w:tcPr>
          <w:p>
            <w:pPr>
              <w:spacing w:after="0"/>
              <w:rPr>
                <w:sz w:val="19"/>
                <w:szCs w:val="19"/>
                <w:color w:val="auto"/>
              </w:rPr>
            </w:pPr>
          </w:p>
        </w:tc>
      </w:tr>
      <w:tr>
        <w:trPr>
          <w:trHeight w:val="22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P. Herbert</w:t>
            </w:r>
          </w:p>
        </w:tc>
        <w:tc>
          <w:tcPr>
            <w:tcW w:w="2740" w:type="dxa"/>
            <w:vAlign w:val="bottom"/>
            <w:shd w:val="clear" w:color="auto" w:fill="CCEEFF"/>
          </w:tcPr>
          <w:p>
            <w:pPr>
              <w:jc w:val="right"/>
              <w:ind w:right="414"/>
              <w:spacing w:after="0" w:line="222"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Douglas M. Lurio</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5,392,000</w:t>
            </w:r>
            <w:r>
              <w:rPr>
                <w:rFonts w:ascii="Times New Roman" w:cs="Times New Roman" w:eastAsia="Times New Roman" w:hAnsi="Times New Roman"/>
                <w:sz w:val="25"/>
                <w:szCs w:val="25"/>
                <w:color w:val="auto"/>
                <w:vertAlign w:val="superscript"/>
              </w:rPr>
              <w:t>(2)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A. Khan</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Thomas A. Decker</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Celso L. White</w:t>
            </w:r>
          </w:p>
        </w:tc>
        <w:tc>
          <w:tcPr>
            <w:tcW w:w="2740" w:type="dxa"/>
            <w:vAlign w:val="bottom"/>
            <w:shd w:val="clear" w:color="auto" w:fill="CCEEFF"/>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65,000</w:t>
            </w:r>
            <w:r>
              <w:rPr>
                <w:rFonts w:ascii="Times New Roman" w:cs="Times New Roman" w:eastAsia="Times New Roman" w:hAnsi="Times New Roman"/>
                <w:sz w:val="25"/>
                <w:szCs w:val="25"/>
                <w:color w:val="auto"/>
                <w:vertAlign w:val="superscript"/>
              </w:rPr>
              <w:t>(3)</w:t>
            </w:r>
          </w:p>
        </w:tc>
        <w:tc>
          <w:tcPr>
            <w:tcW w:w="18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Armada Sponsor LLC</w:t>
            </w:r>
          </w:p>
        </w:tc>
        <w:tc>
          <w:tcPr>
            <w:tcW w:w="274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7"/>
                <w:szCs w:val="17"/>
                <w:color w:val="auto"/>
              </w:rPr>
              <w:t>5,342,000</w:t>
            </w:r>
            <w:r>
              <w:rPr>
                <w:rFonts w:ascii="Times New Roman" w:cs="Times New Roman" w:eastAsia="Times New Roman" w:hAnsi="Times New Roman"/>
                <w:sz w:val="25"/>
                <w:szCs w:val="25"/>
                <w:color w:val="auto"/>
                <w:vertAlign w:val="superscript"/>
              </w:rPr>
              <w:t>(4)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(five</w:t>
            </w:r>
          </w:p>
        </w:tc>
        <w:tc>
          <w:tcPr>
            <w:tcW w:w="27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individuals)</w:t>
            </w:r>
          </w:p>
        </w:tc>
        <w:tc>
          <w:tcPr>
            <w:tcW w:w="2740" w:type="dxa"/>
            <w:vAlign w:val="bottom"/>
            <w:shd w:val="clear" w:color="auto" w:fill="CCEEFF"/>
          </w:tcPr>
          <w:p>
            <w:pPr>
              <w:jc w:val="right"/>
              <w:ind w:right="414"/>
              <w:spacing w:after="0" w:line="235" w:lineRule="exact"/>
              <w:rPr>
                <w:sz w:val="20"/>
                <w:szCs w:val="20"/>
                <w:color w:val="auto"/>
              </w:rPr>
            </w:pPr>
            <w:r>
              <w:rPr>
                <w:rFonts w:ascii="Times New Roman" w:cs="Times New Roman" w:eastAsia="Times New Roman" w:hAnsi="Times New Roman"/>
                <w:sz w:val="18"/>
                <w:szCs w:val="18"/>
                <w:color w:val="auto"/>
              </w:rPr>
              <w:t>5,547,000</w:t>
            </w:r>
            <w:r>
              <w:rPr>
                <w:rFonts w:ascii="Times New Roman" w:cs="Times New Roman" w:eastAsia="Times New Roman" w:hAnsi="Times New Roman"/>
                <w:sz w:val="26"/>
                <w:szCs w:val="26"/>
                <w:color w:val="auto"/>
                <w:vertAlign w:val="superscript"/>
              </w:rPr>
              <w:t>(5)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right="80" w:hanging="424"/>
        <w:spacing w:after="0" w:line="214" w:lineRule="auto"/>
        <w:tabs>
          <w:tab w:leader="none" w:pos="540" w:val="left"/>
        </w:tabs>
        <w:numPr>
          <w:ilvl w:val="0"/>
          <w:numId w:val="2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jc w:val="both"/>
        <w:ind w:left="540" w:right="160" w:hanging="424"/>
        <w:spacing w:after="0" w:line="214" w:lineRule="auto"/>
        <w:tabs>
          <w:tab w:leader="none" w:pos="540" w:val="left"/>
        </w:tabs>
        <w:numPr>
          <w:ilvl w:val="0"/>
          <w:numId w:val="2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w:t>
      </w:r>
    </w:p>
    <w:p>
      <w:pPr>
        <w:spacing w:after="0" w:line="2" w:lineRule="exact"/>
        <w:rPr>
          <w:rFonts w:ascii="Times New Roman" w:cs="Times New Roman" w:eastAsia="Times New Roman" w:hAnsi="Times New Roman"/>
          <w:sz w:val="27"/>
          <w:szCs w:val="27"/>
          <w:color w:val="auto"/>
          <w:vertAlign w:val="superscript"/>
        </w:rPr>
      </w:pPr>
    </w:p>
    <w:p>
      <w:pPr>
        <w:ind w:left="540" w:right="100" w:hanging="424"/>
        <w:spacing w:after="0" w:line="222" w:lineRule="auto"/>
        <w:tabs>
          <w:tab w:leader="none" w:pos="540" w:val="left"/>
        </w:tabs>
        <w:numPr>
          <w:ilvl w:val="0"/>
          <w:numId w:val="2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35,000 shares held directly by each of them and 30,000 shares owned of record by the sponsor which are beneficially owned by each of them. Does not include (i) 30,000 shares beneficially owned by each of them which vest on the earlier of December 1, 2023 or the closing of the initial Business Combination or (ii) 30,000 shares beneficially owned by each of them which vest on the earlier of June 1, 2024 or the closing of the initial Business Combination.</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237" w:lineRule="auto"/>
        <w:tabs>
          <w:tab w:leader="none" w:pos="540" w:val="left"/>
        </w:tabs>
        <w:numPr>
          <w:ilvl w:val="0"/>
          <w:numId w:val="28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The Polar Subscription Agreement, which was entered into effective as of December 12, 2023, provides that Polar will make certain Investor Capital Contributions from time to time, at the request of the Sponsor, subject to the</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70" w:lineRule="auto"/>
        <w:rPr>
          <w:sz w:val="20"/>
          <w:szCs w:val="20"/>
          <w:color w:val="auto"/>
        </w:rPr>
      </w:pPr>
      <w:r>
        <w:rPr>
          <w:rFonts w:ascii="Times New Roman" w:cs="Times New Roman" w:eastAsia="Times New Roman" w:hAnsi="Times New Roman"/>
          <w:sz w:val="17"/>
          <w:szCs w:val="17"/>
          <w:color w:val="auto"/>
        </w:rPr>
        <w:t>terms and conditions of the Polar Subscription Agreement, to the Sponsor to meet the Sponsor’s commitment to fund the Company’s working capital needs. In exchange for the commitment of Polar to provide certain Investor Capital Contributions, (i) the Sponsor will transfer 880,000 shares of common stock, par value $0.0001 per share, to Polar at the closing of its initial business combination; and (ii) upon repayment of working capital loans by the Company, the Sponsor will return the Investor Capital Contributions at the closing of an initial business combination.</w:t>
      </w:r>
    </w:p>
    <w:p>
      <w:pPr>
        <w:spacing w:after="0" w:line="3" w:lineRule="exact"/>
        <w:rPr>
          <w:sz w:val="20"/>
          <w:szCs w:val="20"/>
          <w:color w:val="auto"/>
        </w:rPr>
      </w:pPr>
    </w:p>
    <w:p>
      <w:pPr>
        <w:ind w:left="540" w:right="160" w:hanging="424"/>
        <w:spacing w:after="0" w:line="200" w:lineRule="auto"/>
        <w:tabs>
          <w:tab w:leader="none" w:pos="540" w:val="left"/>
        </w:tabs>
        <w:numPr>
          <w:ilvl w:val="0"/>
          <w:numId w:val="2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(i) 459,500 Private Placement Shares held of record by the sponsor, (ii) 4,882,500 Founder Shares held of record by the sponsor, and (iii) 205,000 shares held of record by Armada’s directors and officers.</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Rezolve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Rezolve Ordinary Shares as of the Record Date and immediately following consummation of the Business Combination by:</w:t>
      </w:r>
    </w:p>
    <w:p>
      <w:pPr>
        <w:spacing w:after="0" w:line="67" w:lineRule="exact"/>
        <w:rPr>
          <w:sz w:val="20"/>
          <w:szCs w:val="20"/>
          <w:color w:val="auto"/>
        </w:rPr>
      </w:pPr>
    </w:p>
    <w:p>
      <w:pPr>
        <w:ind w:left="1080" w:right="640" w:hanging="424"/>
        <w:spacing w:after="0" w:line="282"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 the beneficial owner of more than 5% of the outstanding Rezolve Ordinary Shares immediately following the Closing;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become a named executive officer or director of Rezolve following the Closing;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Rezolve following the Closing, as a group.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expected beneficial ownership of Rezolve’s Ordinary Shares post-combination assumes two scenarios:</w:t>
      </w:r>
    </w:p>
    <w:p>
      <w:pPr>
        <w:spacing w:after="0" w:line="131" w:lineRule="exact"/>
        <w:rPr>
          <w:sz w:val="20"/>
          <w:szCs w:val="20"/>
          <w:color w:val="auto"/>
        </w:rPr>
      </w:pPr>
    </w:p>
    <w:p>
      <w:pPr>
        <w:ind w:left="1080" w:right="420" w:hanging="424"/>
        <w:spacing w:after="0" w:line="282"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Minimum Redemptions: This presentation assumes that no public shareholders of Armada exercise redemption rights with respect to their public shares for a pro rata share of cash in the Trust Account.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Max Redemptions: This presentation assumes that all shares of Armada common stock are redeemed for their pro rata share of the cash in the Trust Account in connection with the Armada Share Redemptions. This scenario gives effect to Armada Share Redemptions of 1,417,687 shares of Armada common stock for aggregate redemption payments of $15,554,172 million at a redemption price of approximately $10.97 per share based on the investments held in the Trust Account as of         .</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Based on the foregoing assumptions, we estimate that there would be 173,483,160 Rezolve Ordinary Shares issued and outstanding immediately following the Closing in the “minimum redemption” scenario, and 172,065,473 Rezolve Ordinary Shares issued and outstanding immediately following 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presented in the table below is as of June 24, 2024. Unless otherwise indicated, Rezolve believes that all persons named in the table below have sole voting and investment power with respect to the securities beneficially owned by them.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Pre-Business</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Post-Business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(1)(7)</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20" w:type="dxa"/>
            <w:vAlign w:val="bottom"/>
            <w:tcBorders>
              <w:top w:val="single" w:sz="8" w:color="auto"/>
            </w:tcBorders>
            <w:gridSpan w:val="4"/>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Assuming Minimum</w:t>
            </w:r>
          </w:p>
        </w:tc>
        <w:tc>
          <w:tcPr>
            <w:tcW w:w="1540" w:type="dxa"/>
            <w:vAlign w:val="bottom"/>
            <w:tcBorders>
              <w:top w:val="single" w:sz="8" w:color="auto"/>
            </w:tcBorders>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w:t>
            </w: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Shareholder</w:t>
            </w:r>
          </w:p>
        </w:tc>
        <w:tc>
          <w:tcPr>
            <w:tcW w:w="1020" w:type="dxa"/>
            <w:vAlign w:val="bottom"/>
            <w:gridSpan w:val="2"/>
            <w:vMerge w:val="continue"/>
          </w:tcPr>
          <w:p>
            <w:pPr>
              <w:spacing w:after="0"/>
              <w:rPr>
                <w:sz w:val="10"/>
                <w:szCs w:val="10"/>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0"/>
                <w:szCs w:val="10"/>
                <w:color w:val="auto"/>
              </w:rPr>
            </w:pPr>
          </w:p>
        </w:tc>
        <w:tc>
          <w:tcPr>
            <w:tcW w:w="152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54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00" w:type="dxa"/>
            <w:vAlign w:val="bottom"/>
            <w:gridSpan w:val="2"/>
            <w:vMerge w:val="continue"/>
          </w:tcPr>
          <w:p>
            <w:pPr>
              <w:spacing w:after="0"/>
              <w:rPr>
                <w:sz w:val="15"/>
                <w:szCs w:val="15"/>
                <w:color w:val="auto"/>
              </w:rPr>
            </w:pPr>
          </w:p>
        </w:tc>
        <w:tc>
          <w:tcPr>
            <w:tcW w:w="102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5% Holders</w:t>
            </w:r>
          </w:p>
        </w:tc>
        <w:tc>
          <w:tcPr>
            <w:tcW w:w="36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DBLP Sea Cow Limited</w:t>
            </w:r>
            <w:r>
              <w:rPr>
                <w:rFonts w:ascii="Times New Roman" w:cs="Times New Roman" w:eastAsia="Times New Roman" w:hAnsi="Times New Roman"/>
                <w:sz w:val="23"/>
                <w:szCs w:val="23"/>
                <w:color w:val="auto"/>
                <w:vertAlign w:val="superscript"/>
              </w:rPr>
              <w:t>(2)</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35,704,519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20.58</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35,704,519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20.75</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Igor Lychagov</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20.04</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34,771,000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Brooks Newmark</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8.80</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15,262,826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8.87</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Apeiron Investment Group Limited</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6.58</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11,421,286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Aston Wagner</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5.73</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Cocoa Wagner</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5.73</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9,955,060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Armada Sponsor LLC</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5,342,000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74.95%</w:t>
            </w:r>
          </w:p>
        </w:tc>
        <w:tc>
          <w:tcPr>
            <w:tcW w:w="152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6"/>
                <w:szCs w:val="16"/>
                <w:color w:val="auto"/>
              </w:rPr>
              <w:t>3,715,943</w:t>
            </w:r>
            <w:r>
              <w:rPr>
                <w:rFonts w:ascii="Times New Roman" w:cs="Times New Roman" w:eastAsia="Times New Roman" w:hAnsi="Times New Roman"/>
                <w:sz w:val="23"/>
                <w:szCs w:val="23"/>
                <w:color w:val="auto"/>
                <w:vertAlign w:val="superscript"/>
              </w:rPr>
              <w:t>(3)(4)(5)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2.14</w:t>
            </w:r>
          </w:p>
        </w:tc>
        <w:tc>
          <w:tcPr>
            <w:tcW w:w="15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6"/>
                <w:szCs w:val="16"/>
                <w:color w:val="auto"/>
              </w:rPr>
              <w:t>3,715,943</w:t>
            </w:r>
            <w:r>
              <w:rPr>
                <w:rFonts w:ascii="Times New Roman" w:cs="Times New Roman" w:eastAsia="Times New Roman" w:hAnsi="Times New Roman"/>
                <w:sz w:val="23"/>
                <w:szCs w:val="23"/>
                <w:color w:val="auto"/>
                <w:vertAlign w:val="superscript"/>
              </w:rPr>
              <w:t>(3)(4)(5)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177"/>
        </w:trPr>
        <w:tc>
          <w:tcPr>
            <w:tcW w:w="4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i w:val="1"/>
                <w:iCs w:val="1"/>
                <w:color w:val="auto"/>
              </w:rPr>
              <w:t>Directors and Executive Officers of Rezolve Post-Proposed</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i w:val="1"/>
                <w:iCs w:val="1"/>
                <w:color w:val="auto"/>
              </w:rPr>
              <w:t>Transactions</w:t>
            </w: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Daniel Wagner</w:t>
            </w:r>
            <w:r>
              <w:rPr>
                <w:rFonts w:ascii="Times New Roman" w:cs="Times New Roman" w:eastAsia="Times New Roman" w:hAnsi="Times New Roman"/>
                <w:sz w:val="23"/>
                <w:szCs w:val="23"/>
                <w:color w:val="auto"/>
                <w:vertAlign w:val="superscript"/>
              </w:rPr>
              <w:t>(8)</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2.70</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4,698,504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John Wagner</w:t>
            </w:r>
            <w:r>
              <w:rPr>
                <w:rFonts w:ascii="Times New Roman" w:cs="Times New Roman" w:eastAsia="Times New Roman" w:hAnsi="Times New Roman"/>
                <w:sz w:val="23"/>
                <w:szCs w:val="23"/>
                <w:color w:val="auto"/>
                <w:vertAlign w:val="superscript"/>
              </w:rPr>
              <w:t>(2)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815,989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Anthony Sharp</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1,879,352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Sir David Wright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489,593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Perry</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554,872</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Smith</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Lurio</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2.17</w:t>
            </w:r>
          </w:p>
        </w:tc>
        <w:tc>
          <w:tcPr>
            <w:tcW w:w="1540" w:type="dxa"/>
            <w:vAlign w:val="bottom"/>
            <w:gridSpan w:val="2"/>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5,392,000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75.65%</w:t>
            </w:r>
          </w:p>
        </w:tc>
        <w:tc>
          <w:tcPr>
            <w:tcW w:w="1520" w:type="dxa"/>
            <w:vAlign w:val="bottom"/>
            <w:gridSpan w:val="2"/>
            <w:shd w:val="clear" w:color="auto" w:fill="CCEEFF"/>
          </w:tcPr>
          <w:p>
            <w:pPr>
              <w:jc w:val="right"/>
              <w:ind w:right="40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2.17</w:t>
            </w:r>
          </w:p>
        </w:tc>
        <w:tc>
          <w:tcPr>
            <w:tcW w:w="1540" w:type="dxa"/>
            <w:vAlign w:val="bottom"/>
            <w:gridSpan w:val="2"/>
            <w:shd w:val="clear" w:color="auto" w:fill="CCEEFF"/>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3,765,948</w:t>
            </w:r>
            <w:r>
              <w:rPr>
                <w:rFonts w:ascii="Times New Roman" w:cs="Times New Roman" w:eastAsia="Times New Roman" w:hAnsi="Times New Roman"/>
                <w:sz w:val="23"/>
                <w:szCs w:val="23"/>
                <w:color w:val="auto"/>
                <w:vertAlign w:val="superscript"/>
              </w:rPr>
              <w:t>(3)(7)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Vesco</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1,142,384</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Burchill</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Sauvik Banerjjee</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(individuals)</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15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6.19</w:t>
            </w:r>
          </w:p>
        </w:tc>
        <w:tc>
          <w:tcPr>
            <w:tcW w:w="15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13,396,637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0" w:hanging="424"/>
        <w:spacing w:after="0" w:line="250" w:lineRule="auto"/>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Limited is wholly legally owned by Daniel Wagner and is wholly beneficially owned by John Wagner.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713,057 Founder Shares are allocated to the Non-Redeeming Stockholders by the Sponsor pursuant to the Non-Redemption Agreements.</w:t>
      </w:r>
    </w:p>
    <w:p>
      <w:pPr>
        <w:spacing w:after="0" w:line="9" w:lineRule="exact"/>
        <w:rPr>
          <w:rFonts w:ascii="Times New Roman" w:cs="Times New Roman" w:eastAsia="Times New Roman" w:hAnsi="Times New Roman"/>
          <w:sz w:val="18"/>
          <w:szCs w:val="18"/>
          <w:color w:val="auto"/>
        </w:rPr>
      </w:pPr>
    </w:p>
    <w:p>
      <w:pPr>
        <w:ind w:left="540" w:right="440" w:hanging="424"/>
        <w:spacing w:after="0" w:line="250" w:lineRule="auto"/>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459,500 Private Placement Shares, (ii) 4,169, 500 Founder Shares, and (iii) 205,000 shares of Armada Common Stock held by Armada’s directors and officers.</w:t>
      </w:r>
    </w:p>
    <w:p>
      <w:pPr>
        <w:ind w:left="540" w:right="100" w:hanging="424"/>
        <w:spacing w:after="0" w:line="250" w:lineRule="auto"/>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880,000 Founder Shares are allocated to Polar by the Sponsor pursuant to the Polar Subscription Agreement and 33,000 Founder Shares are allocated pursuant to a subscription agreement with an entity related to the Sponsor.</w:t>
      </w:r>
    </w:p>
    <w:p>
      <w:pPr>
        <w:jc w:val="both"/>
        <w:ind w:left="540" w:right="120" w:hanging="424"/>
        <w:spacing w:after="0" w:line="250" w:lineRule="auto"/>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Douglas Lurio directly and 3,715,943 shares of Armada Common Stock held by the Sponsor, of which Douglas Lurio and Stephen Herbert are managing members. Accordingly, all securities held by the Sponsor may ultimately be deemed to be beneficially held by Stephen Herbert and Douglas Lurio.</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shares of Armada Common Stock held by Stephen Herbert directly and 3,715,943 shares of Armada Common Stock held by the Sponsor, of which Stephen Herbert and Douglas Lurio are managing members. Accordingly, all securities held by the Sponsor may ultimately be deemed to be beneficially held by Stephen Herbert and Douglas Lurio.</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7"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w:t>
      </w:r>
    </w:p>
    <w:p>
      <w:pPr>
        <w:spacing w:after="0" w:line="1"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estimated number of Resolve Ordinary Shares issued and outstanding immediately following the Closing is not available as of the date of this proxy statement/prospectus, Daniel Wagner is expected to have the right to vote at least 75% of the outstanding shares.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00"/>
          </w:cols>
          <w:pgMar w:left="320" w:top="455" w:right="4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Closing, Rezolve will have         Rezolve Ordinary Shares, nominal value of £0.0001 each, authorized and, based on the assumptions set out elsewhere in this proxy statement/prospectus, up to 173,483,160 Rezolve Ordinary Shares issued and outstanding, assuming no shares of Armada Common Stock are redeemed in connection with the Business Combination and 5,547,000 shares held by the Armada Initial Shareholders that will be subject to certain lock-up arrangements. In addition, Rezolve is expected to have 7,500,000 Rezolve Warrants issued and outstanding, each Rezolve Warrant exercisable for one Rezolve Ordinary Share at         per share. All of the Rezolve Ordinary Shares issued to the Armada stockholders in connection with the Business Combination will be freely transferable by persons other than by Rezolve’s “affiliates” or Armada’s “affiliates” without restriction or further registration under the Securities Act.</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040"/>
          </w:cols>
          <w:pgMar w:left="320" w:top="455" w:right="5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540" w:firstLine="2554"/>
        <w:spacing w:after="0" w:line="440" w:lineRule="auto"/>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Armada Related Person Transactions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8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Times New Roman" w:cs="Times New Roman" w:eastAsia="Times New Roman" w:hAnsi="Times New Roman"/>
          <w:sz w:val="18"/>
          <w:szCs w:val="18"/>
          <w:i w:val="1"/>
          <w:iCs w:val="1"/>
          <w:color w:val="auto"/>
        </w:rPr>
        <w:t>The Business Combination Proposal — Ancillary Agreements — Investor Rights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per month for these services. Armada believes, based on rents and fees for similar services, that these fees are at least as favorable as it could have obtained from an unaffiliated person.</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9, 2022, the Armada’s sponsor loaned Armada the aggregate amount of $483,034 in order to assist Armada to fund its working capital needs. The loan is evidenced by two promissory notes in the aggregate principal amount of $483,034 from Armada, as maker, to Armada’s sponsor, as payee.</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July 2022, Armada fully repaid one of the promissory notes in the amount of $187,034 which represented monies loaned to Armada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of Delaware franchise taxes. Armada utilized the interest earned on the trust account to repay the promissory note. Armada also paid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$44,246 on behalf of Armada’s sponsor for tax services in August and September 2022. The aggregate balance outstanding under all promissory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$2,201,754 and $251,754 as of March 31, 2023 and September 30, 2022, respectively.</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Armada has entered into agreements with our officers and directors to provide contractual indemnification in addition to the indemnification provided for in its amended and restated certificate of incorporation.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76"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Policy Regarding Transactions with Related Persons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w:t>
      </w:r>
    </w:p>
    <w:p>
      <w:pPr>
        <w:spacing w:after="0" w:line="18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62"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Related Person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related-party transactions that Rezolve has entered into since January 1, 2019.</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(“DBLP”),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or before Closing, Rezolve shall enter into indemnification agreements with each of its directors and officers. The agreements will provide the indemnitees with contractual rights to indemnification and expense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060"/>
          </w:cols>
          <w:pgMar w:left="320" w:top="455"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85" w:lineRule="exact"/>
        <w:rPr>
          <w:sz w:val="20"/>
          <w:szCs w:val="20"/>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Related to the Business Combination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parties entered into a number of agreements, including the Transaction Support Agreements, the Convertible Loan Subscription Agreement, and the Investors’ Rights Agreement. For further information, see “Business Combination Proposal.”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REZOLVE ORDINARY SHARES, ARTICLES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Description of Rezolve Ordinary Shares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Rezolve Ordinary Shares to be issued in connection with the Merger will comprise a single class of ordinary shares with a nominal value of £0.0001 each.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information is a summary of Rezolve Shares:</w:t>
      </w:r>
    </w:p>
    <w:p>
      <w:pPr>
        <w:spacing w:after="0" w:line="131" w:lineRule="exact"/>
        <w:rPr>
          <w:sz w:val="20"/>
          <w:szCs w:val="20"/>
          <w:color w:val="auto"/>
        </w:rPr>
      </w:pPr>
    </w:p>
    <w:p>
      <w:pPr>
        <w:ind w:left="1080" w:hanging="424"/>
        <w:spacing w:after="0"/>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carry the right to receive dividends and distributions paid by Rezolve, if any.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85"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Rezolve Shares.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may convert Rezolve Shares into deferred shares of £0.0001 each (or other nominal value)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80"/>
          </w:cols>
          <w:pgMar w:left="320" w:top="455" w:right="4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Armada has in issue a number of Armada Units consisting of one share of Armada Common Stock and one-half of one redeemable Armada Warrant (which trades on Nasdaq under the symbol “AACIW”). Each whole Armada Warrant entitles the holder to purchase one share of Armada Common Stock at a price of $11.50 per share, subject to adjustment. Pursuant to the Business Combination Agreement, upon the consummation of the Business Combination, each issued and outstanding Armada Warrant immediately prior to the Merger Effective Time will be exchanged for one Rezolve Warrant. The Rezolve Warrants will be on terms substantially the same as the terms of the existing Armada Warrants (other than terms in the latter that refer to the Business Combination and other than where incompatible with English law), and which are summarized below.</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Rezolve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not be obligated to deliver any Rezolve Ordinary Shares pursuant to the exercise of a warrant and will have no obligation to settle such warrant exercise unless a registration statement under the Securities Act with respect to the Rezolve Ordinary Shares underlying the warrants is then effective and a prospectus relating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77" w:lineRule="auto"/>
        <w:rPr>
          <w:sz w:val="20"/>
          <w:szCs w:val="20"/>
          <w:color w:val="auto"/>
        </w:rPr>
      </w:pPr>
      <w:r>
        <w:rPr>
          <w:rFonts w:ascii="Times New Roman" w:cs="Times New Roman" w:eastAsia="Times New Roman" w:hAnsi="Times New Roman"/>
          <w:sz w:val="17"/>
          <w:szCs w:val="17"/>
          <w:color w:val="auto"/>
        </w:rPr>
        <w:t>thereto is current, subject to our satisfying our obligations described below with respect to registration. No warrant will be exercisable and we will not be obligated to issue a Rezolve Ordinary Share upon exercise of a warrant unless the Rezolve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6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Rezolve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Rezolve Warrant Agreement which will then apply to the Rezolve Warrants.</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Rezolve Warrants when the price per Rezolve Ordinary Share equals or exceeds $18.00.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 (subject to any restrictions under the UK Companies Act):</w:t>
      </w:r>
    </w:p>
    <w:p>
      <w:pPr>
        <w:spacing w:after="0" w:line="66" w:lineRule="exact"/>
        <w:rPr>
          <w:sz w:val="20"/>
          <w:szCs w:val="20"/>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Rezolve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Rezolve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No fractional Rezolve Ordinary Shares will be issued upon exercise. If, upon exercise, a holder would be entitled to receive a fractional interest in a share, we will round down to the nearest whole number of Rezolve Ordinary Shares to be issued to the holder. If, at the time of redemption, the warrants are exercisable for a security other than the Rezolve Ordinary Shares pursuant to the applicable Warrant Agreement, the warrants may be exercised for such security. At such time as the warrants become exercisable for a security other than the Rezolve Ordinary Shares, Rezolve (or surviving company) will use its commercially reasonable efforts to register under the Securities Act the security issuable upon the exercise of the warrants</w:t>
      </w:r>
    </w:p>
    <w:p>
      <w:pPr>
        <w:spacing w:after="0" w:line="18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Rezolve Ordinary Shares outstanding immediately after giving effect to such exercise.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Rezolve Ordinary Shares is increased by a stock dividend payable in Rezolve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by a split up of common stock or other similar event, then, on the effective date of such share capitalization, sub-division or similar event, the number of Rezolve Ordinary Shares issuable on exercise of each warrant will be increased in proportion to such increase in the outstanding shares of common stock. A rights offering made to all or substantially all holders of common stock entitling holders to purchase Rezolve Ordinary Shares at a price less than the fair market value will be deemed a share capitalization of a number of Rezolve Ordinary Shares equal to the product of (i) the number of Rezolve Ordinary Shares actually sold in such rights offering (or issuable under any other equity securities sold in such rights offering that are convertible into or exercisable for Rezolve Ordinary Shares) and (ii) one minus the quotient of (x) the price per Rezolve Ordinary Share paid in such rights offering and (y) the fair market value. For these purposes (i) if the rights offering is for securities convertible into or exercisable for Rezolve Ordinary Shares, in determining the price payable for Rezolve Ordinary Shares, there will be taken into account any consideration received for such rights, as well as any additional amount payable upon exercise or conversion and (ii) fair market value means the volume weighted average price of Rezolve Ordinary Shares as reported during the ten (10) trading day period ending on the trading day prior to the first date on which the Rezolve Ordinary Shares trade on the applicable exchange or in the applicable market, regular way, without the right to receive such rights.</w:t>
      </w:r>
    </w:p>
    <w:p>
      <w:pPr>
        <w:spacing w:after="0" w:line="19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the number of outstanding Rezolve Ordinary Shares is decreased by a consolidation, combination, reverse stock split or reclassification of Rezolve Ordinary Shares or other similar event, then, on the effective date of such consolidation, combination, reverse share sub-division, reclassification or similar event, the number of Rezolve Ordinary Shares issuable on exercise of each warrant will be decreased in proportion to such decrease in outstanding Rezolve Ordinary Shares.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Rezolve Ordinary Shares purchasable upon the exercise of the warrants is adjusted, as described above, the warrant exercise price will be adjusted by multiplying the warrant exercise price immediately prior to such adjustment by a fraction (x) the numerator of which will be the number of Rezolve Ordinary Shares purchasable upon the exercise of the warrants immediately prior to such adjustment, and (y) the denominator of which will be the number of Rezolve Ordinary Shares so purchasable immediately thereafter.</w:t>
      </w:r>
    </w:p>
    <w:p>
      <w:pPr>
        <w:spacing w:after="0" w:line="180"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Rezolve Ordinary Shares (other than those described above or that solely affects the par value of such Rezolve Ordinary Shares), or in the case of any merger or consolidation of us with or into another corporation (other than a consolidation or merger in which we are the continuing corporation and that does not result in any reclassification or reorganization of our issued and outstanding Rezolve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Rezolve Ordinary Shares immediately theretofore purchasable and receivable upon the exercise of the rights represented thereby, the kind and amount of Rezolve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7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Rezolve Ordinary Shares and any voting rights until they exercise their warrants and receive Rezolve Ordinary Shares. After the issuance of Rezolve Ordinary Shares upon exercise of the warrants, each holder will be entitled to one vote for each share held of record on all matters to be voted on by shareholders.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Armada Warrant Agreement will be brought and enforced in the courts of the State of New York or the United States District Court for the Southern District of New York, and we irrevocably submit to such jurisdiction, which jurisdiction will be the exclusive forums for any such action, proceeding or claim. See “</w:t>
      </w:r>
      <w:r>
        <w:rPr>
          <w:rFonts w:ascii="Times New Roman" w:cs="Times New Roman" w:eastAsia="Times New Roman" w:hAnsi="Times New Roman"/>
          <w:sz w:val="18"/>
          <w:szCs w:val="18"/>
          <w:i w:val="1"/>
          <w:iCs w:val="1"/>
          <w:color w:val="auto"/>
        </w:rPr>
        <w:t>Risk Factors—The Armada Warrant Agreement designates the courts of the State of New York or the United States District Court for the Southern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District of New York as the sole and exclusive forums for certain types of actions and proceedings that may be initiated by holders of Rezolve Warrants, which could limit the ability of warrant holders to obtain a favorable judicial forum for disputes with Rezolve.</w:t>
      </w:r>
      <w:r>
        <w:rPr>
          <w:rFonts w:ascii="Times New Roman" w:cs="Times New Roman" w:eastAsia="Times New Roman" w:hAnsi="Times New Roman"/>
          <w:sz w:val="18"/>
          <w:szCs w:val="18"/>
          <w:color w:val="auto"/>
        </w:rPr>
        <w:t>” This provision applies to claims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Act but does not apply to claims under the Exchange Act or any claim for which the federal district courts of the United States of America are the sole and exclusive forum.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Rezolve Shares as specified in the Articles. The following summary does not purport to be complete and is qualified in its entirety by reference to the Articles.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67" w:lineRule="exact"/>
        <w:rPr>
          <w:sz w:val="20"/>
          <w:szCs w:val="20"/>
          <w:color w:val="auto"/>
        </w:rPr>
      </w:pPr>
    </w:p>
    <w:p>
      <w:pPr>
        <w:ind w:left="1080" w:hanging="532"/>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060"/>
          </w:cols>
          <w:pgMar w:left="320" w:top="455" w:right="51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31" w:lineRule="exact"/>
        <w:rPr>
          <w:sz w:val="20"/>
          <w:szCs w:val="20"/>
          <w:color w:val="auto"/>
        </w:rPr>
      </w:pPr>
    </w:p>
    <w:p>
      <w:pPr>
        <w:ind w:left="1080" w:right="120" w:hanging="424"/>
        <w:spacing w:after="0" w:line="282" w:lineRule="auto"/>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7" w:lineRule="exact"/>
        <w:rPr>
          <w:sz w:val="20"/>
          <w:szCs w:val="20"/>
          <w:color w:val="auto"/>
        </w:rPr>
      </w:pPr>
    </w:p>
    <w:p>
      <w:pPr>
        <w:ind w:left="1080" w:right="180" w:hanging="424"/>
        <w:spacing w:after="0" w:line="282" w:lineRule="auto"/>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93" w:lineRule="exact"/>
        <w:rPr>
          <w:sz w:val="20"/>
          <w:szCs w:val="20"/>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81" w:lineRule="exact"/>
        <w:rPr>
          <w:sz w:val="20"/>
          <w:szCs w:val="20"/>
          <w:color w:val="auto"/>
        </w:rPr>
      </w:pPr>
    </w:p>
    <w:p>
      <w:pPr>
        <w:ind w:left="1080" w:right="80" w:hanging="424"/>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(“UK GDPR”)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0880"/>
          </w:cols>
          <w:pgMar w:left="320" w:top="455" w:right="6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RIGHTS OF ARMADA STOCKHOLDERS AND REZOLVE SHAREHOLDERS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 For a summary of the Articles, see the section entitled “</w:t>
      </w:r>
      <w:r>
        <w:rPr>
          <w:rFonts w:ascii="Times New Roman" w:cs="Times New Roman" w:eastAsia="Times New Roman" w:hAnsi="Times New Roman"/>
          <w:sz w:val="18"/>
          <w:szCs w:val="18"/>
          <w:i w:val="1"/>
          <w:iCs w:val="1"/>
          <w:color w:val="auto"/>
        </w:rPr>
        <w:t>Description of Rezolve’s Securities</w:t>
      </w:r>
      <w:r>
        <w:rPr>
          <w:rFonts w:ascii="Times New Roman" w:cs="Times New Roman" w:eastAsia="Times New Roman" w:hAnsi="Times New Roman"/>
          <w:sz w:val="18"/>
          <w:szCs w:val="18"/>
          <w:color w:val="auto"/>
        </w:rPr>
        <w:t>” in this proxy statement/prospectus.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to “shareholder” or “shareholders” means the person(s) whose name(s) appear on a company’s register of members and who are the legal owners of the shares concerned.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10"/>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Shareholder Meetings</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 Held at such time or place as designated in the articles of association, or</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 Held at such time or place as designated in the certificate of</w:t>
            </w:r>
          </w:p>
        </w:tc>
      </w:tr>
      <w:tr>
        <w:trPr>
          <w:trHeight w:val="216"/>
        </w:trPr>
        <w:tc>
          <w:tcPr>
            <w:tcW w:w="260" w:type="dxa"/>
            <w:vAlign w:val="bottom"/>
          </w:tcPr>
          <w:p>
            <w:pPr>
              <w:spacing w:after="0"/>
              <w:rPr>
                <w:sz w:val="18"/>
                <w:szCs w:val="18"/>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not so designated, as determined by the board of directors, or if</w:t>
            </w:r>
          </w:p>
        </w:tc>
        <w:tc>
          <w:tcPr>
            <w:tcW w:w="320" w:type="dxa"/>
            <w:vAlign w:val="bottom"/>
          </w:tcPr>
          <w:p>
            <w:pPr>
              <w:spacing w:after="0"/>
              <w:rPr>
                <w:sz w:val="18"/>
                <w:szCs w:val="18"/>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or the by-laws, or if not so designated, as</w:t>
            </w:r>
          </w:p>
        </w:tc>
      </w:tr>
      <w:tr>
        <w:trPr>
          <w:trHeight w:val="234"/>
        </w:trPr>
        <w:tc>
          <w:tcPr>
            <w:tcW w:w="260" w:type="dxa"/>
            <w:vAlign w:val="bottom"/>
          </w:tcPr>
          <w:p>
            <w:pPr>
              <w:spacing w:after="0"/>
              <w:rPr>
                <w:sz w:val="20"/>
                <w:szCs w:val="20"/>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necessary, by the chair of the meeting</w:t>
            </w:r>
          </w:p>
        </w:tc>
        <w:tc>
          <w:tcPr>
            <w:tcW w:w="320" w:type="dxa"/>
            <w:vAlign w:val="bottom"/>
          </w:tcPr>
          <w:p>
            <w:pPr>
              <w:spacing w:after="0"/>
              <w:rPr>
                <w:sz w:val="20"/>
                <w:szCs w:val="20"/>
                <w:color w:val="auto"/>
              </w:rPr>
            </w:pPr>
          </w:p>
        </w:tc>
        <w:tc>
          <w:tcPr>
            <w:tcW w:w="4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determined by the board of directors</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 May be held within or without England</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 May be held within or without Delaware</w:t>
            </w:r>
          </w:p>
        </w:tc>
      </w:tr>
      <w:tr>
        <w:trPr>
          <w:trHeight w:val="324"/>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 meeting,</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 Whenever shareholders are required to take any action at a</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written notice of the meeting shall be given which shall state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a written notice of the meeting shall be given which</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place, if any, date and hour of the meeting and the general nature of</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state the place, if any, date and hour of the meeting, and</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business to be conducted at the general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means of remote communication, if any.</w:t>
            </w:r>
          </w:p>
        </w:tc>
      </w:tr>
      <w:tr>
        <w:trPr>
          <w:trHeight w:val="306"/>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 Not less than 21 clear days’ notice shall be given of any annual</w:t>
            </w:r>
          </w:p>
        </w:tc>
        <w:tc>
          <w:tcPr>
            <w:tcW w:w="320" w:type="dxa"/>
            <w:vAlign w:val="bottom"/>
          </w:tcPr>
          <w:p>
            <w:pPr>
              <w:spacing w:after="0"/>
              <w:rPr>
                <w:sz w:val="24"/>
                <w:szCs w:val="24"/>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 Written notice shall be given not less than 10 nor more than</w:t>
            </w: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and the case of all other general meetings, not less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 days before the meeting.</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than 14 clear days’ notice shall be given.</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 General meetings may be called upon shorter notice with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of (i) in the case of an annual general meeting, all the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who are permitted to attend and vote, or (ii) in the case</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any other general meeting, a majority of the shareholders holding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least 95% by nominal value of the shares giving the right to</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attend and vote at the meeting.</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5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 “Clear days’ notice” means calendar days and excludes (i) the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date of receipt of the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2"/>
          </w:tcPr>
          <w:p>
            <w:pPr>
              <w:ind w:left="474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notice, and (ii) the date of the meeting itself. Rezolve’s articles of association provide that documents sent by first class post are deemed received the day after mailing and, if sent by airmail, on the third day after mailing, and in each other case, two days after mailing.</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must be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taken at a meeting. Written shareholder resolutions are not possible for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UK public limited company.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 persons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 act for him by proxy.</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quorum required for a general meeting of members consists of at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least two (2) members, present in person or by proxy or if a corporation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 other non-natural person by its duly authorized representative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proxy, and entitled to vote, provided that for so long as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Founder is the holder, directly or indirectly or beneficially interested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and is entitled to exercise not less than 10% of the votes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attaching to all shares of Rezolve, he must be present for the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to be quorate.</w:t>
      </w:r>
    </w:p>
    <w:p>
      <w:pPr>
        <w:spacing w:after="0" w:line="112"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 Under English law a special resolution means a resolution passed by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majority of not less than 75% of those shareholders present at a general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meeting in person or by proxy. A resolution passed on a poll taken at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meeting is passed by a majority of not less than 75% if it is passed by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representing not less than 75% of the total voting rights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members who (being entitled to do so) vote in person or by proxy on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w:t>
      </w:r>
    </w:p>
    <w:p>
      <w:pPr>
        <w:spacing w:after="0" w:line="112" w:lineRule="exact"/>
        <w:rPr>
          <w:sz w:val="20"/>
          <w:szCs w:val="20"/>
          <w:color w:val="auto"/>
        </w:rPr>
      </w:pPr>
    </w:p>
    <w:p>
      <w:pPr>
        <w:ind w:left="480" w:right="380" w:hanging="269"/>
        <w:spacing w:after="0" w:line="266" w:lineRule="auto"/>
        <w:rPr>
          <w:sz w:val="20"/>
          <w:szCs w:val="20"/>
          <w:color w:val="auto"/>
        </w:rPr>
      </w:pPr>
      <w:r>
        <w:rPr>
          <w:rFonts w:ascii="Times New Roman" w:cs="Times New Roman" w:eastAsia="Times New Roman" w:hAnsi="Times New Roman"/>
          <w:sz w:val="18"/>
          <w:szCs w:val="18"/>
          <w:color w:val="auto"/>
        </w:rPr>
        <w:t>•   The aggregate number of votes attaching to all the shares in Rezolve held by Daniel Wagner as the Rezolve Founder or in which he is interested shall be equal to the higher of:</w:t>
      </w:r>
    </w:p>
    <w:p>
      <w:pPr>
        <w:spacing w:after="0" w:line="81" w:lineRule="exact"/>
        <w:rPr>
          <w:sz w:val="20"/>
          <w:szCs w:val="20"/>
          <w:color w:val="auto"/>
        </w:rPr>
      </w:pPr>
    </w:p>
    <w:p>
      <w:pPr>
        <w:ind w:left="480" w:right="20" w:hanging="4"/>
        <w:spacing w:after="0" w:line="282"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16510</wp:posOffset>
            </wp:positionV>
            <wp:extent cx="32829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action required to be taken by meeting of shareholders may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 taken without meeting if consent is in writing and is signed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the shareholders entitled to vote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person authorized to vote may authorize another person or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persons to act for him by proxy.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 For stock corporations, certificate of incorporation or by-laws may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specify the number to constitute a quorum but in no event shall</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 quorum consist of less than one-third of shares entitled to vote at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meeting. In the absence of such specifications, a majority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entitled to vote shall constitute a quorum.</w:t>
      </w:r>
    </w:p>
    <w:p>
      <w:pPr>
        <w:sectPr>
          <w:pgSz w:w="11900" w:h="16838" w:orient="portrait"/>
          <w:cols w:equalWidth="0" w:num="2">
            <w:col w:w="5760" w:space="300"/>
            <w:col w:w="5040"/>
          </w:cols>
          <w:pgMar w:left="320" w:top="455"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2" w:lineRule="exact"/>
        <w:rPr>
          <w:sz w:val="20"/>
          <w:szCs w:val="20"/>
          <w:color w:val="auto"/>
        </w:rPr>
      </w:pPr>
    </w:p>
    <w:p>
      <w:pPr>
        <w:ind w:left="480" w:right="5300" w:hanging="4"/>
        <w:spacing w:after="0" w:line="282" w:lineRule="auto"/>
        <w:tabs>
          <w:tab w:leader="none" w:pos="74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resolution is not a special resolution unless the notice of the meeting</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included the text of the resolution and specified the intention to propose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resolution as a special resolution, and if the notice of the meeting so</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specified, the resolution may only be passed as a special resolution.</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 “Special resolutions” generally involve proposals to change the name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alter its capital structure, change or amend the rights of</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permit the company to issue new shares for cash without</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applying the shareholders’ pre-emptive rights, amend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articles of association, or carry out other matters where either the</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the UK Companies Act prescribe</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that a “special resolution” is required.</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 Other proposals relating to the ordinary course of the company’s</w:t>
            </w:r>
          </w:p>
        </w:tc>
      </w:tr>
      <w:tr>
        <w:trPr>
          <w:trHeight w:val="216"/>
        </w:trPr>
        <w:tc>
          <w:tcPr>
            <w:tcW w:w="18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such as the election of directors, would generally be proposed</w:t>
            </w:r>
          </w:p>
        </w:tc>
      </w:tr>
      <w:tr>
        <w:trPr>
          <w:trHeight w:val="234"/>
        </w:trPr>
        <w:tc>
          <w:tcPr>
            <w:tcW w:w="180" w:type="dxa"/>
            <w:vAlign w:val="bottom"/>
          </w:tcPr>
          <w:p>
            <w:pPr>
              <w:spacing w:after="0"/>
              <w:rPr>
                <w:sz w:val="20"/>
                <w:szCs w:val="20"/>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an ordinary resolution.</w:t>
            </w:r>
          </w:p>
        </w:tc>
      </w:tr>
      <w:tr>
        <w:trPr>
          <w:trHeight w:val="337"/>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Directors</w:t>
            </w:r>
          </w:p>
        </w:tc>
      </w:tr>
    </w:tbl>
    <w:p>
      <w:pPr>
        <w:spacing w:after="0" w:line="90" w:lineRule="exact"/>
        <w:rPr>
          <w:sz w:val="20"/>
          <w:szCs w:val="20"/>
          <w:color w:val="auto"/>
        </w:rPr>
      </w:pPr>
    </w:p>
    <w:p>
      <w:pPr>
        <w:sectPr>
          <w:pgSz w:w="11900" w:h="16838" w:orient="portrait"/>
          <w:cols w:equalWidth="0" w:num="1">
            <w:col w:w="10900"/>
          </w:cols>
          <w:pgMar w:left="320" w:top="455" w:right="679" w:bottom="1440" w:gutter="0" w:footer="0" w:header="0"/>
        </w:sectPr>
      </w:pPr>
    </w:p>
    <w:p>
      <w:pPr>
        <w:jc w:val="both"/>
        <w:ind w:left="480" w:hanging="269"/>
        <w:spacing w:after="0" w:line="266" w:lineRule="auto"/>
        <w:rPr>
          <w:sz w:val="20"/>
          <w:szCs w:val="20"/>
          <w:color w:val="auto"/>
        </w:rPr>
      </w:pPr>
      <w:r>
        <w:rPr>
          <w:rFonts w:ascii="Times New Roman" w:cs="Times New Roman" w:eastAsia="Times New Roman" w:hAnsi="Times New Roman"/>
          <w:sz w:val="18"/>
          <w:szCs w:val="18"/>
          <w:color w:val="auto"/>
        </w:rPr>
        <w:t>•   The directors shall not, unless otherwise determined by an ordinary resolution of Rezolve, be less than three but shall not be subject to a maximum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 The board must consist of at least one member.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 Number of board members shall be fixed by the by-laws, unless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certificate of incorporation fixes the number of directors, in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case a change in the number shall be made only by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amendment of the certificate of incorporation.</w:t>
      </w:r>
    </w:p>
    <w:p>
      <w:pPr>
        <w:spacing w:after="0" w:line="95" w:lineRule="exact"/>
        <w:rPr>
          <w:sz w:val="20"/>
          <w:szCs w:val="20"/>
          <w:color w:val="auto"/>
        </w:rPr>
      </w:pPr>
    </w:p>
    <w:p>
      <w:pPr>
        <w:sectPr>
          <w:pgSz w:w="11900" w:h="16838" w:orient="portrait"/>
          <w:cols w:equalWidth="0" w:num="2">
            <w:col w:w="5380" w:space="680"/>
            <w:col w:w="4840"/>
          </w:cols>
          <w:pgMar w:left="320" w:top="455" w:right="679" w:bottom="1440" w:gutter="0" w:footer="0" w:header="0"/>
          <w:type w:val="continuous"/>
        </w:sect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r>
      <w:tr>
        <w:trPr>
          <w:trHeight w:val="20"/>
        </w:trPr>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9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 company may remove a director</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•    A director of a corporation may be removed for cause with the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without cause by ordinary resolution, irrespective of anything in any</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approval of a majority of the issued and outstanding shares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 between the director and the company, provided that 28 clear</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entitled to vote, unless the certificate of incorporation provides</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days’ notice of the proposed resolution to remove the director is given to</w:t>
            </w:r>
          </w:p>
        </w:tc>
        <w:tc>
          <w:tcPr>
            <w:tcW w:w="4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otherwise.</w:t>
            </w:r>
          </w:p>
        </w:tc>
      </w:tr>
      <w:tr>
        <w:trPr>
          <w:trHeight w:val="216"/>
        </w:trPr>
        <w:tc>
          <w:tcPr>
            <w:tcW w:w="18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and certain other procedural requirements under the UK</w:t>
            </w:r>
          </w:p>
        </w:tc>
        <w:tc>
          <w:tcPr>
            <w:tcW w:w="5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Companies Act are followed.</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in addition to any power of</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conferred by the</w:t>
            </w:r>
          </w:p>
        </w:tc>
        <w:tc>
          <w:tcPr>
            <w:tcW w:w="54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552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292</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ectPr>
          <w:pgSz w:w="11900" w:h="16838" w:orient="portrait"/>
          <w:cols w:equalWidth="0" w:num="1">
            <w:col w:w="10900"/>
          </w:cols>
          <w:pgMar w:left="320" w:top="455" w:right="679" w:bottom="1440" w:gutter="0" w:footer="0" w:header="0"/>
          <w:type w:val="continuous"/>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UK Companies Act, the company may by ordinary resolution remove any</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before the expiration of his period of office.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nominations of Directors and other Proposals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ind w:left="480" w:hanging="269"/>
        <w:spacing w:after="0" w:line="253" w:lineRule="auto"/>
        <w:rPr>
          <w:sz w:val="20"/>
          <w:szCs w:val="20"/>
          <w:color w:val="auto"/>
        </w:rPr>
      </w:pPr>
      <w:r>
        <w:rPr>
          <w:rFonts w:ascii="Times New Roman" w:cs="Times New Roman" w:eastAsia="Times New Roman" w:hAnsi="Times New Roman"/>
          <w:sz w:val="18"/>
          <w:szCs w:val="18"/>
          <w:color w:val="auto"/>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spacing w:after="0" w:line="97" w:lineRule="exact"/>
        <w:rPr>
          <w:sz w:val="20"/>
          <w:szCs w:val="20"/>
          <w:color w:val="auto"/>
        </w:rPr>
      </w:pPr>
    </w:p>
    <w:p>
      <w:pPr>
        <w:ind w:left="480" w:right="60" w:hanging="269"/>
        <w:spacing w:after="0" w:line="255" w:lineRule="auto"/>
        <w:rPr>
          <w:sz w:val="20"/>
          <w:szCs w:val="20"/>
          <w:color w:val="auto"/>
        </w:rPr>
      </w:pPr>
      <w:r>
        <w:rPr>
          <w:rFonts w:ascii="Times New Roman" w:cs="Times New Roman" w:eastAsia="Times New Roman" w:hAnsi="Times New Roman"/>
          <w:sz w:val="18"/>
          <w:szCs w:val="18"/>
          <w:color w:val="auto"/>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spacing w:after="0" w:line="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 Resolutions to appoint directors to a public company such as Rezolve</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be put to shareholders on the basis of one resolution for each</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nominated director. A single resolution to appoint two or more directors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must not be proposed to be voted upon at a general meeting unless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resolution that it should be so made has first been agreed to by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meeting without any vote being given against 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 Armada’s bylaws provide that stockholders seeking to bring</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before its annual meeting of stockholders, or to nominate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candidates for election as directors at its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must provide timely notice of their intent in writing.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be timely, a stockholder’s notice will need to be delivered to</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principal executive offices not later than the close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on the 60th day nor earlier than the close of business on</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90th day prior to the scheduled date of the annual meeting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stockholders. In the event that less than 70 days’ notice or prior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public disclosure of the date of the annual meeting of stockholders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is given, a stockholder’s notice shall be timely if delivered to our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executive offices not later than the 10th day following</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day on which public announcement of the date of Armada’s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is first made or sent by us.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Armada’s bylaws also specify certain requirements as to the form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 content of a stockholders’ meeting. These provisions may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preclude Armada’s stockholders from bringing matters before its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annual meeting of stockholders or from making nominations for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directors at its annual meeting of stockholders.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 Under the Delaware General Corporation Law (“DGCL”), a</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corporation’s certificate of incorporation or bylaws can specify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number of shares that constitute the quorum required to conduct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business at a meeting, provided that in no event shall a quorum</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consist of less than one-third of the shares entitled to vote at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meeting.</w:t>
      </w:r>
    </w:p>
    <w:p>
      <w:pPr>
        <w:spacing w:after="0" w:line="108" w:lineRule="exact"/>
        <w:rPr>
          <w:sz w:val="20"/>
          <w:szCs w:val="20"/>
          <w:color w:val="auto"/>
        </w:rPr>
      </w:pPr>
    </w:p>
    <w:p>
      <w:pPr>
        <w:sectPr>
          <w:pgSz w:w="11900" w:h="16838" w:orient="portrait"/>
          <w:cols w:equalWidth="0" w:num="2">
            <w:col w:w="5720" w:space="340"/>
            <w:col w:w="50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Fiduciary Duties and Conflicts</w:t>
      </w:r>
    </w:p>
    <w:p>
      <w:pPr>
        <w:sectPr>
          <w:pgSz w:w="11900" w:h="16838" w:orient="portrait"/>
          <w:cols w:equalWidth="0" w:num="1">
            <w:col w:w="11120"/>
          </w:cols>
          <w:pgMar w:left="320" w:top="455" w:right="459" w:bottom="1440" w:gutter="0" w:footer="0" w:header="0"/>
          <w:type w:val="continuous"/>
        </w:sectPr>
      </w:pPr>
    </w:p>
    <w:p>
      <w:pPr>
        <w:spacing w:after="0" w:line="135" w:lineRule="exact"/>
        <w:rPr>
          <w:sz w:val="20"/>
          <w:szCs w:val="20"/>
          <w:color w:val="auto"/>
        </w:rPr>
      </w:pPr>
    </w:p>
    <w:p>
      <w:pPr>
        <w:ind w:left="480" w:right="100" w:hanging="269"/>
        <w:spacing w:after="0" w:line="282" w:lineRule="auto"/>
        <w:rPr>
          <w:sz w:val="20"/>
          <w:szCs w:val="20"/>
          <w:color w:val="auto"/>
        </w:rPr>
      </w:pPr>
      <w:r>
        <w:rPr>
          <w:rFonts w:ascii="Times New Roman" w:cs="Times New Roman" w:eastAsia="Times New Roman" w:hAnsi="Times New Roman"/>
          <w:sz w:val="18"/>
          <w:szCs w:val="18"/>
          <w:color w:val="auto"/>
        </w:rPr>
        <w:t>•   Directors and officers must act in good faith and in the best interest of the company for the benefit of its members as a whole.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300" w:hanging="269"/>
        <w:spacing w:after="0" w:line="266" w:lineRule="auto"/>
        <w:rPr>
          <w:sz w:val="20"/>
          <w:szCs w:val="20"/>
          <w:color w:val="auto"/>
        </w:rPr>
      </w:pPr>
      <w:r>
        <w:rPr>
          <w:rFonts w:ascii="Times New Roman" w:cs="Times New Roman" w:eastAsia="Times New Roman" w:hAnsi="Times New Roman"/>
          <w:sz w:val="18"/>
          <w:szCs w:val="18"/>
          <w:color w:val="auto"/>
        </w:rPr>
        <w:t>•   Directors and officers must act in good faith, with the care of a prudent person, and in the best interest of the corporation as a whole.</w:t>
      </w:r>
    </w:p>
    <w:p>
      <w:pPr>
        <w:spacing w:after="0" w:line="68" w:lineRule="exact"/>
        <w:rPr>
          <w:sz w:val="20"/>
          <w:szCs w:val="20"/>
          <w:color w:val="auto"/>
        </w:rPr>
      </w:pPr>
    </w:p>
    <w:p>
      <w:pPr>
        <w:sectPr>
          <w:pgSz w:w="11900" w:h="16838" w:orient="portrait"/>
          <w:cols w:equalWidth="0" w:num="2">
            <w:col w:w="5600" w:space="720"/>
            <w:col w:w="4800"/>
          </w:cols>
          <w:pgMar w:left="320" w:top="455" w:right="459" w:bottom="1440" w:gutter="0" w:footer="0" w:header="0"/>
          <w:type w:val="continuous"/>
        </w:sect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 Directors and officers must refrain from self-dealing, usurping corporate</w:t>
      </w:r>
      <w:r>
        <w:rPr>
          <w:sz w:val="20"/>
          <w:szCs w:val="20"/>
          <w:color w:val="auto"/>
        </w:rPr>
        <w:tab/>
      </w:r>
      <w:r>
        <w:rPr>
          <w:rFonts w:ascii="Times New Roman" w:cs="Times New Roman" w:eastAsia="Times New Roman" w:hAnsi="Times New Roman"/>
          <w:sz w:val="17"/>
          <w:szCs w:val="17"/>
          <w:color w:val="auto"/>
        </w:rPr>
        <w:t>•    Directors and officers must refrain from self-dealing, usurping</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opportunities and receiving improper personal benefits.</w:t>
      </w:r>
      <w:r>
        <w:rPr>
          <w:sz w:val="20"/>
          <w:szCs w:val="20"/>
          <w:color w:val="auto"/>
        </w:rPr>
        <w:tab/>
      </w:r>
      <w:r>
        <w:rPr>
          <w:rFonts w:ascii="Times New Roman" w:cs="Times New Roman" w:eastAsia="Times New Roman" w:hAnsi="Times New Roman"/>
          <w:sz w:val="18"/>
          <w:szCs w:val="18"/>
          <w:color w:val="auto"/>
        </w:rPr>
        <w:t>corporate opportunities and receiving improper personal benefits.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20"/>
          </w:cols>
          <w:pgMar w:left="320" w:top="455" w:right="459" w:bottom="1440" w:gutter="0" w:footer="0" w:header="0"/>
          <w:type w:val="continuous"/>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codified the general</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 Decisions made by directors and officers on an informed basis, in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equitable duties of directors. In summary, these are (i) to act within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 faith and in the honest belief that the action was taken in the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powers; (ii) to promote the success of the company; (iii) to exercise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best interest of the corporation will be protected by the “business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independent judgment; (iv) to exercise reasonable care, skill and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judgment rule.”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diligence; (v) to avoid conflicts of interest; (vi) not</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 accept benefits from third parties; and (vii) to declare any interest in a</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proposed transaction or arrangement with the company.</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 There are other uncodified duties of directors; including that a director</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must in certain circumstances consider or act in the interests of the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creditors.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 Rezolve’s articles of association provide that the Rezolve board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directors may in specified circumstances authorize any matter that would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otherwise involve a director breaching his duty under the UK Companies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Act to avoid a conflict of 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articles of association also provide that, subject to authorization of</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such conflict, a director may retain any benefit derived by reason of that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Liability of Directors and Officers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any provision (whether contained in a</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 Armada’s certificate of incorporation provides: “The Corporation,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company’s articles of association or any contract or otherwise) that</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the full extent permitted by Section 145 of the DGCL, as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purports to exempt a director of a company (to any extent) from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from time to time, shall indemnify all persons whom it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liability that would otherwise attach to him in connection with any</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indemnify pursuant thereto. Expenses (including attorneys’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negligence, default, breach of duty or breach of trust in relation to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fees) incurred by an officer or director in defending any civil,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is void.</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criminal, administrative, or investigative action, suit or proceeding</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 Any provision by which a company directly or indirectly provides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which such officer or director may be entitled to</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indemnification hereunder shall be paid by the Corporation in</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indemnity (to any extent) for a director of the company or of an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advance of the final disposition of such action, suit or proceeding</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associated company against any liability attaching to him in connection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upon receipt of an undertaking by or on behalf of such director or</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with any negligence, default, breach of duty or breach of trust in relation</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officer to repay such amount if it shall ultimately be determined</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to the company of which he is a director, is also void except as permitted</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that he is not entitled to be indemnified by the Corporation as</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by the UK Companies Act, which provides exceptions for a company to</w:t>
            </w:r>
          </w:p>
        </w:tc>
        <w:tc>
          <w:tcPr>
            <w:tcW w:w="26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4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authorized hereby.”</w:t>
            </w: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5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purchase and maintain insurance against such liability; (ii) provide a</w:t>
            </w:r>
          </w:p>
        </w:tc>
        <w:tc>
          <w:tcPr>
            <w:tcW w:w="26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55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“qualifying third party indemnity” (being an indemnity against liability</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 Armada entered into indemnification agreements with each of</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incurred by the director to a person other than the company or an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Armada’s officers and directors. These agreements require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associated company as long as he or she is successful in defending the</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Armada to indemnify these individuals to the fullest extent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claim or criminal proceedings); and (iii) provide a “qualifying pension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permitted under Delaware law against liabilities that may arise by</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scheme indemnity” (being an indemnity against liability incurred in</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reason of their service to Armada, and to advance expenses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connection with the company’s activities as trustee of an occupational</w:t>
            </w:r>
          </w:p>
        </w:tc>
        <w:tc>
          <w:tcPr>
            <w:tcW w:w="260" w:type="dxa"/>
            <w:vAlign w:val="bottom"/>
          </w:tcPr>
          <w:p>
            <w:pPr>
              <w:spacing w:after="0"/>
              <w:rPr>
                <w:sz w:val="18"/>
                <w:szCs w:val="18"/>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incurred as a result of any proceeding against them as to which</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could be indemnified.</w:t>
            </w: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5580" w:type="dxa"/>
            <w:vAlign w:val="bottom"/>
            <w:gridSpan w:val="3"/>
          </w:tcPr>
          <w:p>
            <w:pPr>
              <w:ind w:left="510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UK Companies Act permits companies to purchase and maintain</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insurance for directors against any liability arising from negligence,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19"/>
        </w:trPr>
        <w:tc>
          <w:tcPr>
            <w:tcW w:w="260" w:type="dxa"/>
            <w:vAlign w:val="bottom"/>
          </w:tcPr>
          <w:p>
            <w:pPr>
              <w:spacing w:after="0"/>
              <w:rPr>
                <w:sz w:val="24"/>
                <w:szCs w:val="24"/>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 breach of duty or breach of trust in relation to the company.</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Rezolve maintains directors’ and officers’ liability insurance.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24"/>
        </w:trPr>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r>
      <w:tr>
        <w:trPr>
          <w:trHeight w:val="20"/>
        </w:trPr>
        <w:tc>
          <w:tcPr>
            <w:tcW w:w="2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9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English law, the issuance for cash of (i) equity securities, being</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 Armada’s shareholders do not have pre-emptive rights.</w:t>
            </w: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those shares in a company which, with respect to dividends or capital,</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carry a right to participate beyond a specified amount in a distribution,</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 (ii) rights to subscribe for or convert into equity securities, must be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offered first to the existing equity shareholders in proportion to the</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respective nominal values of their holdings, unless a special resolution to</w:t>
            </w: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contrary has been passed by shareholders in a general meeting.</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bl>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Shareholders’ Derivative Actions</w:t>
      </w:r>
    </w:p>
    <w:p>
      <w:pPr>
        <w:sectPr>
          <w:pgSz w:w="11900" w:h="16838" w:orient="portrait"/>
          <w:cols w:equalWidth="0" w:num="1">
            <w:col w:w="11140"/>
          </w:cols>
          <w:pgMar w:left="320" w:top="455" w:right="43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hanging="26"/>
        <w:spacing w:after="0" w:line="254" w:lineRule="auto"/>
        <w:rPr>
          <w:sz w:val="20"/>
          <w:szCs w:val="20"/>
          <w:color w:val="auto"/>
        </w:rPr>
      </w:pPr>
      <w:r>
        <w:rPr>
          <w:rFonts w:ascii="Times New Roman" w:cs="Times New Roman" w:eastAsia="Times New Roman" w:hAnsi="Times New Roman"/>
          <w:sz w:val="18"/>
          <w:szCs w:val="18"/>
          <w:color w:val="auto"/>
        </w:rPr>
        <w:t> Derivative actions can be pursued in the courts of England and Wales pursuant to common law or statute. Under common law, the company will be the proper plaintiff in any claim based on a breach of duty owed to it, and a claim against (for example) its officers or directors usually may not be brought by a shareholder directly. However, more commonly claims are brought by a shareholder directly under statute against the directors of the company. Regardless of the route, the court has discretion as to whether to give permission for a derivative claim to be continued.</w:t>
      </w:r>
    </w:p>
    <w:p>
      <w:pPr>
        <w:spacing w:after="0" w:line="94" w:lineRule="exact"/>
        <w:rPr>
          <w:sz w:val="20"/>
          <w:szCs w:val="20"/>
          <w:color w:val="auto"/>
        </w:rPr>
      </w:pPr>
    </w:p>
    <w:p>
      <w:pPr>
        <w:ind w:right="120" w:hanging="26"/>
        <w:spacing w:after="0" w:line="261" w:lineRule="auto"/>
        <w:rPr>
          <w:sz w:val="20"/>
          <w:szCs w:val="20"/>
          <w:color w:val="auto"/>
        </w:rPr>
      </w:pPr>
      <w:r>
        <w:rPr>
          <w:rFonts w:ascii="Times New Roman" w:cs="Times New Roman" w:eastAsia="Times New Roman" w:hAnsi="Times New Roman"/>
          <w:sz w:val="18"/>
          <w:szCs w:val="18"/>
          <w:color w:val="auto"/>
        </w:rPr>
        <w:t> Derivative claims under statute are limited to actual or proposed acts or omissions involving negligence, default, breach of duty or breach of trust by those controlling the company (directors, or shadow directors, current or former).</w:t>
      </w:r>
    </w:p>
    <w:p>
      <w:pPr>
        <w:spacing w:after="0" w:line="85" w:lineRule="exact"/>
        <w:rPr>
          <w:sz w:val="20"/>
          <w:szCs w:val="20"/>
          <w:color w:val="auto"/>
        </w:rPr>
      </w:pPr>
    </w:p>
    <w:p>
      <w:pPr>
        <w:ind w:hanging="26"/>
        <w:spacing w:after="0" w:line="282" w:lineRule="auto"/>
        <w:rPr>
          <w:sz w:val="20"/>
          <w:szCs w:val="20"/>
          <w:color w:val="auto"/>
        </w:rPr>
      </w:pPr>
      <w:r>
        <w:rPr>
          <w:rFonts w:ascii="Times New Roman" w:cs="Times New Roman" w:eastAsia="Times New Roman" w:hAnsi="Times New Roman"/>
          <w:sz w:val="18"/>
          <w:szCs w:val="18"/>
          <w:color w:val="auto"/>
        </w:rPr>
        <w:t> Subject to certain exceptions, the act complained of can have taken place before or after the shareholder became a member of the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any derivative suit instituted by a shareholder of a corporation,</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it shall be averred in the complaint that the plaintiff was a</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shareholder of the corporation at the time of the transaction of</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which he complains or that such shareholder’s stock thereafter</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devolved upon such shareholder by operation of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 Complaint shall set forth with particularity the efforts of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plaintiff to obtain the action by the board or the reasons for not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making such effort.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 Such action shall not be dismissed or compromised without the</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approval of the Chancery Court.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 Shareholders of a Delaware corporation that redeemed their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or whose shares were canceled in connection 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dissolution, would not be able to bring a derivative action against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corporation after the shares have been redeemed or canceled.</w:t>
      </w:r>
    </w:p>
    <w:p>
      <w:pPr>
        <w:spacing w:after="0" w:line="202" w:lineRule="exact"/>
        <w:rPr>
          <w:sz w:val="20"/>
          <w:szCs w:val="20"/>
          <w:color w:val="auto"/>
        </w:rPr>
      </w:pPr>
    </w:p>
    <w:p>
      <w:pPr>
        <w:sectPr>
          <w:pgSz w:w="11900" w:h="16838" w:orient="portrait"/>
          <w:cols w:equalWidth="0" w:num="3">
            <w:col w:w="320" w:space="160"/>
            <w:col w:w="5240" w:space="340"/>
            <w:col w:w="5080"/>
          </w:cols>
          <w:pgMar w:left="320" w:top="455" w:right="439" w:bottom="1440" w:gutter="0" w:footer="0" w:header="0"/>
          <w:type w:val="continuous"/>
        </w:sectPr>
      </w:pPr>
    </w:p>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Votes on Certain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 The UK Companies Act only permits mergers in specified limited</w:t>
            </w: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 Generally, under the DGCL, completion of a merger,</w:t>
            </w: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consolidation, dissolution, or the sale, lease, or exchange of</w:t>
            </w:r>
          </w:p>
        </w:tc>
        <w:tc>
          <w:tcPr>
            <w:tcW w:w="0" w:type="dxa"/>
            <w:vAlign w:val="bottom"/>
          </w:tcPr>
          <w:p>
            <w:pPr>
              <w:spacing w:after="0"/>
              <w:rPr>
                <w:sz w:val="1"/>
                <w:szCs w:val="1"/>
                <w:color w:val="auto"/>
              </w:rPr>
            </w:pPr>
          </w:p>
        </w:tc>
      </w:tr>
      <w:tr>
        <w:trPr>
          <w:trHeight w:val="216"/>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 However, the UK Companies Act provides for schemes of arrangement</w:t>
            </w:r>
          </w:p>
        </w:tc>
        <w:tc>
          <w:tcPr>
            <w:tcW w:w="51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substantially all of a corporation’s assets requires approval by the</w:t>
            </w: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board of directors and by a majority (unless the certificate of</w:t>
            </w:r>
          </w:p>
        </w:tc>
        <w:tc>
          <w:tcPr>
            <w:tcW w:w="0" w:type="dxa"/>
            <w:vAlign w:val="bottom"/>
          </w:tcPr>
          <w:p>
            <w:pPr>
              <w:spacing w:after="0"/>
              <w:rPr>
                <w:sz w:val="1"/>
                <w:szCs w:val="1"/>
                <w:color w:val="auto"/>
              </w:rPr>
            </w:pPr>
          </w:p>
        </w:tc>
      </w:tr>
      <w:tr>
        <w:trPr>
          <w:trHeight w:val="94"/>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which are arrangements or compromises between a company and any</w:t>
            </w:r>
          </w:p>
        </w:tc>
        <w:tc>
          <w:tcPr>
            <w:tcW w:w="5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incorporation requires a higher</w:t>
            </w:r>
          </w:p>
        </w:tc>
        <w:tc>
          <w:tcPr>
            <w:tcW w:w="0" w:type="dxa"/>
            <w:vAlign w:val="bottom"/>
          </w:tcPr>
          <w:p>
            <w:pPr>
              <w:spacing w:after="0"/>
              <w:rPr>
                <w:sz w:val="1"/>
                <w:szCs w:val="1"/>
                <w:color w:val="auto"/>
              </w:rPr>
            </w:pPr>
          </w:p>
        </w:tc>
      </w:tr>
      <w:tr>
        <w:trPr>
          <w:trHeight w:val="113"/>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class of shareholders or creditors. Schemes of arrangement</w:t>
            </w: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5460" w:type="dxa"/>
            <w:vAlign w:val="bottom"/>
          </w:tcPr>
          <w:p>
            <w:pPr>
              <w:ind w:left="5040"/>
              <w:spacing w:after="0"/>
              <w:rPr>
                <w:sz w:val="20"/>
                <w:szCs w:val="20"/>
                <w:color w:val="auto"/>
              </w:rPr>
            </w:pPr>
            <w:r>
              <w:rPr>
                <w:rFonts w:ascii="Times New Roman" w:cs="Times New Roman" w:eastAsia="Times New Roman" w:hAnsi="Times New Roman"/>
                <w:sz w:val="18"/>
                <w:szCs w:val="18"/>
                <w:color w:val="auto"/>
              </w:rPr>
              <w:t>295</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20" w:space="120"/>
            <w:col w:w="10700"/>
          </w:cols>
          <w:pgMar w:left="320" w:top="455" w:right="439" w:bottom="1440" w:gutter="0" w:footer="0" w:header="0"/>
          <w:type w:val="continuous"/>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9" w:lineRule="exact"/>
        <w:rPr>
          <w:sz w:val="20"/>
          <w:szCs w:val="20"/>
          <w:color w:val="auto"/>
        </w:rPr>
      </w:pPr>
    </w:p>
    <w:p>
      <w:pPr>
        <w:ind w:left="120" w:right="900"/>
        <w:spacing w:after="0" w:line="272" w:lineRule="auto"/>
        <w:rPr>
          <w:sz w:val="20"/>
          <w:szCs w:val="20"/>
          <w:color w:val="auto"/>
        </w:rPr>
      </w:pPr>
      <w:r>
        <w:rPr>
          <w:rFonts w:ascii="Times New Roman" w:cs="Times New Roman" w:eastAsia="Times New Roman" w:hAnsi="Times New Roman"/>
          <w:sz w:val="18"/>
          <w:szCs w:val="18"/>
          <w:color w:val="auto"/>
        </w:rPr>
        <w:t>are used in certain types of restructurings, amalgamations, capital reorganizations and takeovers.</w:t>
      </w:r>
    </w:p>
    <w:p>
      <w:pPr>
        <w:spacing w:after="0" w:line="3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 These arrangements require: (i) the approval at a shareholders’ or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creditors’ meeting convened by order of the court, of a majority in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number of shareholders or creditors representing 75% in value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 held by, or debt owed to, the class of shareholders or creditors,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class thereof present and voting, either in person or by proxy; and (ii)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 of the court.</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 Certain other types of extraordinary transactions such as certain capital</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reorganizations also require approval by shareholders (either by 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majority or at least 75% of the votes cast in person or by proxy,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depending on the type of transaction), while other types of transactions,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including asset sales and tender offers, often do not require shareholder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approval.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percentage) of outstanding stock of the corporation entitled to vote. The DGCL also requires a special vote of shareholders in connection with a business combination with an “interested shareholder” as defined in section 203 of the DGCL.</w:t>
      </w:r>
    </w:p>
    <w:p>
      <w:pPr>
        <w:spacing w:after="0" w:line="2799"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Interested Shareholders</w:t>
      </w:r>
    </w:p>
    <w:p>
      <w:pPr>
        <w:spacing w:after="0" w:line="135"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8"/>
          <w:szCs w:val="18"/>
          <w:color w:val="auto"/>
        </w:rPr>
        <w:t>•    English law does not regulate transactions between a company and its</w:t>
      </w:r>
      <w:r>
        <w:rPr>
          <w:sz w:val="20"/>
          <w:szCs w:val="20"/>
          <w:color w:val="auto"/>
        </w:rPr>
        <w:tab/>
      </w:r>
      <w:r>
        <w:rPr>
          <w:rFonts w:ascii="Times New Roman" w:cs="Times New Roman" w:eastAsia="Times New Roman" w:hAnsi="Times New Roman"/>
          <w:sz w:val="17"/>
          <w:szCs w:val="17"/>
          <w:color w:val="auto"/>
        </w:rPr>
        <w:t>•    The business combination statute applicable to Delaware</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 although such transactions must be entered into bona fide</w:t>
      </w:r>
      <w:r>
        <w:rPr>
          <w:sz w:val="20"/>
          <w:szCs w:val="20"/>
          <w:color w:val="auto"/>
        </w:rPr>
        <w:tab/>
      </w:r>
      <w:r>
        <w:rPr>
          <w:rFonts w:ascii="Times New Roman" w:cs="Times New Roman" w:eastAsia="Times New Roman" w:hAnsi="Times New Roman"/>
          <w:sz w:val="18"/>
          <w:szCs w:val="18"/>
          <w:color w:val="auto"/>
        </w:rPr>
        <w:t>corporations provides that, unless the corporation has specifically</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in the best interests of the company and for a proper corporate purpose</w:t>
      </w:r>
      <w:r>
        <w:rPr>
          <w:sz w:val="20"/>
          <w:szCs w:val="20"/>
          <w:color w:val="auto"/>
        </w:rPr>
        <w:tab/>
      </w:r>
      <w:r>
        <w:rPr>
          <w:rFonts w:ascii="Times New Roman" w:cs="Times New Roman" w:eastAsia="Times New Roman" w:hAnsi="Times New Roman"/>
          <w:sz w:val="17"/>
          <w:szCs w:val="17"/>
          <w:color w:val="auto"/>
        </w:rPr>
        <w:t>elected not to be governed by such statute under its certificate of</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and not with the effect of constituting a fraud on the minority</w:t>
      </w:r>
      <w:r>
        <w:rPr>
          <w:sz w:val="20"/>
          <w:szCs w:val="20"/>
          <w:color w:val="auto"/>
        </w:rPr>
        <w:tab/>
      </w:r>
      <w:r>
        <w:rPr>
          <w:rFonts w:ascii="Times New Roman" w:cs="Times New Roman" w:eastAsia="Times New Roman" w:hAnsi="Times New Roman"/>
          <w:sz w:val="17"/>
          <w:szCs w:val="17"/>
          <w:color w:val="auto"/>
        </w:rPr>
        <w:t>incorporation, it is prohibited from engaging in certain business</w:t>
      </w:r>
    </w:p>
    <w:p>
      <w:pPr>
        <w:spacing w:after="0" w:line="9"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combinations with an “interested shareholder” for three years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following the date that such person becomes an interested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shareholder. An interested shareholder generally is a person or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group who or which owns or owned 15% or more of the target’s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outstanding voting stock within the past three years. This has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effect of limiting the ability of a potential acquirer to make a</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two-tiered bid for the target in which all shareholders would not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be treated equally. The statute does not apply if, among other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things, prior to the date on which such shareholder becomes an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interested shareholder, the board of directors approves either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proposed transactions or the transaction which resulted in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person becoming an interested shareholder. This encourages any</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potential acquirer of a Delaware corporation to negotiate the terms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 any acquisition transaction with the target’s board of directors.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type w:val="continuous"/>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6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England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Payment of Dividends</w:t>
      </w:r>
    </w:p>
    <w:p>
      <w:pPr>
        <w:sectPr>
          <w:pgSz w:w="11900" w:h="16838" w:orient="portrait"/>
          <w:cols w:equalWidth="0" w:num="1">
            <w:col w:w="11120"/>
          </w:cols>
          <w:pgMar w:left="320" w:top="455" w:right="459" w:bottom="1440" w:gutter="0" w:footer="0" w:header="0"/>
        </w:sectPr>
      </w:pP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 Generally speaking, and subject to the prior rights of holders of any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preferred shares, under English law, a company may pay dividends on its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Ordinary Shares only out of its distributable profits (defined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realized profits not previously utilized by distribution or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capitalization, less accumulated, realized losses so far as not previously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written off in a reduction or reorganization) and not out of share capital,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which includes share premiums (paid-in surplus).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 Amounts credited to the share premium account (representing the excess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of the consideration for the issue of shares over the aggregate nominal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 of such shares) may not be used to pay out cash dividends but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used, among other things, to pay up unissued shares that may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then be distributed to shareholders in proportion to their holdings as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fully paid bonus shares.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 In addition, under English law, Rezolve will not be permitted to make a</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distribution if, at the time, the amount of its net assets is less than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aggregate of its issued and paid-up share capital and undistributable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reserves.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 If recommended by the Rezolve board of directors, Rezolve shareholders</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by ordinary resolution, declare final dividends, but no dividend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be declared in excess of the amount recommended by the Rezolve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 The Rezolve board of directors has the power under its articles of</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association to pay interim dividends (being dividends which are not final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dividends for a year) without the approval of shareholders to the extent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financial position of Rezolve justifies a dividend in the opinion of the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Rezolve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297</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200" w:hanging="269"/>
        <w:spacing w:after="0" w:line="261" w:lineRule="auto"/>
        <w:rPr>
          <w:sz w:val="20"/>
          <w:szCs w:val="20"/>
          <w:color w:val="auto"/>
        </w:rPr>
      </w:pPr>
      <w:r>
        <w:rPr>
          <w:rFonts w:ascii="Times New Roman" w:cs="Times New Roman" w:eastAsia="Times New Roman" w:hAnsi="Times New Roman"/>
          <w:sz w:val="18"/>
          <w:szCs w:val="18"/>
          <w:color w:val="auto"/>
        </w:rPr>
        <w:t>•   Armada has not paid any cash dividends on its common stock to date and does not intend to pay cash dividends prior to the completion of an initial business combination. The payment of cash dividends in the future will be dependent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spacing w:after="0" w:line="89" w:lineRule="exact"/>
        <w:rPr>
          <w:sz w:val="20"/>
          <w:szCs w:val="20"/>
          <w:color w:val="auto"/>
        </w:rPr>
      </w:pPr>
    </w:p>
    <w:p>
      <w:pPr>
        <w:ind w:hanging="269"/>
        <w:spacing w:after="0" w:line="266" w:lineRule="auto"/>
        <w:rPr>
          <w:sz w:val="20"/>
          <w:szCs w:val="20"/>
          <w:color w:val="auto"/>
        </w:rPr>
      </w:pPr>
      <w:r>
        <w:rPr>
          <w:rFonts w:ascii="Times New Roman" w:cs="Times New Roman" w:eastAsia="Times New Roman" w:hAnsi="Times New Roman"/>
          <w:sz w:val="18"/>
          <w:szCs w:val="18"/>
          <w:color w:val="auto"/>
        </w:rPr>
        <w:t>•   Under the DGCL, the board of directors, subject to any restrictions in the corporation’s certificate of incorporation, may declare and pay dividends out of:</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•    surplus of the corporation, which is defined as net assets less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statutory capital; or</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 if no surplus exists, out of the net profits of the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the year in which the dividend is declared and/or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preceding year.</w:t>
      </w:r>
    </w:p>
    <w:p>
      <w:pPr>
        <w:spacing w:after="0" w:line="1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77" w:lineRule="exact"/>
        <w:rPr>
          <w:sz w:val="20"/>
          <w:szCs w:val="20"/>
          <w:color w:val="auto"/>
        </w:rPr>
      </w:pPr>
    </w:p>
    <w:p>
      <w:pPr>
        <w:ind w:right="120" w:hanging="269"/>
        <w:spacing w:after="0" w:line="254" w:lineRule="auto"/>
        <w:rPr>
          <w:sz w:val="20"/>
          <w:szCs w:val="20"/>
          <w:color w:val="auto"/>
        </w:rPr>
      </w:pPr>
      <w:r>
        <w:rPr>
          <w:rFonts w:ascii="Times New Roman" w:cs="Times New Roman" w:eastAsia="Times New Roman" w:hAnsi="Times New Roman"/>
          <w:sz w:val="18"/>
          <w:szCs w:val="18"/>
          <w:color w:val="auto"/>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ectPr>
          <w:pgSz w:w="11900" w:h="16838" w:orient="portrait"/>
          <w:cols w:equalWidth="0" w:num="2">
            <w:col w:w="5760" w:space="560"/>
            <w:col w:w="4800"/>
          </w:cols>
          <w:pgMar w:left="320" w:top="455" w:right="459" w:bottom="1440" w:gutter="0" w:footer="0" w:header="0"/>
          <w:type w:val="continuous"/>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11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Rights of Purchase and Redemption</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issue redeemable shares if</w:t>
            </w: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 Under the DGCL, any corporation may purchase or redeem its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specifically authorized to do so by its articles of association, subject to</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 shares, except that generally it may not purchase or redeem</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conditions stated therein.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these shares if the capital of the corporation is impaired at the time</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purchase its own shares in certain</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or would become impaired as a result of the redemption. A</w:t>
            </w:r>
          </w:p>
        </w:tc>
        <w:tc>
          <w:tcPr>
            <w:tcW w:w="0" w:type="dxa"/>
            <w:vAlign w:val="bottom"/>
          </w:tcPr>
          <w:p>
            <w:pPr>
              <w:spacing w:after="0"/>
              <w:rPr>
                <w:sz w:val="1"/>
                <w:szCs w:val="1"/>
                <w:color w:val="auto"/>
              </w:rPr>
            </w:pPr>
          </w:p>
        </w:tc>
      </w:tr>
      <w:tr>
        <w:trPr>
          <w:trHeight w:val="122"/>
        </w:trPr>
        <w:tc>
          <w:tcPr>
            <w:tcW w:w="260" w:type="dxa"/>
            <w:vAlign w:val="bottom"/>
            <w:vMerge w:val="continue"/>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corporation may, however, purchase or redeem out of capital</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specific instances, including if the purchase has first been approved by a</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520" w:type="dxa"/>
            <w:vAlign w:val="bottom"/>
            <w:gridSpan w:val="2"/>
            <w:vMerge w:val="continue"/>
          </w:tcPr>
          <w:p>
            <w:pPr>
              <w:spacing w:after="0"/>
              <w:rPr>
                <w:sz w:val="10"/>
                <w:szCs w:val="10"/>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shares that are entitled upon any distribution of its assets to a</w:t>
            </w: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5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special resolution of its shareholders.</w:t>
            </w: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5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preference over another class or series of its shares if the shares</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 Under English law, a company may redeem or repurchase shares only if</w:t>
            </w:r>
          </w:p>
        </w:tc>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are to be retired and the capital reduced.</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shares are fully paid and, in the case of public companies, only out of</w:t>
            </w:r>
          </w:p>
        </w:tc>
        <w:tc>
          <w:tcPr>
            <w:tcW w:w="1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80" w:right="5820" w:hanging="4"/>
        <w:spacing w:after="0" w:line="260"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distributable profits, or (ii) the proceeds of a new issue of shares made for the purpose of the repurchase or redemption.</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Dissolution; Winding Up</w:t>
            </w:r>
          </w:p>
        </w:tc>
        <w:tc>
          <w:tcPr>
            <w:tcW w:w="45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 company may be compulsorily wound up by either an order of the</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 Unless the board of directors approves the proposal to dissolve,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English courts or voluntarily wound up by a special resolution of its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dissolution must be approved by shareholders holding 100%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members to be required if either the company swears a statutory</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the total voting power of the corporation. Only if the dissolution is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declaration of solvency or if the company is unable to pay its debts as</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initiated by the board of directors may it be approved by a simple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they fall due. The court has authority to order winding up in a number of</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majority of the corporation’s outstanding shares. Delaware law</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specified circumstances including where it is, in the opinion of the court,</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allows a Delaware corporation to include in its certificate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just and equitable to do so.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incorporation a supermajority voting requirement in connection</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 dissolutions initiated by the board.</w:t>
            </w: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5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Inspection of Books and Records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 Under the UK Companies Act shareholders have rights of inspection,</w:t>
            </w: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9"/>
              </w:rPr>
              <w:t>• </w:t>
            </w:r>
          </w:p>
        </w:tc>
        <w:tc>
          <w:tcPr>
            <w:tcW w:w="4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 Any shareholder of a corporation may for any proper purpose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including the right to:</w:t>
            </w:r>
          </w:p>
        </w:tc>
        <w:tc>
          <w:tcPr>
            <w:tcW w:w="34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inspect or make copies of the corporation’s stock ledger, list of</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(i)   inspect and obtain copies (for a fee) of the minutes of all general</w:t>
            </w:r>
          </w:p>
        </w:tc>
        <w:tc>
          <w:tcPr>
            <w:tcW w:w="340" w:type="dxa"/>
            <w:vAlign w:val="bottom"/>
          </w:tcPr>
          <w:p>
            <w:pPr>
              <w:spacing w:after="0"/>
              <w:rPr>
                <w:sz w:val="20"/>
                <w:szCs w:val="20"/>
                <w:color w:val="auto"/>
              </w:rPr>
            </w:pPr>
          </w:p>
        </w:tc>
        <w:tc>
          <w:tcPr>
            <w:tcW w:w="4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 and other books and records.</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55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Times New Roman" w:cs="Times New Roman" w:eastAsia="Times New Roman" w:hAnsi="Times New Roman"/>
          <w:sz w:val="18"/>
          <w:szCs w:val="18"/>
          <w:color w:val="auto"/>
        </w:rPr>
        <w:t>meetings of the company and all resolutions of members passed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other than at a general meeting;</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   inspect copies of the register of members, register of directors,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register of secretaries and other statutory registers maintained by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the company;</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(iii)  receive copies of the company’s annual report and accounts for each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financial year; and</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(iv)  receive notices of general meetings of the company.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England</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313"/>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 A company’s articles of association must be registered at Companies</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House and are therefore open to public inspection.</w:t>
            </w:r>
          </w:p>
        </w:tc>
        <w:tc>
          <w:tcPr>
            <w:tcW w:w="5180" w:type="dxa"/>
            <w:vAlign w:val="bottom"/>
          </w:tcPr>
          <w:p>
            <w:pPr>
              <w:spacing w:after="0"/>
              <w:rPr>
                <w:sz w:val="20"/>
                <w:szCs w:val="20"/>
                <w:color w:val="auto"/>
              </w:rPr>
            </w:pPr>
          </w:p>
        </w:tc>
      </w:tr>
      <w:tr>
        <w:trPr>
          <w:trHeight w:val="31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 Rezolve’s shareholders do not have any right to inspect board minutes of</w:t>
            </w:r>
          </w:p>
        </w:tc>
        <w:tc>
          <w:tcPr>
            <w:tcW w:w="518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518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558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299</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legality of the allotment of the Rezolve Ordinary Shares under English law will be passed upon for Rezolve by Taylor Wessing LLP.</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legality of the issue of the Rezolve Warrants will to the extent governed by English law, be passed upon for Rezolve by Taylor Wessing LLP but not the legality of the Company Warrant Instrument or the Warrant Assignment and Amendment Agreement both of which are governed by New York law.</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warrants registered pursuant to the registration statement of which this proxy statement/prospectus forms a part will be passed upon by DLA Piper LLP.</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DLA Piper LLP represented Armada in connection with the Business Combination and the preparation of this proxy statement/prospectus.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00"/>
          </w:cols>
          <w:pgMar w:left="320" w:top="455"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information contained in this document relating to Armada has been supplied by Armada, and all information relating to Rezolve has been supplied by Rezolve. Information provided by one entity does not constitute any representation, estimate or projection of any other entity.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document or if you have questions about the Business Combination, you should contact via phone or in writing:</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5500" w:hanging="438"/>
        <w:spacing w:after="0"/>
        <w:tabs>
          <w:tab w:leader="none" w:pos="55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543-6886</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w:t>
      </w:r>
    </w:p>
    <w:p>
      <w:pPr>
        <w:sectPr>
          <w:pgSz w:w="11900" w:h="16838" w:orient="portrait"/>
          <w:cols w:equalWidth="0" w:num="1">
            <w:col w:w="11060"/>
          </w:cols>
          <w:pgMar w:left="320" w:top="455" w:right="51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07"/>
        </w:trPr>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REZOLVE AI LIMITED</w:t>
            </w:r>
          </w:p>
        </w:tc>
        <w:tc>
          <w:tcPr>
            <w:tcW w:w="90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Carve-out Consolidated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gridSpan w:val="17"/>
          </w:tcPr>
          <w:p>
            <w:pPr>
              <w:jc w:val="center"/>
              <w:ind w:right="190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790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8"/>
        </w:trPr>
        <w:tc>
          <w:tcPr>
            <w:tcW w:w="120" w:type="dxa"/>
            <w:vAlign w:val="bottom"/>
          </w:tcPr>
          <w:p>
            <w:pPr>
              <w:spacing w:after="0"/>
              <w:rPr>
                <w:sz w:val="18"/>
                <w:szCs w:val="18"/>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9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100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Carve-out Consolidated Balance Sheets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Operations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Comprehensive Loss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51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Carve-out Consolidated Statements of Cash Flows </w:t>
            </w:r>
            <w:r>
              <w:rPr>
                <w:rFonts w:ascii="Times New Roman" w:cs="Times New Roman" w:eastAsia="Times New Roman" w:hAnsi="Times New Roman"/>
                <w:sz w:val="18"/>
                <w:szCs w:val="18"/>
                <w:color w:val="000000"/>
              </w:rPr>
              <w:t>(Restated)</w:t>
            </w:r>
          </w:p>
        </w:tc>
        <w:tc>
          <w:tcPr>
            <w:tcW w:w="488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the Carve-out Consolidated FinancialStatements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69"/>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9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20" w:type="dxa"/>
            <w:vAlign w:val="bottom"/>
            <w:gridSpan w:val="17"/>
          </w:tcPr>
          <w:p>
            <w:pPr>
              <w:jc w:val="center"/>
              <w:ind w:right="1880"/>
              <w:spacing w:after="0"/>
              <w:rPr>
                <w:sz w:val="20"/>
                <w:szCs w:val="20"/>
                <w:color w:val="auto"/>
              </w:rPr>
            </w:pPr>
            <w:r>
              <w:rPr>
                <w:rFonts w:ascii="Times New Roman" w:cs="Times New Roman" w:eastAsia="Times New Roman" w:hAnsi="Times New Roman"/>
                <w:sz w:val="18"/>
                <w:szCs w:val="18"/>
                <w:color w:val="auto"/>
              </w:rPr>
              <w:t>For the Three and Six Month Periods Ended March 31, 2024</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Unaudited Condensed Balance Sheets as of March 31, 2024 and September 30,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F-42</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and six months-ended March 31, 2024 and 2023</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for the three and six months-ended March 31, 2024 and 2023</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F-44</w:t>
            </w:r>
          </w:p>
        </w:tc>
      </w:tr>
      <w:tr>
        <w:trPr>
          <w:trHeight w:val="196"/>
        </w:trPr>
        <w:tc>
          <w:tcPr>
            <w:tcW w:w="12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Cash Flows for the six months ended March 31, 2024 and 2023</w:t>
            </w:r>
          </w:p>
        </w:tc>
        <w:tc>
          <w:tcPr>
            <w:tcW w:w="2260" w:type="dxa"/>
            <w:vAlign w:val="bottom"/>
            <w:tcBorders>
              <w:top w:val="single" w:sz="8" w:color="0000EE"/>
            </w:tcBorders>
            <w:gridSpan w:val="5"/>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F-46</w:t>
            </w:r>
          </w:p>
        </w:tc>
      </w:tr>
      <w:tr>
        <w:trPr>
          <w:trHeight w:val="434"/>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80" w:type="dxa"/>
            <w:vAlign w:val="bottom"/>
            <w:gridSpan w:val="1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60" w:type="dxa"/>
            <w:vAlign w:val="bottom"/>
            <w:gridSpan w:val="16"/>
          </w:tcPr>
          <w:p>
            <w:pPr>
              <w:jc w:val="center"/>
              <w:ind w:right="24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6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Balance Sheets as of December 31, 2023 (Unaudited) and September 30, 2022</w:t>
            </w:r>
          </w:p>
        </w:tc>
        <w:tc>
          <w:tcPr>
            <w:tcW w:w="35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F-68</w:t>
            </w:r>
          </w:p>
        </w:tc>
      </w:tr>
      <w:tr>
        <w:trPr>
          <w:trHeight w:val="196"/>
        </w:trPr>
        <w:tc>
          <w:tcPr>
            <w:tcW w:w="120" w:type="dxa"/>
            <w:vAlign w:val="bottom"/>
          </w:tcPr>
          <w:p>
            <w:pPr>
              <w:spacing w:after="0"/>
              <w:rPr>
                <w:sz w:val="17"/>
                <w:szCs w:val="17"/>
                <w:color w:val="auto"/>
              </w:rPr>
            </w:pPr>
          </w:p>
        </w:tc>
        <w:tc>
          <w:tcPr>
            <w:tcW w:w="83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for the three and nine months ended December 31,2023 and 2022 (Unaudited)</w:t>
            </w:r>
          </w:p>
        </w:tc>
        <w:tc>
          <w:tcPr>
            <w:tcW w:w="172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F-69</w:t>
            </w:r>
          </w:p>
        </w:tc>
      </w:tr>
      <w:tr>
        <w:trPr>
          <w:trHeight w:val="196"/>
        </w:trPr>
        <w:tc>
          <w:tcPr>
            <w:tcW w:w="120" w:type="dxa"/>
            <w:vAlign w:val="bottom"/>
          </w:tcPr>
          <w:p>
            <w:pPr>
              <w:spacing w:after="0"/>
              <w:rPr>
                <w:sz w:val="17"/>
                <w:szCs w:val="17"/>
                <w:color w:val="auto"/>
              </w:rPr>
            </w:pPr>
          </w:p>
        </w:tc>
        <w:tc>
          <w:tcPr>
            <w:tcW w:w="93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Changes in Stockholders’ Deficit for the three months ended December 31, 2023 and 2022 (Unaudited)</w:t>
            </w:r>
          </w:p>
        </w:tc>
        <w:tc>
          <w:tcPr>
            <w:tcW w:w="7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F-70</w:t>
            </w: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December 31, 2023 and 2022 (Unaudited)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F-71</w:t>
            </w:r>
          </w:p>
        </w:tc>
      </w:tr>
      <w:tr>
        <w:trPr>
          <w:trHeight w:val="196"/>
        </w:trPr>
        <w:tc>
          <w:tcPr>
            <w:tcW w:w="120" w:type="dxa"/>
            <w:vAlign w:val="bottom"/>
          </w:tcPr>
          <w:p>
            <w:pPr>
              <w:spacing w:after="0"/>
              <w:rPr>
                <w:sz w:val="17"/>
                <w:szCs w:val="17"/>
                <w:color w:val="auto"/>
              </w:rPr>
            </w:pPr>
          </w:p>
        </w:tc>
        <w:tc>
          <w:tcPr>
            <w:tcW w:w="77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234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F-72</w:t>
            </w:r>
          </w:p>
        </w:tc>
      </w:tr>
      <w:tr>
        <w:trPr>
          <w:trHeight w:val="542"/>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0"/>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color w:val="auto"/>
              </w:rPr>
              <w:t>For the years ended September 30, 2023 and 2022</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F-93</w:t>
            </w:r>
          </w:p>
        </w:tc>
      </w:tr>
      <w:tr>
        <w:trPr>
          <w:trHeight w:val="196"/>
        </w:trPr>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3120" w:type="dxa"/>
            <w:vAlign w:val="bottom"/>
            <w:tcBorders>
              <w:top w:val="single" w:sz="8" w:color="0000EE"/>
            </w:tcBorders>
            <w:gridSpan w:val="12"/>
          </w:tcPr>
          <w:p>
            <w:pPr>
              <w:spacing w:after="0"/>
              <w:rPr>
                <w:sz w:val="17"/>
                <w:szCs w:val="17"/>
                <w:color w:val="auto"/>
              </w:rPr>
            </w:pPr>
          </w:p>
        </w:tc>
        <w:tc>
          <w:tcPr>
            <w:tcW w:w="584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F-94</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of Operations</w:t>
            </w:r>
          </w:p>
        </w:tc>
        <w:tc>
          <w:tcPr>
            <w:tcW w:w="8240" w:type="dxa"/>
            <w:vAlign w:val="bottom"/>
            <w:gridSpan w:val="2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F-95</w:t>
            </w: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Statements of Changes in Stockholders’ Equity </w:t>
            </w:r>
            <w:r>
              <w:rPr>
                <w:rFonts w:ascii="Times New Roman" w:cs="Times New Roman" w:eastAsia="Times New Roman" w:hAnsi="Times New Roman"/>
                <w:sz w:val="18"/>
                <w:szCs w:val="18"/>
                <w:color w:val="000000"/>
              </w:rPr>
              <w:t>(Deficit)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F-96</w:t>
            </w: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1520" w:type="dxa"/>
            <w:vAlign w:val="bottom"/>
            <w:tcBorders>
              <w:top w:val="single" w:sz="8" w:color="0000EE"/>
            </w:tcBorders>
            <w:gridSpan w:val="4"/>
          </w:tcPr>
          <w:p>
            <w:pPr>
              <w:spacing w:after="0"/>
              <w:rPr>
                <w:sz w:val="17"/>
                <w:szCs w:val="17"/>
                <w:color w:val="auto"/>
              </w:rPr>
            </w:pPr>
          </w:p>
        </w:tc>
        <w:tc>
          <w:tcPr>
            <w:tcW w:w="6660" w:type="dxa"/>
            <w:vAlign w:val="bottom"/>
            <w:gridSpan w:val="1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F-97</w:t>
            </w:r>
          </w:p>
        </w:tc>
      </w:tr>
      <w:tr>
        <w:trPr>
          <w:trHeight w:val="196"/>
        </w:trPr>
        <w:tc>
          <w:tcPr>
            <w:tcW w:w="120" w:type="dxa"/>
            <w:vAlign w:val="bottom"/>
          </w:tcPr>
          <w:p>
            <w:pPr>
              <w:spacing w:after="0"/>
              <w:rPr>
                <w:sz w:val="17"/>
                <w:szCs w:val="17"/>
                <w:color w:val="auto"/>
              </w:rPr>
            </w:pPr>
          </w:p>
        </w:tc>
        <w:tc>
          <w:tcPr>
            <w:tcW w:w="100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F-98</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80" w:type="dxa"/>
            <w:vAlign w:val="bottom"/>
            <w:gridSpan w:val="9"/>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9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Limited and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2024</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780"/>
          </w:cols>
          <w:pgMar w:left="320" w:top="455" w:right="7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3"/>
        </w:trPr>
        <w:tc>
          <w:tcPr>
            <w:tcW w:w="7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10,441</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12,534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299,013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440,846</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Loans receivable </w:t>
            </w:r>
            <w:r>
              <w:rPr>
                <w:rFonts w:ascii="Times New Roman" w:cs="Times New Roman" w:eastAsia="Times New Roman" w:hAnsi="Times New Roman"/>
                <w:sz w:val="16"/>
                <w:szCs w:val="16"/>
                <w:i w:val="1"/>
                <w:iCs w:val="1"/>
                <w:color w:val="auto"/>
              </w:rPr>
              <w:t>(net of credit loss provision of $785,000 and nil as at December 31, 2023 and 2022)</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598,414</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1,087,495</w:t>
            </w:r>
          </w:p>
        </w:tc>
        <w:tc>
          <w:tcPr>
            <w:tcW w:w="100" w:type="dxa"/>
            <w:vAlign w:val="bottom"/>
            <w:shd w:val="clear" w:color="auto" w:fill="CCEEFF"/>
          </w:tcPr>
          <w:p>
            <w:pPr>
              <w:spacing w:after="0"/>
              <w:rPr>
                <w:sz w:val="17"/>
                <w:szCs w:val="17"/>
                <w:color w:val="auto"/>
              </w:rPr>
            </w:pPr>
          </w:p>
        </w:tc>
      </w:tr>
      <w:tr>
        <w:trPr>
          <w:trHeight w:val="20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79,593</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110,998</w:t>
            </w:r>
          </w:p>
        </w:tc>
      </w:tr>
      <w:tr>
        <w:trPr>
          <w:trHeight w:val="20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450,446</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561,444</w:t>
            </w:r>
          </w:p>
        </w:tc>
        <w:tc>
          <w:tcPr>
            <w:tcW w:w="100" w:type="dxa"/>
            <w:vAlign w:val="bottom"/>
            <w:shd w:val="clear" w:color="auto" w:fill="CCEEFF"/>
          </w:tcPr>
          <w:p>
            <w:pPr>
              <w:spacing w:after="0"/>
              <w:rPr>
                <w:sz w:val="17"/>
                <w:szCs w:val="17"/>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4,569,703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3,728,974</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to related party (refer to note 14)</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777,576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621,791</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4,492,790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2,640,384</w:t>
            </w: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payable</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8,223,928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14)</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132,269</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 term debt to related party (refer to note 2.20 and note 14)</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6,225,815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697,067</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1,311,028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Convertible debt (current)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7,688,216</w:t>
            </w:r>
          </w:p>
        </w:tc>
        <w:tc>
          <w:tcPr>
            <w:tcW w:w="100" w:type="dxa"/>
            <w:vAlign w:val="bottom"/>
            <w:shd w:val="clear" w:color="auto" w:fill="CCEEFF"/>
          </w:tcPr>
          <w:p>
            <w:pPr>
              <w:spacing w:after="0"/>
              <w:rPr>
                <w:sz w:val="17"/>
                <w:szCs w:val="17"/>
                <w:color w:val="auto"/>
              </w:rPr>
            </w:pPr>
          </w:p>
        </w:tc>
      </w:tr>
      <w:tr>
        <w:trPr>
          <w:trHeight w:val="206"/>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Convertible debt (long-term)</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25,302,709</w:t>
            </w:r>
          </w:p>
        </w:tc>
        <w:tc>
          <w:tcPr>
            <w:tcW w:w="100" w:type="dxa"/>
            <w:vAlign w:val="bottom"/>
            <w:shd w:val="clear" w:color="auto" w:fill="CCEEFF"/>
          </w:tcPr>
          <w:p>
            <w:pPr>
              <w:spacing w:after="0"/>
              <w:rPr>
                <w:sz w:val="17"/>
                <w:szCs w:val="17"/>
                <w:color w:val="auto"/>
              </w:rPr>
            </w:pPr>
          </w:p>
        </w:tc>
      </w:tr>
      <w:tr>
        <w:trPr>
          <w:trHeight w:val="210"/>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payment liability (long-term)</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1,177,617</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— </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26,480,326</w:t>
            </w:r>
          </w:p>
        </w:tc>
        <w:tc>
          <w:tcPr>
            <w:tcW w:w="100" w:type="dxa"/>
            <w:vAlign w:val="bottom"/>
            <w:shd w:val="clear" w:color="auto" w:fill="CCEEFF"/>
          </w:tcPr>
          <w:p>
            <w:pPr>
              <w:spacing w:after="0"/>
              <w:rPr>
                <w:sz w:val="17"/>
                <w:szCs w:val="17"/>
                <w:color w:val="auto"/>
              </w:rPr>
            </w:pPr>
          </w:p>
        </w:tc>
      </w:tr>
      <w:tr>
        <w:trPr>
          <w:trHeight w:val="20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34,168,542</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9"/>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Ordinary shares, £0.0001 nominal value 932,969,424 shares issued and outstanding as of December 31,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2023 927,806,159 shares issued and outstanding as of December 31, 2022 991,285,244 and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986,121,959 shares authorized as of December 31, 2023 and 2022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127,310</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126,677</w:t>
            </w:r>
          </w:p>
        </w:tc>
        <w:tc>
          <w:tcPr>
            <w:tcW w:w="100" w:type="dxa"/>
            <w:vAlign w:val="bottom"/>
          </w:tcPr>
          <w:p>
            <w:pPr>
              <w:spacing w:after="0"/>
              <w:rPr>
                <w:sz w:val="18"/>
                <w:szCs w:val="18"/>
                <w:color w:val="auto"/>
              </w:rPr>
            </w:pPr>
          </w:p>
        </w:tc>
      </w:tr>
      <w:tr>
        <w:trPr>
          <w:trHeight w:val="192"/>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Series A shares, £0.0001 nominal value 28,039,517 shares issued, authorized and outstanding as of</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2023 and 2022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3,868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CEEFF"/>
          </w:tcPr>
          <w:p>
            <w:pPr>
              <w:spacing w:after="0"/>
              <w:rPr>
                <w:sz w:val="18"/>
                <w:szCs w:val="18"/>
                <w:color w:val="auto"/>
              </w:rPr>
            </w:pP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172,204,832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163,165,083</w:t>
            </w:r>
          </w:p>
        </w:tc>
        <w:tc>
          <w:tcPr>
            <w:tcW w:w="100" w:type="dxa"/>
            <w:vAlign w:val="bottom"/>
          </w:tcPr>
          <w:p>
            <w:pPr>
              <w:spacing w:after="0"/>
              <w:rPr>
                <w:sz w:val="17"/>
                <w:szCs w:val="17"/>
                <w:color w:val="auto"/>
              </w:rPr>
            </w:pP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Share subscription receivable (1)</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(178,720)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7"/>
                <w:szCs w:val="17"/>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(226,291,430)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(195,555,332)</w:t>
            </w:r>
          </w:p>
        </w:tc>
      </w:tr>
      <w:tr>
        <w:trPr>
          <w:trHeight w:val="203"/>
        </w:trPr>
        <w:tc>
          <w:tcPr>
            <w:tcW w:w="7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(150,744)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(81,179)</w:t>
            </w:r>
          </w:p>
        </w:tc>
      </w:tr>
      <w:tr>
        <w:trPr>
          <w:trHeight w:val="217"/>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(54,284,884)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(32,519,603)</w:t>
            </w:r>
          </w:p>
        </w:tc>
        <w:tc>
          <w:tcPr>
            <w:tcW w:w="100" w:type="dxa"/>
            <w:vAlign w:val="bottom"/>
          </w:tcPr>
          <w:p>
            <w:pPr>
              <w:spacing w:after="0"/>
              <w:rPr>
                <w:sz w:val="18"/>
                <w:szCs w:val="18"/>
                <w:color w:val="auto"/>
              </w:rPr>
            </w:pPr>
          </w:p>
        </w:tc>
      </w:tr>
      <w:tr>
        <w:trPr>
          <w:trHeight w:val="203"/>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1,648,939</w:t>
            </w:r>
          </w:p>
        </w:tc>
        <w:tc>
          <w:tcPr>
            <w:tcW w:w="100" w:type="dxa"/>
            <w:vAlign w:val="bottom"/>
            <w:shd w:val="clear" w:color="auto" w:fill="CCEEFF"/>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balances of $(119,844) as at December 31, 2023 and 2022, refer to note 14.</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Carve-out Consolidated Statement of Operations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Cost of revenue (</w:t>
      </w:r>
      <w:r>
        <w:rPr>
          <w:rFonts w:ascii="Times New Roman" w:cs="Times New Roman" w:eastAsia="Times New Roman" w:hAnsi="Times New Roman"/>
          <w:sz w:val="18"/>
          <w:szCs w:val="18"/>
          <w:i w:val="1"/>
          <w:iCs w:val="1"/>
          <w:color w:val="auto"/>
        </w:rPr>
        <w:t>refer to note 2.11)</w:t>
      </w:r>
    </w:p>
    <w:p>
      <w:pPr>
        <w:spacing w:after="0" w:line="9" w:lineRule="exact"/>
        <w:rPr>
          <w:sz w:val="20"/>
          <w:szCs w:val="20"/>
          <w:color w:val="auto"/>
        </w:rPr>
      </w:pPr>
    </w:p>
    <w:p>
      <w:pPr>
        <w:ind w:left="660" w:hanging="179"/>
        <w:spacing w:after="0" w:line="250" w:lineRule="auto"/>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 2,072,224 and 869,777 refer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660" w:right="540" w:hanging="179"/>
        <w:spacing w:after="0" w:line="250" w:lineRule="auto"/>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 3,831,291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41,231,704, refer to Note 14)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Impairment of investment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 w:type="dxa"/>
            <w:vAlign w:val="bottom"/>
          </w:tcPr>
          <w:p>
            <w:pPr>
              <w:spacing w:after="0"/>
              <w:rPr>
                <w:sz w:val="18"/>
                <w:szCs w:val="18"/>
                <w:color w:val="auto"/>
              </w:rPr>
            </w:pPr>
          </w:p>
        </w:tc>
      </w:tr>
      <w:tr>
        <w:trPr>
          <w:trHeight w:val="4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34,791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745,040</w:t>
            </w: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6,731,254</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4,338,557</w:t>
            </w:r>
          </w:p>
        </w:tc>
      </w:tr>
      <w:tr>
        <w:trPr>
          <w:trHeight w:val="414"/>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17,986,528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86,640,500</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1,156,316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334,952</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242,436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235,797</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14,822,022</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44,438</w:t>
            </w:r>
          </w:p>
        </w:tc>
      </w:tr>
    </w:tbl>
    <w:p>
      <w:pPr>
        <w:spacing w:after="0" w:line="1" w:lineRule="exact"/>
        <w:rPr>
          <w:sz w:val="20"/>
          <w:szCs w:val="20"/>
          <w:color w:val="auto"/>
        </w:rPr>
      </w:pPr>
    </w:p>
    <w:p>
      <w:pPr>
        <w:sectPr>
          <w:pgSz w:w="11900" w:h="16838" w:orient="portrait"/>
          <w:cols w:equalWidth="0" w:num="2">
            <w:col w:w="7620" w:space="520"/>
            <w:col w:w="300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(26,006,274)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(107,046,147)</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(4,791,782)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3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(110,674,183)</w:t>
            </w:r>
          </w:p>
        </w:tc>
        <w:tc>
          <w:tcPr>
            <w:tcW w:w="12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type w:val="continuous"/>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4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(110,712,948)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(69,565)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(87,941)</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(30,805,663</w:t>
            </w:r>
          </w:p>
        </w:tc>
        <w:tc>
          <w:tcPr>
            <w:tcW w:w="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(110,800,889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Changes in Shareholders’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48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vMerge w:val="restart"/>
          </w:tcPr>
          <w:p>
            <w:pPr>
              <w:spacing w:after="0"/>
              <w:rPr>
                <w:sz w:val="13"/>
                <w:szCs w:val="13"/>
                <w:color w:val="auto"/>
              </w:rPr>
            </w:pPr>
          </w:p>
        </w:tc>
        <w:tc>
          <w:tcPr>
            <w:tcW w:w="13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40" w:type="dxa"/>
            <w:vAlign w:val="bottom"/>
            <w:vMerge w:val="restart"/>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vMerge w:val="restart"/>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0"/>
                <w:szCs w:val="10"/>
                <w:color w:val="auto"/>
              </w:rPr>
            </w:pPr>
          </w:p>
        </w:tc>
        <w:tc>
          <w:tcPr>
            <w:tcW w:w="9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subscription</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 2022</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891,818,882</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122,427</w:t>
            </w: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83,692,381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(84,842,384)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(175,505)</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6,762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(1,192,451)</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2,040,816</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166</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2,499,754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2,499,920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for ANY (note 2.20) (as</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14,427,185</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14,858,007</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14,860,000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restated)</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to consultant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677</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18,417,139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18,417,816</w:t>
            </w: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against exercise of</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1,700,000</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2,082,308</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2,082,500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 (note 9)</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 related parties</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27,246,461</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3,215</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39,498,486</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(3,215)</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39,498,486</w:t>
            </w:r>
          </w:p>
        </w:tc>
        <w:tc>
          <w:tcPr>
            <w:tcW w:w="0" w:type="dxa"/>
            <w:vAlign w:val="bottom"/>
          </w:tcPr>
          <w:p>
            <w:pPr>
              <w:spacing w:after="0"/>
              <w:rPr>
                <w:sz w:val="1"/>
                <w:szCs w:val="1"/>
                <w:color w:val="auto"/>
              </w:rPr>
            </w:pPr>
          </w:p>
        </w:tc>
      </w:tr>
      <w:tr>
        <w:trPr>
          <w:trHeight w:val="171"/>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11)</w:t>
            </w:r>
          </w:p>
        </w:tc>
        <w:tc>
          <w:tcPr>
            <w:tcW w:w="9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share-based compensation (note 11)</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2,115,015</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2,115,015</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ANY shares reverted (note 2.20)</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(14,427,185)</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(1,993)</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1,993</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(as restated)</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(110,712,948)</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(110,712,948)</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(loss) (as restated)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vMerge w:val="restart"/>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vMerge w:val="restart"/>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(87,941)</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(87,941)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927,806,159</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163,165,083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(81,179)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issued to related parties</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163,265</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199,954</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199,974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Ordinary shares issued from exercise of share-</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5,000,000</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613</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(613)</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9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in lieu of services</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115,190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115,190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related parties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3,646,017</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3,646,017</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share-based compensation</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5,079,201</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5,079,201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(30,736,098)</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(30,736,098)</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(loss)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20" w:type="dxa"/>
            <w:vAlign w:val="bottom"/>
            <w:vMerge w:val="restart"/>
          </w:tcPr>
          <w:p>
            <w:pPr>
              <w:spacing w:after="0"/>
              <w:rPr>
                <w:sz w:val="15"/>
                <w:szCs w:val="15"/>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— </w:t>
            </w:r>
          </w:p>
        </w:tc>
        <w:tc>
          <w:tcPr>
            <w:tcW w:w="140" w:type="dxa"/>
            <w:vAlign w:val="bottom"/>
            <w:vMerge w:val="restart"/>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vMerge w:val="restart"/>
          </w:tcPr>
          <w:p>
            <w:pPr>
              <w:spacing w:after="0"/>
              <w:rPr>
                <w:sz w:val="15"/>
                <w:szCs w:val="15"/>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(69,565)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at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932,969,424</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127,310</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28,039,517</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3,868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172,204,832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84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9"/>
        </w:trPr>
        <w:tc>
          <w:tcPr>
            <w:tcW w:w="84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60" w:type="dxa"/>
            <w:vAlign w:val="bottom"/>
            <w:gridSpan w:val="2"/>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73"/>
        </w:trPr>
        <w:tc>
          <w:tcPr>
            <w:tcW w:w="84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3"/>
        </w:trPr>
        <w:tc>
          <w:tcPr>
            <w:tcW w:w="84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(30,736,098)</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  (110,712,948)</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loss to net cash (used in)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242,436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244,208</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foreign exchange (gain)/loss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375,298</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(277,838)</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Share based compensation issued to related parties for consultancy services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3,646,017</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39,501,701</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compensation for consultancy services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18,417,816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Employee share based compensation</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5,079,201</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2,115,015</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ROU asset, net of lease termination</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46,236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prepayments and other current assets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731,940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accounts receivable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334,952</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loans recievable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1,156,316</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goodwill</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44,438</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Impairment of investment in ANY</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14,600,000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4,791,782</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3,884,695</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accounts receivable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(3,679)</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712,554</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prepayment and other current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(416,069)</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(56,523)</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(46,236)</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Decrease in receivable with related parties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168,754</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accounts payable, accrued expenses and other payables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2,310,465</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3,340,539</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in payables to related parties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161,791</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(13,001,875)</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(26,788,906)</w:t>
            </w:r>
          </w:p>
        </w:tc>
      </w:tr>
      <w:tr>
        <w:trPr>
          <w:trHeight w:val="20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(14,376)</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(36,854)</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Development of intangible assets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(1,767,148)</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7"/>
        </w:trPr>
        <w:tc>
          <w:tcPr>
            <w:tcW w:w="84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(1,781,524)</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(36,854)</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rights issuance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7,767,674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ordinary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2,499,920</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related parties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199,974</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short-term debt obligation from related parties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(250,000)</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short-term debt from related party</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4,369,413</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long-term debt obligation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21,500,000</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flow generated from financing activities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14,712,061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23,999,920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177,287</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(28,939)</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(2,648,553)</w:t>
            </w:r>
          </w:p>
        </w:tc>
      </w:tr>
      <w:tr>
        <w:trPr>
          <w:trHeight w:val="210"/>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2,687,933</w:t>
            </w: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10,441</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39,380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 for development of intangible asset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115,190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 payable converted to principal</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4,040,989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r>
    </w:tbl>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rFonts w:ascii="Times New Roman" w:cs="Times New Roman" w:eastAsia="Times New Roman" w:hAnsi="Times New Roman"/>
          <w:sz w:val="18"/>
          <w:szCs w:val="18"/>
          <w:b w:val="1"/>
          <w:bCs w:val="1"/>
          <w:color w:val="auto"/>
        </w:rPr>
      </w:pPr>
    </w:p>
    <w:p>
      <w:pPr>
        <w:ind w:left="5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53" w:lineRule="exact"/>
        <w:rPr>
          <w:rFonts w:ascii="Times New Roman" w:cs="Times New Roman" w:eastAsia="Times New Roman" w:hAnsi="Times New Roman"/>
          <w:sz w:val="18"/>
          <w:szCs w:val="18"/>
          <w:b w:val="1"/>
          <w:bCs w:val="1"/>
          <w:color w:val="auto"/>
        </w:rPr>
      </w:pPr>
    </w:p>
    <w:p>
      <w:pPr>
        <w:ind w:left="560" w:right="420"/>
        <w:spacing w:after="0" w:line="29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68"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68"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72"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75"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8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30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left="560" w:right="40"/>
        <w:spacing w:after="0" w:line="253"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2000" w:type="dxa"/>
            <w:vAlign w:val="bottom"/>
            <w:gridSpan w:val="2"/>
            <w:vMerge w:val="restart"/>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7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Rezolve Mobile Commerce Inc.</w:t>
            </w:r>
          </w:p>
        </w:tc>
        <w:tc>
          <w:tcPr>
            <w:tcW w:w="6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360" w:type="dxa"/>
            <w:vAlign w:val="bottom"/>
            <w:gridSpan w:val="3"/>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 of</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7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America</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6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760" w:type="dxa"/>
            <w:vAlign w:val="bottom"/>
          </w:tcPr>
          <w:p>
            <w:pPr>
              <w:spacing w:after="0"/>
              <w:rPr>
                <w:sz w:val="18"/>
                <w:szCs w:val="18"/>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Spain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2000" w:type="dxa"/>
            <w:vAlign w:val="bottom"/>
            <w:gridSpan w:val="2"/>
            <w:shd w:val="clear" w:color="auto" w:fill="CCEEFF"/>
          </w:tcPr>
          <w:p>
            <w:pPr>
              <w:jc w:val="center"/>
              <w:ind w:left="539"/>
              <w:spacing w:after="0"/>
              <w:rPr>
                <w:sz w:val="20"/>
                <w:szCs w:val="20"/>
                <w:color w:val="auto"/>
              </w:rPr>
            </w:pPr>
            <w:r>
              <w:rPr>
                <w:rFonts w:ascii="Times New Roman" w:cs="Times New Roman" w:eastAsia="Times New Roman" w:hAnsi="Times New Roman"/>
                <w:sz w:val="18"/>
                <w:szCs w:val="18"/>
                <w:color w:val="auto"/>
                <w:w w:val="99"/>
              </w:rPr>
              <w:t>November 9, 2000</w:t>
            </w:r>
          </w:p>
        </w:tc>
        <w:tc>
          <w:tcPr>
            <w:tcW w:w="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Taiwan</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6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760" w:type="dxa"/>
            <w:vAlign w:val="bottom"/>
          </w:tcPr>
          <w:p>
            <w:pPr>
              <w:spacing w:after="0"/>
              <w:rPr>
                <w:sz w:val="20"/>
                <w:szCs w:val="20"/>
                <w:color w:val="auto"/>
              </w:rPr>
            </w:pPr>
          </w:p>
        </w:tc>
        <w:tc>
          <w:tcPr>
            <w:tcW w:w="1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India</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7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81" w:lineRule="exact"/>
        <w:rPr>
          <w:sz w:val="20"/>
          <w:szCs w:val="20"/>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117"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54"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tab/>
        <w:t>Use of estimates</w:t>
      </w:r>
    </w:p>
    <w:p>
      <w:pPr>
        <w:spacing w:after="0" w:line="121" w:lineRule="exact"/>
        <w:rPr>
          <w:sz w:val="20"/>
          <w:szCs w:val="20"/>
          <w:color w:val="auto"/>
        </w:rPr>
      </w:pPr>
    </w:p>
    <w:p>
      <w:pPr>
        <w:ind w:left="560" w:right="16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33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75"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8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2.7</w:t>
        <w:tab/>
        <w:t>Cash</w:t>
      </w:r>
    </w:p>
    <w:p>
      <w:pPr>
        <w:spacing w:after="0" w:line="121" w:lineRule="exact"/>
        <w:rPr>
          <w:sz w:val="20"/>
          <w:szCs w:val="20"/>
          <w:color w:val="auto"/>
        </w:rPr>
      </w:pPr>
    </w:p>
    <w:p>
      <w:pPr>
        <w:ind w:left="560" w:right="340"/>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 Company has adopted ASC 326 “Financial Instruments—Credit Losses” as of January 31, 2023 (refer to note 3.) Account receivable consists primarily of amounts related to fees charged to customers. Credit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tab/>
        <w:t>Property and equipment</w:t>
      </w:r>
    </w:p>
    <w:p>
      <w:pPr>
        <w:spacing w:after="0" w:line="121"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54"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14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714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1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71"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ind w:left="560" w:right="20"/>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68"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780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5 years</w:t>
            </w:r>
          </w:p>
        </w:tc>
      </w:tr>
      <w:tr>
        <w:trPr>
          <w:trHeight w:val="365"/>
        </w:trPr>
        <w:tc>
          <w:tcPr>
            <w:tcW w:w="2780" w:type="dxa"/>
            <w:vAlign w:val="bottom"/>
          </w:tcPr>
          <w:p>
            <w:pPr>
              <w:spacing w:after="0"/>
              <w:rPr>
                <w:sz w:val="24"/>
                <w:szCs w:val="24"/>
                <w:color w:val="auto"/>
              </w:rPr>
            </w:pPr>
          </w:p>
        </w:tc>
        <w:tc>
          <w:tcPr>
            <w:tcW w:w="7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F-13</w:t>
            </w:r>
          </w:p>
        </w:tc>
      </w:tr>
    </w:tbl>
    <w:p>
      <w:pPr>
        <w:sectPr>
          <w:pgSz w:w="11900" w:h="16838" w:orient="portrait"/>
          <w:cols w:equalWidth="0" w:num="1">
            <w:col w:w="11140"/>
          </w:cols>
          <w:pgMar w:left="320" w:top="455"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81"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2"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5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 ended.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jc w:val="both"/>
        <w:ind w:left="560" w:right="120"/>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68"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080" w:hanging="424"/>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60" w:right="860"/>
        <w:spacing w:after="0" w:line="282" w:lineRule="auto"/>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left="560" w:right="680"/>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75"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54" w:lineRule="exact"/>
        <w:rPr>
          <w:sz w:val="20"/>
          <w:szCs w:val="20"/>
          <w:color w:val="auto"/>
        </w:rPr>
      </w:pPr>
    </w:p>
    <w:p>
      <w:pPr>
        <w:ind w:left="560" w:right="50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5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5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 Additional</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5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16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52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£0.016</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8"/>
                <w:szCs w:val="18"/>
                <w:color w:val="auto"/>
              </w:rPr>
            </w:pPr>
          </w:p>
        </w:tc>
        <w:tc>
          <w:tcPr>
            <w:tcW w:w="13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58,315,800</w:t>
            </w:r>
          </w:p>
        </w:tc>
        <w:tc>
          <w:tcPr>
            <w:tcW w:w="5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spacing w:after="0"/>
              <w:rPr>
                <w:sz w:val="19"/>
                <w:szCs w:val="19"/>
                <w:color w:val="auto"/>
              </w:rPr>
            </w:pPr>
          </w:p>
        </w:tc>
        <w:tc>
          <w:tcPr>
            <w:tcW w:w="13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58,315,800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7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2.20 Restatement of error in previously filed consolidated combined carve-out financial statements:</w:t>
      </w:r>
    </w:p>
    <w:p>
      <w:pPr>
        <w:spacing w:after="0" w:line="121" w:lineRule="exact"/>
        <w:rPr>
          <w:sz w:val="20"/>
          <w:szCs w:val="20"/>
          <w:color w:val="auto"/>
        </w:rPr>
      </w:pPr>
    </w:p>
    <w:p>
      <w:pPr>
        <w:ind w:left="560" w:right="160"/>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68" w:lineRule="exact"/>
        <w:rPr>
          <w:sz w:val="20"/>
          <w:szCs w:val="20"/>
          <w:color w:val="auto"/>
        </w:rPr>
      </w:pPr>
    </w:p>
    <w:p>
      <w:pPr>
        <w:ind w:left="560" w:right="40"/>
        <w:spacing w:after="0" w:line="221"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91"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54"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580"/>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2840" w:type="dxa"/>
            <w:vAlign w:val="bottom"/>
          </w:tcPr>
          <w:p>
            <w:pPr>
              <w:spacing w:after="0"/>
              <w:rPr>
                <w:sz w:val="12"/>
                <w:szCs w:val="12"/>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0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(2,329)</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39,380</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74,748</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(65,893)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607,726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(607,726)</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(163,312)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1,039,260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(839,260)</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139,560</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110,998</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1,061,763</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(1,061,763)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6,237,443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(5,786,997)</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450,446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7,738,766</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(6,877,322)</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697,067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4,262,476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(533,502)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3,728,974</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225,120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396,671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621,791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3,488,909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(848,525)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2,640,384</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(985,356)</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25,302,709</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1,177,616</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2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(1,526,622)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(1,526,622)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(36,680,519)</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(2,511,978)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126,677</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126,677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shares</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(1,993)</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shares</w:t>
            </w:r>
          </w:p>
        </w:tc>
        <w:tc>
          <w:tcPr>
            <w:tcW w:w="4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3,868</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163,163,090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163,165,083</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4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(178,720)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(178,720)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4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(189,171,542)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(6,383,790)</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(195,555,332)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(1,260,364)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1,179,185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(81,179)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8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(27,314,998)</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(5,204,605)</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(32,519,603)</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8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(7,716,583)</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4260" w:type="dxa"/>
            <w:vAlign w:val="bottom"/>
            <w:gridSpan w:val="3"/>
          </w:tcPr>
          <w:p>
            <w:pPr>
              <w:jc w:val="right"/>
              <w:ind w:right="2780"/>
              <w:spacing w:after="0"/>
              <w:rPr>
                <w:sz w:val="20"/>
                <w:szCs w:val="20"/>
                <w:color w:val="auto"/>
              </w:rPr>
            </w:pPr>
            <w:r>
              <w:rPr>
                <w:rFonts w:ascii="Times New Roman" w:cs="Times New Roman" w:eastAsia="Times New Roman" w:hAnsi="Times New Roman"/>
                <w:sz w:val="18"/>
                <w:szCs w:val="18"/>
                <w:color w:val="auto"/>
              </w:rPr>
              <w:t>F-18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(11,764,184</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5,604,129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(4,859,089)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745,040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6,827,211</w:t>
            </w:r>
          </w:p>
        </w:tc>
        <w:tc>
          <w:tcPr>
            <w:tcW w:w="1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(2,488,654)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4,338,557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91,604,396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(4,963,896)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86,640,500</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742,113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235,797</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14,822,022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14,822,022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7,418,302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(7,373,864)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(5,369,797)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w w:val="99"/>
              </w:rPr>
              <w:t>(100,651,760)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(6,394,387)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(107,046,147)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(3,884,698)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(58,915)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256,659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(3,569,124)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(58,912)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(3,628,036)</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(104,220,884)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(31,521,733)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(110,674,183)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115,447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(63,408)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(104,105,437</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(31,585,141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(110,712,948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913,109,577</w:t>
            </w:r>
          </w:p>
        </w:tc>
        <w:tc>
          <w:tcPr>
            <w:tcW w:w="0" w:type="dxa"/>
            <w:vAlign w:val="bottom"/>
          </w:tcPr>
          <w:p>
            <w:pPr>
              <w:spacing w:after="0"/>
              <w:rPr>
                <w:sz w:val="1"/>
                <w:szCs w:val="1"/>
                <w:color w:val="auto"/>
              </w:rPr>
            </w:pPr>
          </w:p>
        </w:tc>
      </w:tr>
      <w:tr>
        <w:trPr>
          <w:trHeight w:val="346"/>
        </w:trPr>
        <w:tc>
          <w:tcPr>
            <w:tcW w:w="4660" w:type="dxa"/>
            <w:vAlign w:val="bottom"/>
          </w:tcPr>
          <w:p>
            <w:pPr>
              <w:spacing w:after="0"/>
              <w:rPr>
                <w:sz w:val="24"/>
                <w:szCs w:val="24"/>
                <w:color w:val="auto"/>
              </w:rPr>
            </w:pPr>
          </w:p>
        </w:tc>
        <w:tc>
          <w:tcPr>
            <w:tcW w:w="21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F-19</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4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(104,105,438)</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(6,607,510)</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(110,712,948)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742,113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(497,905)</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244,208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(277,838)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(277,838)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39,501,701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18,417,816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2,115,015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2,115,015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46,236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731,940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731,940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334,952</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334,952</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7,418,302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(7,373,864)</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44,438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14,600,000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(243,835)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243,835</w:t>
            </w: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3,884,695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3,884,695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646,661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65,893</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712,554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(215,468)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158,945</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(56,523)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(46,236)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(46,236)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(245,266)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414,020</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168,754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4,766,607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(1,426,068)</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3,340,539</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(234,880)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396,671</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161,791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(26,762,923)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(25,983)</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(26,788,906)</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(25,973)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(14,376)</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(36,854)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(1,767,148)</w:t>
            </w:r>
          </w:p>
        </w:tc>
        <w:tc>
          <w:tcPr>
            <w:tcW w:w="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(25,973)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(1,781,524)</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(36,854)</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2,499,920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2,499,920</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21,500,000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21,500,000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(2,648,318)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(235)</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(2,648,553)</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2,690,024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2,687,933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41,709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(2,329)</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39,380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72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shares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172,202,839</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1,993</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172,204,832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31" w:lineRule="exact"/>
        <w:rPr>
          <w:sz w:val="20"/>
          <w:szCs w:val="20"/>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2.21 Fair value measurement and concentration of credit risk</w:t>
      </w:r>
    </w:p>
    <w:p>
      <w:pPr>
        <w:spacing w:after="0" w:line="121" w:lineRule="exact"/>
        <w:rPr>
          <w:sz w:val="20"/>
          <w:szCs w:val="20"/>
          <w:color w:val="auto"/>
        </w:rPr>
      </w:pPr>
    </w:p>
    <w:p>
      <w:pPr>
        <w:ind w:left="560" w:right="100"/>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75"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jc w:val="both"/>
        <w:ind w:left="560" w:right="20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00" w:type="dxa"/>
            <w:vAlign w:val="bottom"/>
          </w:tcPr>
          <w:p>
            <w:pPr>
              <w:spacing w:after="0"/>
              <w:rPr>
                <w:sz w:val="16"/>
                <w:szCs w:val="16"/>
                <w:color w:val="auto"/>
              </w:rPr>
            </w:pPr>
          </w:p>
        </w:tc>
        <w:tc>
          <w:tcPr>
            <w:tcW w:w="24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44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0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5"/>
              </w:rPr>
              <w:t>$ 1,311,028</w:t>
            </w:r>
          </w:p>
        </w:tc>
        <w:tc>
          <w:tcPr>
            <w:tcW w:w="60" w:type="dxa"/>
            <w:vAlign w:val="bottom"/>
          </w:tcPr>
          <w:p>
            <w:pPr>
              <w:spacing w:after="0"/>
              <w:rPr>
                <w:sz w:val="18"/>
                <w:szCs w:val="18"/>
                <w:color w:val="auto"/>
              </w:rPr>
            </w:pPr>
          </w:p>
        </w:tc>
      </w:tr>
      <w:tr>
        <w:trPr>
          <w:trHeight w:val="196"/>
        </w:trPr>
        <w:tc>
          <w:tcPr>
            <w:tcW w:w="44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2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20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204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520" w:type="dxa"/>
            <w:vAlign w:val="bottom"/>
          </w:tcPr>
          <w:p>
            <w:pPr>
              <w:spacing w:after="0"/>
              <w:rPr>
                <w:sz w:val="20"/>
                <w:szCs w:val="20"/>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— </w:t>
            </w:r>
          </w:p>
        </w:tc>
        <w:tc>
          <w:tcPr>
            <w:tcW w:w="13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rPr>
              <w:t>$1,177,617</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1080" w:right="80" w:hanging="532"/>
        <w:spacing w:after="0" w:line="28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5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75"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480" w:type="dxa"/>
            <w:vAlign w:val="bottom"/>
            <w:gridSpan w:val="2"/>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KPMG LLP</w:t>
            </w:r>
          </w:p>
        </w:tc>
        <w:tc>
          <w:tcPr>
            <w:tcW w:w="116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20" w:type="dxa"/>
            <w:vAlign w:val="bottom"/>
            <w:vMerge w:val="continue"/>
            <w:shd w:val="clear" w:color="auto" w:fill="CCEEFF"/>
          </w:tcPr>
          <w:p>
            <w:pPr>
              <w:spacing w:after="0"/>
              <w:rPr>
                <w:sz w:val="18"/>
                <w:szCs w:val="18"/>
                <w:color w:val="auto"/>
              </w:rPr>
            </w:pP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24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5" w:right="5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2.22 Income taxes</w:t>
      </w:r>
    </w:p>
    <w:p>
      <w:pPr>
        <w:spacing w:after="0" w:line="121" w:lineRule="exact"/>
        <w:rPr>
          <w:sz w:val="20"/>
          <w:szCs w:val="20"/>
          <w:color w:val="auto"/>
        </w:rPr>
      </w:pPr>
    </w:p>
    <w:p>
      <w:pPr>
        <w:ind w:left="560" w:right="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79" w:lineRule="exact"/>
        <w:rPr>
          <w:sz w:val="20"/>
          <w:szCs w:val="20"/>
          <w:color w:val="auto"/>
        </w:rPr>
      </w:pPr>
    </w:p>
    <w:p>
      <w:pPr>
        <w:jc w:val="both"/>
        <w:ind w:left="560" w:right="40"/>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6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2.23 Loss and earnings per share</w:t>
      </w:r>
    </w:p>
    <w:p>
      <w:pPr>
        <w:spacing w:after="0" w:line="121"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ind w:left="560" w:right="200"/>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7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68"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68" w:lineRule="exact"/>
        <w:rPr>
          <w:sz w:val="20"/>
          <w:szCs w:val="20"/>
          <w:color w:val="auto"/>
        </w:rPr>
      </w:pPr>
    </w:p>
    <w:p>
      <w:pPr>
        <w:ind w:left="560" w:right="60"/>
        <w:spacing w:after="0" w:line="289" w:lineRule="auto"/>
        <w:rPr>
          <w:sz w:val="20"/>
          <w:szCs w:val="20"/>
          <w:color w:val="auto"/>
        </w:rPr>
      </w:pPr>
      <w:r>
        <w:rPr>
          <w:rFonts w:ascii="Times New Roman" w:cs="Times New Roman" w:eastAsia="Times New Roman" w:hAnsi="Times New Roman"/>
          <w:sz w:val="17"/>
          <w:szCs w:val="17"/>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7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380" w:type="dxa"/>
            <w:vAlign w:val="bottom"/>
          </w:tcPr>
          <w:p>
            <w:pPr>
              <w:spacing w:after="0"/>
              <w:rPr>
                <w:sz w:val="15"/>
                <w:szCs w:val="15"/>
                <w:color w:val="auto"/>
              </w:rPr>
            </w:pPr>
          </w:p>
        </w:tc>
        <w:tc>
          <w:tcPr>
            <w:tcW w:w="17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140,000</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140,000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5,200,000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28,039,517</w:t>
            </w:r>
          </w:p>
        </w:tc>
        <w:tc>
          <w:tcPr>
            <w:tcW w:w="6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28,039,517</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1,037,575</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332" w:lineRule="exact"/>
        <w:rPr>
          <w:sz w:val="20"/>
          <w:szCs w:val="20"/>
          <w:color w:val="auto"/>
        </w:rPr>
      </w:pPr>
    </w:p>
    <w:p>
      <w:pPr>
        <w:ind w:left="560" w:right="6960" w:hanging="444"/>
        <w:spacing w:after="0" w:line="400" w:lineRule="auto"/>
        <w:tabs>
          <w:tab w:leader="none" w:pos="552" w:val="left"/>
        </w:tabs>
        <w:numPr>
          <w:ilvl w:val="0"/>
          <w:numId w:val="3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ind w:left="5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75" w:lineRule="exact"/>
        <w:rPr>
          <w:rFonts w:ascii="Times New Roman" w:cs="Times New Roman" w:eastAsia="Times New Roman" w:hAnsi="Times New Roman"/>
          <w:sz w:val="17"/>
          <w:szCs w:val="17"/>
          <w:b w:val="1"/>
          <w:bCs w:val="1"/>
          <w:color w:val="auto"/>
        </w:rPr>
      </w:pPr>
    </w:p>
    <w:p>
      <w:pPr>
        <w:ind w:left="5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3" w:lineRule="exact"/>
        <w:rPr>
          <w:rFonts w:ascii="Times New Roman" w:cs="Times New Roman" w:eastAsia="Times New Roman" w:hAnsi="Times New Roman"/>
          <w:sz w:val="17"/>
          <w:szCs w:val="17"/>
          <w:b w:val="1"/>
          <w:bCs w:val="1"/>
          <w:color w:val="auto"/>
        </w:rPr>
      </w:pPr>
    </w:p>
    <w:p>
      <w:pPr>
        <w:ind w:left="560" w:right="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79" w:lineRule="exact"/>
        <w:rPr>
          <w:rFonts w:ascii="Times New Roman" w:cs="Times New Roman" w:eastAsia="Times New Roman" w:hAnsi="Times New Roman"/>
          <w:sz w:val="17"/>
          <w:szCs w:val="17"/>
          <w:b w:val="1"/>
          <w:bCs w:val="1"/>
          <w:color w:val="auto"/>
        </w:rPr>
      </w:pPr>
    </w:p>
    <w:p>
      <w:pPr>
        <w:ind w:left="560" w:right="2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130,309</w:t>
            </w: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140,432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27,690</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81"/>
              </w:rPr>
              <w:t>— </w:t>
            </w:r>
          </w:p>
        </w:tc>
        <w:tc>
          <w:tcPr>
            <w:tcW w:w="1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1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31" w:lineRule="exact"/>
        <w:rPr>
          <w:sz w:val="20"/>
          <w:szCs w:val="20"/>
          <w:color w:val="auto"/>
        </w:rPr>
      </w:pPr>
    </w:p>
    <w:p>
      <w:pPr>
        <w:ind w:left="1080" w:right="80" w:hanging="424"/>
        <w:spacing w:after="0" w:line="258" w:lineRule="auto"/>
        <w:tabs>
          <w:tab w:leader="none" w:pos="10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33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1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3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(115,837)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(71,281)</w:t>
            </w: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1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18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F-25</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1,862,465</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989,400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60" w:type="dxa"/>
            <w:vAlign w:val="bottom"/>
          </w:tcPr>
          <w:p>
            <w:pPr>
              <w:spacing w:after="0"/>
              <w:rPr>
                <w:sz w:val="18"/>
                <w:szCs w:val="18"/>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(736,834)</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(538,954)</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450,446</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30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04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4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183,578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445,453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376,468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376,468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1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6,225,815</w:t>
            </w:r>
          </w:p>
        </w:tc>
        <w:tc>
          <w:tcPr>
            <w:tcW w:w="14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8,223,928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1,311,028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31,088,259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40" w:type="dxa"/>
            <w:vAlign w:val="bottom"/>
          </w:tcPr>
          <w:p>
            <w:pPr>
              <w:spacing w:after="0"/>
              <w:rPr>
                <w:sz w:val="18"/>
                <w:szCs w:val="18"/>
                <w:color w:val="auto"/>
              </w:rPr>
            </w:pPr>
          </w:p>
        </w:tc>
        <w:tc>
          <w:tcPr>
            <w:tcW w:w="18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1,177,617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25,302,709</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080" w:right="220" w:hanging="539"/>
        <w:spacing w:after="0" w:line="26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 2023, the Company repaid $250,000 to DBLP Sea Cow Ltd. Additionally, DBLP Sea Cow Ltd is owed $191,405 for amounts to be re-imbursed for expenses incurred on behalf of Rezolve at Deceber 31, 2023, nil for 2022.</w:t>
      </w:r>
    </w:p>
    <w:p>
      <w:pPr>
        <w:spacing w:after="0" w:line="72"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94" w:lineRule="exact"/>
        <w:rPr>
          <w:sz w:val="20"/>
          <w:szCs w:val="20"/>
          <w:color w:val="auto"/>
        </w:rPr>
      </w:pPr>
    </w:p>
    <w:p>
      <w:pPr>
        <w:ind w:left="1540" w:right="40" w:hanging="331"/>
        <w:spacing w:after="0" w:line="282" w:lineRule="auto"/>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27" w:lineRule="exact"/>
        <w:rPr>
          <w:sz w:val="20"/>
          <w:szCs w:val="20"/>
          <w:color w:val="auto"/>
        </w:rPr>
      </w:pPr>
    </w:p>
    <w:p>
      <w:pPr>
        <w:ind w:left="1080" w:right="2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94"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color w:val="auto"/>
        </w:rPr>
        <w:t>On December 17, 2021, the Company and Armada Acquisition Corp I, a special purpose acquisition company (“SPAC”) listed on the</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Nasdaq Capital Market (“NASDAQ”), and certain other parties entered into a definitive agreement for a business combination that would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result in Rezolve becoming a publicly listed company upon completion of the aforementioned transaction. The transaction included a</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$41 million fully committed private placement of ordinary shares of the combined company (the “PIPE”), $20 million of which has been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advanced to Rezolve pursuant to a secured convertible loan note as further described below. The transaction is expected to close by the end</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of 2024.</w:t>
      </w:r>
    </w:p>
    <w:p>
      <w:pPr>
        <w:spacing w:after="0" w:line="9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340"/>
        <w:spacing w:after="0" w:line="282" w:lineRule="auto"/>
        <w:rPr>
          <w:sz w:val="20"/>
          <w:szCs w:val="20"/>
          <w:color w:val="auto"/>
        </w:rPr>
      </w:pPr>
      <w:r>
        <w:rPr>
          <w:rFonts w:ascii="Times New Roman" w:cs="Times New Roman" w:eastAsia="Times New Roman" w:hAnsi="Times New Roman"/>
          <w:sz w:val="18"/>
          <w:szCs w:val="18"/>
          <w:color w:val="auto"/>
        </w:rPr>
        <w:t>$20 million. Prior to amending the terms on May 23, 2023 (further below), these notes were due to mature on December 16, 2023, and were redeemable by the noteholder on the occurrence of:</w:t>
      </w:r>
    </w:p>
    <w:p>
      <w:pPr>
        <w:spacing w:after="0" w:line="67" w:lineRule="exact"/>
        <w:rPr>
          <w:sz w:val="20"/>
          <w:szCs w:val="20"/>
          <w:color w:val="auto"/>
        </w:rPr>
      </w:pPr>
    </w:p>
    <w:p>
      <w:pPr>
        <w:ind w:left="1540" w:hanging="331"/>
        <w:spacing w:after="0"/>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30" w:lineRule="exact"/>
        <w:rPr>
          <w:rFonts w:ascii="Times New Roman" w:cs="Times New Roman" w:eastAsia="Times New Roman" w:hAnsi="Times New Roman"/>
          <w:sz w:val="18"/>
          <w:szCs w:val="18"/>
          <w:color w:val="auto"/>
        </w:rPr>
      </w:pPr>
    </w:p>
    <w:p>
      <w:pPr>
        <w:jc w:val="both"/>
        <w:ind w:left="1540" w:right="140" w:hanging="331"/>
        <w:spacing w:after="0" w:line="266" w:lineRule="auto"/>
        <w:tabs>
          <w:tab w:leader="none" w:pos="1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68"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31" w:lineRule="exact"/>
        <w:rPr>
          <w:sz w:val="20"/>
          <w:szCs w:val="20"/>
          <w:color w:val="auto"/>
        </w:rPr>
      </w:pPr>
    </w:p>
    <w:p>
      <w:pPr>
        <w:ind w:left="1540" w:hanging="331"/>
        <w:spacing w:after="0"/>
        <w:tabs>
          <w:tab w:leader="none" w:pos="1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117" w:lineRule="exact"/>
        <w:rPr>
          <w:sz w:val="20"/>
          <w:szCs w:val="20"/>
          <w:color w:val="auto"/>
        </w:rPr>
      </w:pPr>
    </w:p>
    <w:p>
      <w:pPr>
        <w:ind w:left="1100" w:right="260"/>
        <w:spacing w:after="0" w:line="282" w:lineRule="auto"/>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5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72"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30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31" w:lineRule="exact"/>
        <w:rPr>
          <w:sz w:val="20"/>
          <w:szCs w:val="20"/>
          <w:color w:val="auto"/>
        </w:rPr>
      </w:pPr>
    </w:p>
    <w:p>
      <w:pPr>
        <w:ind w:left="1540" w:hanging="331"/>
        <w:spacing w:after="0"/>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30" w:lineRule="exact"/>
        <w:rPr>
          <w:rFonts w:ascii="Times New Roman" w:cs="Times New Roman" w:eastAsia="Times New Roman" w:hAnsi="Times New Roman"/>
          <w:sz w:val="18"/>
          <w:szCs w:val="18"/>
          <w:color w:val="auto"/>
        </w:rPr>
      </w:pPr>
    </w:p>
    <w:p>
      <w:pPr>
        <w:ind w:left="2200" w:right="800" w:hanging="545"/>
        <w:spacing w:after="0" w:line="282" w:lineRule="auto"/>
        <w:tabs>
          <w:tab w:leader="none" w:pos="22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2200" w:hanging="545"/>
        <w:spacing w:after="0"/>
        <w:tabs>
          <w:tab w:leader="none" w:pos="220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30" w:lineRule="exact"/>
        <w:rPr>
          <w:rFonts w:ascii="Times New Roman" w:cs="Times New Roman" w:eastAsia="Times New Roman" w:hAnsi="Times New Roman"/>
          <w:sz w:val="18"/>
          <w:szCs w:val="18"/>
          <w:color w:val="auto"/>
        </w:rPr>
      </w:pPr>
    </w:p>
    <w:p>
      <w:pPr>
        <w:ind w:left="2200" w:right="560" w:hanging="545"/>
        <w:spacing w:after="0" w:line="282" w:lineRule="auto"/>
        <w:tabs>
          <w:tab w:leader="none" w:pos="220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85" w:lineRule="exact"/>
        <w:rPr>
          <w:sz w:val="20"/>
          <w:szCs w:val="20"/>
          <w:color w:val="auto"/>
        </w:rPr>
      </w:pPr>
    </w:p>
    <w:p>
      <w:pPr>
        <w:ind w:left="1540" w:right="80" w:hanging="439"/>
        <w:spacing w:after="0" w:line="261" w:lineRule="auto"/>
        <w:tabs>
          <w:tab w:leader="none" w:pos="15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busineI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89" w:lineRule="exact"/>
        <w:rPr>
          <w:sz w:val="20"/>
          <w:szCs w:val="20"/>
          <w:color w:val="auto"/>
        </w:rPr>
      </w:pPr>
    </w:p>
    <w:p>
      <w:pPr>
        <w:jc w:val="center"/>
        <w:ind w:left="520" w:right="900"/>
        <w:spacing w:after="0" w:line="454" w:lineRule="auto"/>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 F-29</w:t>
      </w:r>
    </w:p>
    <w:p>
      <w:pPr>
        <w:sectPr>
          <w:pgSz w:w="11900" w:h="16838" w:orient="portrait"/>
          <w:cols w:equalWidth="0" w:num="1">
            <w:col w:w="11080"/>
          </w:cols>
          <w:pgMar w:left="320" w:top="455"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54" w:lineRule="exact"/>
        <w:rPr>
          <w:sz w:val="20"/>
          <w:szCs w:val="20"/>
          <w:color w:val="auto"/>
        </w:rPr>
      </w:pPr>
    </w:p>
    <w:p>
      <w:pPr>
        <w:ind w:left="1100" w:right="240"/>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54" w:lineRule="exact"/>
        <w:rPr>
          <w:sz w:val="20"/>
          <w:szCs w:val="20"/>
          <w:color w:val="auto"/>
        </w:rPr>
      </w:pPr>
    </w:p>
    <w:p>
      <w:pPr>
        <w:jc w:val="both"/>
        <w:ind w:left="1100" w:right="80"/>
        <w:spacing w:after="0" w:line="266"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40" w:type="dxa"/>
            <w:vAlign w:val="bottom"/>
          </w:tcPr>
          <w:p>
            <w:pPr>
              <w:spacing w:after="0"/>
              <w:rPr>
                <w:sz w:val="18"/>
                <w:szCs w:val="18"/>
                <w:color w:val="auto"/>
              </w:rPr>
            </w:pP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(1,918,524)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25,302,709</w:t>
            </w:r>
          </w:p>
        </w:tc>
      </w:tr>
      <w:tr>
        <w:trPr>
          <w:trHeight w:val="20"/>
        </w:trPr>
        <w:tc>
          <w:tcPr>
            <w:tcW w:w="4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117"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Convertible debt</w:t>
            </w:r>
          </w:p>
        </w:tc>
        <w:tc>
          <w:tcPr>
            <w:tcW w:w="1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7,269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3,221,233</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163,976</w:t>
            </w:r>
          </w:p>
        </w:tc>
      </w:tr>
      <w:tr>
        <w:trPr>
          <w:trHeight w:val="232"/>
        </w:trPr>
        <w:tc>
          <w:tcPr>
            <w:tcW w:w="3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10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1080" w:right="180" w:hanging="539"/>
        <w:spacing w:after="0" w:line="282"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67" w:lineRule="exact"/>
        <w:rPr>
          <w:sz w:val="20"/>
          <w:szCs w:val="20"/>
          <w:color w:val="auto"/>
        </w:rPr>
      </w:pPr>
    </w:p>
    <w:p>
      <w:pPr>
        <w:ind w:left="1080" w:hanging="539"/>
        <w:spacing w:after="0" w:line="254"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40" w:hanging="424"/>
        <w:spacing w:after="0"/>
        <w:tabs>
          <w:tab w:leader="none" w:pos="54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rFonts w:ascii="Times New Roman" w:cs="Times New Roman" w:eastAsia="Times New Roman" w:hAnsi="Times New Roman"/>
          <w:sz w:val="18"/>
          <w:szCs w:val="18"/>
          <w:b w:val="1"/>
          <w:bCs w:val="1"/>
          <w:color w:val="auto"/>
        </w:rPr>
      </w:pPr>
    </w:p>
    <w:p>
      <w:pPr>
        <w:ind w:left="5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332"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83" w:lineRule="exact"/>
        <w:rPr>
          <w:rFonts w:ascii="Times New Roman" w:cs="Times New Roman" w:eastAsia="Times New Roman" w:hAnsi="Times New Roman"/>
          <w:sz w:val="18"/>
          <w:szCs w:val="18"/>
          <w:b w:val="1"/>
          <w:bCs w:val="1"/>
          <w:color w:val="auto"/>
        </w:rPr>
      </w:pPr>
    </w:p>
    <w:p>
      <w:pPr>
        <w:ind w:left="5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331" w:lineRule="exact"/>
        <w:rPr>
          <w:rFonts w:ascii="Times New Roman" w:cs="Times New Roman" w:eastAsia="Times New Roman" w:hAnsi="Times New Roman"/>
          <w:sz w:val="18"/>
          <w:szCs w:val="18"/>
          <w:b w:val="1"/>
          <w:bCs w:val="1"/>
          <w:color w:val="auto"/>
        </w:rPr>
      </w:pPr>
    </w:p>
    <w:p>
      <w:pPr>
        <w:ind w:left="560" w:right="8480" w:hanging="444"/>
        <w:spacing w:after="0" w:line="400" w:lineRule="auto"/>
        <w:tabs>
          <w:tab w:leader="none" w:pos="552" w:val="left"/>
        </w:tabs>
        <w:numPr>
          <w:ilvl w:val="0"/>
          <w:numId w:val="3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left="560" w:right="1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79" w:lineRule="exact"/>
        <w:rPr>
          <w:rFonts w:ascii="Times New Roman" w:cs="Times New Roman" w:eastAsia="Times New Roman" w:hAnsi="Times New Roman"/>
          <w:sz w:val="17"/>
          <w:szCs w:val="17"/>
          <w:b w:val="1"/>
          <w:bCs w:val="1"/>
          <w:color w:val="auto"/>
        </w:rPr>
      </w:pPr>
    </w:p>
    <w:p>
      <w:pPr>
        <w:ind w:left="560" w:right="2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9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 5.1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 - 63.5%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60" w:hanging="532"/>
        <w:spacing w:after="0" w:line="282"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17"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15,750,000</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31" w:lineRule="exact"/>
        <w:rPr>
          <w:sz w:val="20"/>
          <w:szCs w:val="20"/>
          <w:color w:val="auto"/>
        </w:rPr>
      </w:pPr>
    </w:p>
    <w:p>
      <w:pPr>
        <w:ind w:left="1080" w:right="300" w:hanging="424"/>
        <w:spacing w:after="0" w:line="282" w:lineRule="auto"/>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117"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5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5.1</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59.6% - 63.5%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 - 4.2%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bl>
    <w:p>
      <w:pPr>
        <w:spacing w:after="0" w:line="103" w:lineRule="exact"/>
        <w:rPr>
          <w:sz w:val="20"/>
          <w:szCs w:val="20"/>
          <w:color w:val="auto"/>
        </w:rPr>
      </w:pPr>
    </w:p>
    <w:p>
      <w:pPr>
        <w:ind w:left="1080" w:right="600" w:hanging="532"/>
        <w:spacing w:after="0" w:line="282"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40"/>
          </w:cols>
          <w:pgMar w:left="320" w:top="455" w:right="5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2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49,305,537</w:t>
            </w: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£ 0.0001</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£ 0.0001</w:t>
            </w:r>
          </w:p>
        </w:tc>
        <w:tc>
          <w:tcPr>
            <w:tcW w:w="6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56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£ 0.0001</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117"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306" w:lineRule="exact"/>
        <w:rPr>
          <w:sz w:val="20"/>
          <w:szCs w:val="20"/>
          <w:color w:val="auto"/>
        </w:rPr>
      </w:pPr>
    </w:p>
    <w:p>
      <w:pPr>
        <w:ind w:left="540" w:hanging="424"/>
        <w:spacing w:after="0"/>
        <w:tabs>
          <w:tab w:leader="none" w:pos="54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1,323,842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1,686,609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188,766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347,848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179,079</w:t>
            </w:r>
          </w:p>
        </w:tc>
      </w:tr>
      <w:tr>
        <w:trPr>
          <w:trHeight w:val="27"/>
        </w:trPr>
        <w:tc>
          <w:tcPr>
            <w:tcW w:w="5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2,640,384</w:t>
            </w: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6200" w:hanging="444"/>
        <w:spacing w:after="0" w:line="412" w:lineRule="auto"/>
        <w:tabs>
          <w:tab w:leader="none" w:pos="552"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ectPr>
          <w:pgSz w:w="11900" w:h="16838" w:orient="portrait"/>
          <w:cols w:equalWidth="0" w:num="1">
            <w:col w:w="11100"/>
          </w:cols>
          <w:pgMar w:left="320" w:top="455" w:right="479" w:bottom="1440" w:gutter="0" w:footer="0" w:header="0"/>
        </w:sectPr>
      </w:pPr>
    </w:p>
    <w:p>
      <w:pPr>
        <w:spacing w:after="0" w:line="3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Advertisement and publicity expenses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Employee salaries and benefits</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Consultancy charges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payments to employees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Share-based payments to related parties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-3175</wp:posOffset>
            </wp:positionV>
            <wp:extent cx="5314950" cy="146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580" w:hanging="578"/>
        <w:spacing w:after="0"/>
        <w:tabs>
          <w:tab w:leader="none" w:pos="580"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144,584</w:t>
      </w:r>
    </w:p>
    <w:p>
      <w:pPr>
        <w:spacing w:after="0" w:line="1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1,371,468</w:t>
      </w:r>
    </w:p>
    <w:p>
      <w:pPr>
        <w:spacing w:after="0" w:line="9"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1,602,332</w:t>
      </w:r>
    </w:p>
    <w:p>
      <w:pPr>
        <w:spacing w:after="0" w:line="9"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2,649,012</w:t>
      </w:r>
    </w:p>
    <w:p>
      <w:pPr>
        <w:spacing w:after="0" w:line="9"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963,858</w:t>
      </w:r>
    </w:p>
    <w:p>
      <w:pPr>
        <w:spacing w:after="0" w:line="25"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6,731,254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-545465</wp:posOffset>
            </wp:positionV>
            <wp:extent cx="531495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-271145</wp:posOffset>
            </wp:positionV>
            <wp:extent cx="5314950" cy="145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19685</wp:posOffset>
            </wp:positionV>
            <wp:extent cx="7372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7372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635,166</w:t>
      </w:r>
    </w:p>
    <w:p>
      <w:pPr>
        <w:spacing w:after="0" w:line="7"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1,788,941</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1,538,729</w:t>
      </w:r>
    </w:p>
    <w:p>
      <w:pPr>
        <w:spacing w:after="0" w:line="9"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auto"/>
        </w:rPr>
        <w:t>375,721</w:t>
      </w:r>
    </w:p>
    <w:p>
      <w:pPr>
        <w:spacing w:after="0" w:line="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72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4,338,557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372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36830</wp:posOffset>
            </wp:positionV>
            <wp:extent cx="7372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820" w:space="720"/>
            <w:col w:w="1340" w:space="720"/>
            <w:col w:w="2500"/>
          </w:cols>
          <w:pgMar w:left="320" w:top="455" w:right="479" w:bottom="1440" w:gutter="0" w:footer="0" w:header="0"/>
          <w:type w:val="continuous"/>
        </w:sectPr>
      </w:pPr>
    </w:p>
    <w:p>
      <w:pPr>
        <w:spacing w:after="0" w:line="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100"/>
          </w:cols>
          <w:pgMar w:left="320" w:top="455" w:right="479" w:bottom="1440" w:gutter="0" w:footer="0" w:header="0"/>
          <w:type w:val="continuous"/>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8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2,274,891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5,569,989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777,161</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4,340,558</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3,506,501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3,472,170</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8,223,297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2,543,621</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1,739,294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2,083,647</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485,080</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18,417,816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874,045</w:t>
            </w:r>
          </w:p>
        </w:tc>
        <w:tc>
          <w:tcPr>
            <w:tcW w:w="1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1,479,026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15"/>
                <w:szCs w:val="15"/>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(497,978)</w:t>
            </w:r>
          </w:p>
        </w:tc>
        <w:tc>
          <w:tcPr>
            <w:tcW w:w="80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(467,563)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(2,686)</w:t>
            </w:r>
          </w:p>
        </w:tc>
        <w:tc>
          <w:tcPr>
            <w:tcW w:w="8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(256,659)</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Key managerial personnel (KMP) and Members of their immediate families</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Igor Lychagov</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112" w:lineRule="exact"/>
        <w:rPr>
          <w:sz w:val="20"/>
          <w:szCs w:val="20"/>
          <w:color w:val="auto"/>
        </w:rPr>
      </w:pPr>
    </w:p>
    <w:p>
      <w:pPr>
        <w:sectPr>
          <w:pgSz w:w="11900" w:h="16838" w:orient="portrait"/>
          <w:cols w:equalWidth="0" w:num="2">
            <w:col w:w="5240" w:space="720"/>
            <w:col w:w="4980"/>
          </w:cols>
          <w:pgMar w:left="320" w:top="455" w:right="639" w:bottom="1440" w:gutter="0" w:footer="0" w:header="0"/>
          <w:type w:val="continuous"/>
        </w:sectPr>
      </w:pPr>
    </w:p>
    <w:p>
      <w:pPr>
        <w:ind w:left="1080" w:hanging="532"/>
        <w:spacing w:after="0" w:line="282"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0940"/>
          </w:cols>
          <w:pgMar w:left="320" w:top="455" w:right="639" w:bottom="1440" w:gutter="0" w:footer="0" w:header="0"/>
          <w:type w:val="continuous"/>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(2) (number of ordinary shares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in 2–23 – Nil and 2–22 – 27,246,461)</w:t>
            </w:r>
          </w:p>
        </w:tc>
        <w:tc>
          <w:tcPr>
            <w:tcW w:w="1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132,269</w:t>
            </w:r>
          </w:p>
        </w:tc>
        <w:tc>
          <w:tcPr>
            <w:tcW w:w="14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191,405</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5,587,343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296,067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298,654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222,535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207,395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271,395</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273,761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393,440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188,972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1,183,437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968,782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756,944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33,374,018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1,326,703</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2,449,787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60,556</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60,556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842,746</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3,677,896</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3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963,858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3,047,505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39,501,701</w:t>
            </w: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F-36</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40" w:type="dxa"/>
            <w:vAlign w:val="bottom"/>
          </w:tcPr>
          <w:p>
            <w:pPr>
              <w:spacing w:after="0"/>
              <w:rPr>
                <w:sz w:val="15"/>
                <w:szCs w:val="15"/>
                <w:color w:val="auto"/>
              </w:rPr>
            </w:pPr>
          </w:p>
        </w:tc>
        <w:tc>
          <w:tcPr>
            <w:tcW w:w="20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Consulting fees</w:t>
            </w:r>
          </w:p>
        </w:tc>
        <w:tc>
          <w:tcPr>
            <w:tcW w:w="1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380,805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1,014,926</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980,805</w:t>
            </w:r>
          </w:p>
        </w:tc>
      </w:tr>
      <w:tr>
        <w:trPr>
          <w:trHeight w:val="32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714,926</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680,805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300,000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28"/>
        </w:trPr>
        <w:tc>
          <w:tcPr>
            <w:tcW w:w="51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8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40" w:type="dxa"/>
            <w:vAlign w:val="bottom"/>
          </w:tcPr>
          <w:p>
            <w:pPr>
              <w:spacing w:after="0"/>
              <w:rPr>
                <w:sz w:val="19"/>
                <w:szCs w:val="19"/>
                <w:color w:val="auto"/>
              </w:rPr>
            </w:pPr>
          </w:p>
        </w:tc>
      </w:tr>
      <w:tr>
        <w:trPr>
          <w:trHeight w:val="103"/>
        </w:trPr>
        <w:tc>
          <w:tcPr>
            <w:tcW w:w="5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87,107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380,084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376,428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Smith</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92,521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93,329</w:t>
            </w:r>
          </w:p>
        </w:tc>
      </w:tr>
      <w:tr>
        <w:trPr>
          <w:trHeight w:val="228"/>
        </w:trPr>
        <w:tc>
          <w:tcPr>
            <w:tcW w:w="51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8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40" w:type="dxa"/>
            <w:vAlign w:val="bottom"/>
          </w:tcPr>
          <w:p>
            <w:pPr>
              <w:spacing w:after="0"/>
              <w:rPr>
                <w:sz w:val="19"/>
                <w:szCs w:val="19"/>
                <w:color w:val="auto"/>
              </w:rPr>
            </w:pPr>
          </w:p>
        </w:tc>
      </w:tr>
      <w:tr>
        <w:trPr>
          <w:trHeight w:val="103"/>
        </w:trPr>
        <w:tc>
          <w:tcPr>
            <w:tcW w:w="5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657,647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650,193</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657,647</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650,193</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2,072,224</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869,777</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3,831,291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41,231,704</w:t>
            </w:r>
          </w:p>
        </w:tc>
      </w:tr>
      <w:tr>
        <w:trPr>
          <w:trHeight w:val="27"/>
        </w:trPr>
        <w:tc>
          <w:tcPr>
            <w:tcW w:w="5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5,903,515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42,101,481</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2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777,161</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7,136,168</w:t>
            </w:r>
          </w:p>
        </w:tc>
      </w:tr>
    </w:tbl>
    <w:p>
      <w:pPr>
        <w:spacing w:after="0" w:line="103" w:lineRule="exact"/>
        <w:rPr>
          <w:sz w:val="20"/>
          <w:szCs w:val="20"/>
          <w:color w:val="auto"/>
        </w:rPr>
      </w:pPr>
    </w:p>
    <w:p>
      <w:pPr>
        <w:ind w:left="1080" w:right="360" w:hanging="532"/>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3240" w:type="dxa"/>
            <w:vAlign w:val="bottom"/>
          </w:tcPr>
          <w:p>
            <w:pPr>
              <w:spacing w:after="0"/>
              <w:rPr>
                <w:sz w:val="12"/>
                <w:szCs w:val="12"/>
                <w:color w:val="auto"/>
              </w:rPr>
            </w:pPr>
          </w:p>
        </w:tc>
        <w:tc>
          <w:tcPr>
            <w:tcW w:w="3020" w:type="dxa"/>
            <w:vAlign w:val="bottom"/>
            <w:gridSpan w:val="2"/>
          </w:tcPr>
          <w:p>
            <w:pPr>
              <w:jc w:val="center"/>
              <w:ind w:left="177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2"/>
                <w:szCs w:val="12"/>
                <w:color w:val="auto"/>
              </w:rPr>
            </w:pPr>
          </w:p>
        </w:tc>
        <w:tc>
          <w:tcPr>
            <w:tcW w:w="1160" w:type="dxa"/>
            <w:vAlign w:val="bottom"/>
          </w:tcPr>
          <w:p>
            <w:pPr>
              <w:jc w:val="right"/>
              <w:ind w:right="45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173"/>
        </w:trPr>
        <w:tc>
          <w:tcPr>
            <w:tcW w:w="3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8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9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447,067</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39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191,405</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860" w:type="dxa"/>
            <w:vAlign w:val="bottom"/>
          </w:tcPr>
          <w:p>
            <w:pPr>
              <w:spacing w:after="0"/>
              <w:rPr>
                <w:sz w:val="18"/>
                <w:szCs w:val="18"/>
                <w:color w:val="auto"/>
              </w:rPr>
            </w:pPr>
          </w:p>
        </w:tc>
        <w:tc>
          <w:tcPr>
            <w:tcW w:w="20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5,587,343</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6,225,815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697,067</w:t>
            </w:r>
          </w:p>
        </w:tc>
      </w:tr>
      <w:tr>
        <w:trPr>
          <w:trHeight w:val="365"/>
        </w:trPr>
        <w:tc>
          <w:tcPr>
            <w:tcW w:w="3240" w:type="dxa"/>
            <w:vAlign w:val="bottom"/>
          </w:tcPr>
          <w:p>
            <w:pPr>
              <w:spacing w:after="0"/>
              <w:rPr>
                <w:sz w:val="24"/>
                <w:szCs w:val="24"/>
                <w:color w:val="auto"/>
              </w:rPr>
            </w:pPr>
          </w:p>
        </w:tc>
        <w:tc>
          <w:tcPr>
            <w:tcW w:w="3920" w:type="dxa"/>
            <w:vAlign w:val="bottom"/>
            <w:gridSpan w:val="3"/>
          </w:tcPr>
          <w:p>
            <w:pPr>
              <w:jc w:val="right"/>
              <w:ind w:right="2800"/>
              <w:spacing w:after="0"/>
              <w:rPr>
                <w:sz w:val="20"/>
                <w:szCs w:val="20"/>
                <w:color w:val="auto"/>
              </w:rPr>
            </w:pPr>
            <w:r>
              <w:rPr>
                <w:rFonts w:ascii="Times New Roman" w:cs="Times New Roman" w:eastAsia="Times New Roman" w:hAnsi="Times New Roman"/>
                <w:sz w:val="18"/>
                <w:szCs w:val="18"/>
                <w:color w:val="auto"/>
              </w:rPr>
              <w:t>F-37</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8"/>
        </w:trPr>
        <w:tc>
          <w:tcPr>
            <w:tcW w:w="50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173"/>
        </w:trPr>
        <w:tc>
          <w:tcPr>
            <w:tcW w:w="5060" w:type="dxa"/>
            <w:vAlign w:val="bottom"/>
          </w:tcPr>
          <w:p>
            <w:pPr>
              <w:spacing w:after="0"/>
              <w:rPr>
                <w:sz w:val="15"/>
                <w:szCs w:val="15"/>
                <w:color w:val="auto"/>
              </w:rPr>
            </w:pPr>
          </w:p>
        </w:tc>
        <w:tc>
          <w:tcPr>
            <w:tcW w:w="210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88"/>
        </w:trPr>
        <w:tc>
          <w:tcPr>
            <w:tcW w:w="50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350,000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Wagner</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147,605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172,476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21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Yao</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61,945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51,414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31,248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42,906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1,133</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58,320</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127,325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129,460</w:t>
            </w:r>
          </w:p>
        </w:tc>
      </w:tr>
      <w:tr>
        <w:trPr>
          <w:trHeight w:val="228"/>
        </w:trPr>
        <w:tc>
          <w:tcPr>
            <w:tcW w:w="50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40" w:type="dxa"/>
            <w:vAlign w:val="bottom"/>
          </w:tcPr>
          <w:p>
            <w:pPr>
              <w:spacing w:after="0"/>
              <w:rPr>
                <w:sz w:val="19"/>
                <w:szCs w:val="19"/>
                <w:color w:val="auto"/>
              </w:rPr>
            </w:pPr>
          </w:p>
        </w:tc>
      </w:tr>
      <w:tr>
        <w:trPr>
          <w:trHeight w:val="103"/>
        </w:trPr>
        <w:tc>
          <w:tcPr>
            <w:tcW w:w="5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132,269</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r>
      <w:tr>
        <w:trPr>
          <w:trHeight w:val="90"/>
        </w:trPr>
        <w:tc>
          <w:tcPr>
            <w:tcW w:w="5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21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111,845</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111,845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210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7,999</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7,999</w:t>
            </w:r>
          </w:p>
        </w:tc>
      </w:tr>
      <w:tr>
        <w:trPr>
          <w:trHeight w:val="228"/>
        </w:trPr>
        <w:tc>
          <w:tcPr>
            <w:tcW w:w="50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9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40" w:type="dxa"/>
            <w:vAlign w:val="bottom"/>
          </w:tcPr>
          <w:p>
            <w:pPr>
              <w:spacing w:after="0"/>
              <w:rPr>
                <w:sz w:val="19"/>
                <w:szCs w:val="19"/>
                <w:color w:val="auto"/>
              </w:rPr>
            </w:pPr>
          </w:p>
        </w:tc>
      </w:tr>
    </w:tbl>
    <w:p>
      <w:pPr>
        <w:spacing w:after="0" w:line="98" w:lineRule="exact"/>
        <w:rPr>
          <w:sz w:val="20"/>
          <w:szCs w:val="20"/>
          <w:color w:val="auto"/>
        </w:rPr>
      </w:pPr>
    </w:p>
    <w:p>
      <w:pPr>
        <w:ind w:left="1080" w:right="360" w:hanging="532"/>
        <w:spacing w:after="0" w:line="282" w:lineRule="auto"/>
        <w:tabs>
          <w:tab w:leader="none" w:pos="10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3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jc w:val="both"/>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320"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5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2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UK</w:t>
            </w:r>
          </w:p>
        </w:tc>
        <w:tc>
          <w:tcPr>
            <w:tcW w:w="2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107,945,740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994,933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634,526</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298,927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381,321</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(92,982)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(300,433)</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44,181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2,051,794</w:t>
            </w:r>
          </w:p>
        </w:tc>
      </w:tr>
      <w:tr>
        <w:trPr>
          <w:trHeight w:val="223"/>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00" w:type="dxa"/>
            <w:vAlign w:val="bottom"/>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280" w:type="dxa"/>
            <w:vAlign w:val="bottom"/>
          </w:tcPr>
          <w:p>
            <w:pPr>
              <w:spacing w:after="0"/>
              <w:rPr>
                <w:sz w:val="24"/>
                <w:szCs w:val="24"/>
                <w:color w:val="auto"/>
              </w:rPr>
            </w:pPr>
          </w:p>
        </w:tc>
        <w:tc>
          <w:tcPr>
            <w:tcW w:w="31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F-38</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80" w:type="dxa"/>
            <w:vAlign w:val="bottom"/>
          </w:tcPr>
          <w:p>
            <w:pPr>
              <w:spacing w:after="0"/>
              <w:rPr>
                <w:sz w:val="15"/>
                <w:szCs w:val="15"/>
                <w:color w:val="auto"/>
              </w:rPr>
            </w:pP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63,408</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28,126</w:t>
            </w:r>
          </w:p>
        </w:tc>
      </w:tr>
      <w:tr>
        <w:trPr>
          <w:trHeight w:val="27"/>
        </w:trPr>
        <w:tc>
          <w:tcPr>
            <w:tcW w:w="50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38,765</w:t>
            </w:r>
          </w:p>
        </w:tc>
      </w:tr>
      <w:tr>
        <w:trPr>
          <w:trHeight w:val="20"/>
        </w:trPr>
        <w:tc>
          <w:tcPr>
            <w:tcW w:w="5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(30,672,690)</w:t>
            </w:r>
          </w:p>
        </w:tc>
        <w:tc>
          <w:tcPr>
            <w:tcW w:w="600" w:type="dxa"/>
            <w:vAlign w:val="bottom"/>
            <w:tcBorders>
              <w:top w:val="single" w:sz="8" w:color="CCEEFF"/>
            </w:tcBorders>
            <w:gridSpan w:val="2"/>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(110,712,948)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7,208,082</w:t>
            </w:r>
          </w:p>
        </w:tc>
        <w:tc>
          <w:tcPr>
            <w:tcW w:w="5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21,035,460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(88,195)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(214,299)</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282,884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1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(2,050,426)</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(14,818,455)</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0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(4,996,208)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(6,246,825)</w:t>
            </w: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9"/>
                <w:szCs w:val="19"/>
                <w:color w:val="auto"/>
              </w:rPr>
            </w:pPr>
          </w:p>
        </w:tc>
      </w:tr>
    </w:tbl>
    <w:p>
      <w:pPr>
        <w:spacing w:after="0" w:line="117" w:lineRule="exact"/>
        <w:rPr>
          <w:sz w:val="20"/>
          <w:szCs w:val="20"/>
          <w:color w:val="auto"/>
        </w:rPr>
      </w:pPr>
    </w:p>
    <w:p>
      <w:pPr>
        <w:ind w:left="1080" w:hanging="532"/>
        <w:spacing w:after="0" w:line="266"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34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Tax loss carryforward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UK (1)</w:t>
            </w:r>
          </w:p>
        </w:tc>
        <w:tc>
          <w:tcPr>
            <w:tcW w:w="34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191,771,010</w:t>
            </w:r>
          </w:p>
        </w:tc>
        <w:tc>
          <w:tcPr>
            <w:tcW w:w="7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5,542,459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844,411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3480" w:type="dxa"/>
            <w:vAlign w:val="bottom"/>
          </w:tcPr>
          <w:p>
            <w:pPr>
              <w:spacing w:after="0"/>
              <w:rPr>
                <w:sz w:val="18"/>
                <w:szCs w:val="18"/>
                <w:color w:val="auto"/>
              </w:rPr>
            </w:pPr>
          </w:p>
        </w:tc>
        <w:tc>
          <w:tcPr>
            <w:tcW w:w="21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56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2,359,658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80" w:right="320" w:hanging="532"/>
        <w:spacing w:after="0" w:line="282"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2023 (as restated)</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 (as restated)</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24,388,433</w:t>
            </w:r>
          </w:p>
        </w:tc>
        <w:tc>
          <w:tcPr>
            <w:tcW w:w="7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11,811,695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7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7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6,882,336</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13,857,760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7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(1,281,022)</w:t>
            </w:r>
          </w:p>
        </w:tc>
      </w:tr>
      <w:tr>
        <w:trPr>
          <w:trHeight w:val="27"/>
        </w:trPr>
        <w:tc>
          <w:tcPr>
            <w:tcW w:w="5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r>
      <w:tr>
        <w:trPr>
          <w:trHeight w:val="20"/>
        </w:trPr>
        <w:tc>
          <w:tcPr>
            <w:tcW w:w="5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assurance can be given as to the nature or impact of any changes in our unrecognized tax positions during 2023.</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33,754,069</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24,388,433</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PP&amp;E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1,556,454</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174,267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327,757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294,404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60" w:type="dxa"/>
            <w:vAlign w:val="bottom"/>
          </w:tcPr>
          <w:p>
            <w:pPr>
              <w:spacing w:after="0"/>
              <w:rPr>
                <w:sz w:val="18"/>
                <w:szCs w:val="18"/>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8,110,222</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6,325,677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31,185,442</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(43,748,501)</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(31,185,442)</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bl>
    <w:p>
      <w:pPr>
        <w:spacing w:after="0" w:line="90"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70" w:lineRule="exact"/>
        <w:rPr>
          <w:sz w:val="20"/>
          <w:szCs w:val="20"/>
          <w:color w:val="auto"/>
        </w:rPr>
      </w:pPr>
    </w:p>
    <w:p>
      <w:pPr>
        <w:ind w:left="540" w:hanging="424"/>
        <w:spacing w:after="0"/>
        <w:tabs>
          <w:tab w:leader="none" w:pos="54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20"/>
          </w:cols>
          <w:pgMar w:left="320" w:top="455" w:right="5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60" w:right="4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99" w:lineRule="exact"/>
        <w:rPr>
          <w:sz w:val="20"/>
          <w:szCs w:val="20"/>
          <w:color w:val="auto"/>
        </w:rPr>
      </w:pPr>
    </w:p>
    <w:p>
      <w:pPr>
        <w:ind w:left="2200" w:right="160" w:hanging="545"/>
        <w:spacing w:after="0" w:line="282" w:lineRule="auto"/>
        <w:tabs>
          <w:tab w:leader="none" w:pos="22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30" w:lineRule="exact"/>
        <w:rPr>
          <w:rFonts w:ascii="Times New Roman" w:cs="Times New Roman" w:eastAsia="Times New Roman" w:hAnsi="Times New Roman"/>
          <w:sz w:val="18"/>
          <w:szCs w:val="18"/>
          <w:color w:val="auto"/>
        </w:rPr>
      </w:pPr>
    </w:p>
    <w:p>
      <w:pPr>
        <w:ind w:left="2200" w:right="580" w:hanging="545"/>
        <w:spacing w:after="0" w:line="282" w:lineRule="auto"/>
        <w:tabs>
          <w:tab w:leader="none" w:pos="22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67" w:lineRule="exact"/>
        <w:rPr>
          <w:rFonts w:ascii="Times New Roman" w:cs="Times New Roman" w:eastAsia="Times New Roman" w:hAnsi="Times New Roman"/>
          <w:sz w:val="18"/>
          <w:szCs w:val="18"/>
          <w:color w:val="auto"/>
        </w:rPr>
      </w:pPr>
    </w:p>
    <w:p>
      <w:pPr>
        <w:ind w:left="2200" w:right="20" w:hanging="545"/>
        <w:spacing w:after="0" w:line="261" w:lineRule="auto"/>
        <w:tabs>
          <w:tab w:leader="none" w:pos="22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w:t>
      </w:r>
    </w:p>
    <w:p>
      <w:pPr>
        <w:spacing w:after="0" w:line="1" w:lineRule="exact"/>
        <w:rPr>
          <w:sz w:val="20"/>
          <w:szCs w:val="20"/>
          <w:color w:val="auto"/>
        </w:rPr>
      </w:pPr>
    </w:p>
    <w:p>
      <w:pPr>
        <w:ind w:left="120" w:right="360" w:hanging="4"/>
        <w:spacing w:after="0" w:line="260" w:lineRule="auto"/>
        <w:tabs>
          <w:tab w:leader="none" w:pos="38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variable price based on 90% of the lowest daily VWAP during 10 consecutive trading days immediately prior to conversion provided that such variable price shall not be lower than the floor price of $2 per share.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r>
      <w:tr>
        <w:trPr>
          <w:trHeight w:val="142"/>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107,722</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15,771,190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5,392,262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54,544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9,771,340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 redemption value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approximately $11.11 and $10.71 per share at March 31, 2024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15,747,446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1,417,687 and 2,363,349 shares subject to possible redemption) at March 31, 2024 and September 30,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(9,636,663)</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(9,636,093)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75,600</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(485,111)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(818,698)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w w:val="97"/>
              </w:rPr>
              <w:t>(1,107,040)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(1,241,013)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(118,811)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(124,198)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tcPr>
          <w:p>
            <w:pPr>
              <w:spacing w:after="0"/>
              <w:rPr>
                <w:sz w:val="18"/>
                <w:szCs w:val="18"/>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270,156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tcPr>
          <w:p>
            <w:pPr>
              <w:spacing w:after="0"/>
              <w:rPr>
                <w:sz w:val="18"/>
                <w:szCs w:val="18"/>
                <w:color w:val="auto"/>
              </w:rPr>
            </w:pPr>
          </w:p>
        </w:tc>
        <w:tc>
          <w:tcPr>
            <w:tcW w:w="12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604,992</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151,345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974,408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480,794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(333,766)</w:t>
            </w:r>
          </w:p>
        </w:tc>
        <w:tc>
          <w:tcPr>
            <w:tcW w:w="100" w:type="dxa"/>
            <w:vAlign w:val="bottom"/>
          </w:tcPr>
          <w:p>
            <w:pPr>
              <w:spacing w:after="0"/>
              <w:rPr>
                <w:sz w:val="18"/>
                <w:szCs w:val="18"/>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155,710</w:t>
            </w:r>
          </w:p>
        </w:tc>
        <w:tc>
          <w:tcPr>
            <w:tcW w:w="10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(626,246)</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1,023,068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(47,080)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(182,853)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(114,914)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(443,184)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(380,846</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(27,143</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(741,160</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1,895,714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7,722,273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2,130,809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11,401,124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7"/>
              </w:rPr>
              <w:t>5,709,500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(0.09)</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55" w:right="43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10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108,634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(159,034)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$(9,155,746)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$(9,155,176)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198"/>
        </w:trPr>
        <w:tc>
          <w:tcPr>
            <w:tcW w:w="5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 liability</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(see note 4)</w:t>
            </w:r>
          </w:p>
        </w:tc>
        <w:tc>
          <w:tcPr>
            <w:tcW w:w="40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325,826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325,826</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(347,252)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(100,071)</w:t>
            </w: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5,709,500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(9,636,663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(9,636,093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800" w:type="dxa"/>
            <w:vAlign w:val="bottom"/>
            <w:gridSpan w:val="20"/>
          </w:tcPr>
          <w:p>
            <w:pPr>
              <w:ind w:left="29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60" w:type="dxa"/>
            <w:vAlign w:val="bottom"/>
            <w:tcBorders>
              <w:bottom w:val="single" w:sz="8" w:color="auto"/>
            </w:tcBorders>
            <w:gridSpan w:val="11"/>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3"/>
            <w:vMerge w:val="restart"/>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6"/>
                <w:szCs w:val="6"/>
                <w:color w:val="auto"/>
              </w:rPr>
            </w:pPr>
          </w:p>
        </w:tc>
        <w:tc>
          <w:tcPr>
            <w:tcW w:w="1000" w:type="dxa"/>
            <w:vAlign w:val="bottom"/>
            <w:gridSpan w:val="2"/>
            <w:vMerge w:val="restart"/>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5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000" w:type="dxa"/>
            <w:vAlign w:val="bottom"/>
            <w:gridSpan w:val="2"/>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$(4,091,693)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$(3,149,327)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607,027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$(5,964,009)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$(4,993,680)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198"/>
        </w:trPr>
        <w:tc>
          <w:tcPr>
            <w:tcW w:w="5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Capital contribution made by Sponsor related to the shareholder non-redemption</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1,102,909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raising capital related to the shareholder non-redemption agreements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(1,102,909)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(669,074)</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(997,722)</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(173,077)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(6,833,303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(6,832,733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(741,160)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579,884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(604,992)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(2,264,081)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124,198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55,926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29,824</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58,206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684,212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407,667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43,761</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10,500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(68,800)</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(378,057)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(1,195,701)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156,174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804,072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0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(382,840)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212,161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440,000</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(10,384,496)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(117,079,879)</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(9,732,335)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(115,129,879)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47,438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58,371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3,148,417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Excise tax payable on redemptions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434,460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00"/>
          </w:cols>
          <w:pgMar w:left="320" w:top="455" w:right="47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76"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 Account or will be forfeited, eliminated or otherwise forgiven. The proceeds of the Extension Note will be deposited in the Trust Account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connection with the Charter Amendment as follows: $70,900 to be deposited into the Trust Account within five business days following approval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Charter Amendment by the Company’s stockholders, and up to $354,502 in five equal installments to be deposited into the Trust Account for each of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five one-month extensions. On August 8, 2023, the Company borrowed $70,900 under the Extension Note and deposited the funds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Termination Date to September 17, 2023, and on September 12, 2023, October 11, 2023, November 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19, 2023 and January 16, 2024 the Company borrowed $70,900 under the Extension Note on each such date and deposited the funds into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thereby extending the Combination Period for five additional months or until February 17, 2024. Payments made on December 19,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January 16, 2024 were funded under the terms of the Subscription Agreement with Polar (see Note 4 below).</w:t>
      </w:r>
    </w:p>
    <w:p>
      <w:pPr>
        <w:spacing w:after="0" w:line="20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225"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55" w:right="51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00"/>
          </w:cols>
          <w:pgMar w:left="320" w:top="455" w:right="57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347,252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March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9"/>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4"/>
          </w:tcPr>
          <w:p>
            <w:pPr>
              <w:jc w:val="center"/>
              <w:ind w:right="3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38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9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380" w:type="dxa"/>
            <w:vAlign w:val="bottom"/>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(94,932)</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(285,914)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(15,605)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1,895,714</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5,709,500</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7,722,273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5,709,500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81"/>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4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gridSpan w:val="8"/>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8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60" w:type="dxa"/>
            <w:vAlign w:val="bottom"/>
          </w:tcPr>
          <w:p>
            <w:pPr>
              <w:spacing w:after="0"/>
              <w:rPr>
                <w:sz w:val="12"/>
                <w:szCs w:val="12"/>
                <w:color w:val="auto"/>
              </w:rPr>
            </w:pPr>
          </w:p>
        </w:tc>
        <w:tc>
          <w:tcPr>
            <w:tcW w:w="7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3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380" w:type="dxa"/>
            <w:vAlign w:val="bottom"/>
          </w:tcPr>
          <w:p>
            <w:pPr>
              <w:spacing w:after="0"/>
              <w:rPr>
                <w:sz w:val="15"/>
                <w:szCs w:val="15"/>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(539,730)</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386,387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193,497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2,130,809</w:t>
            </w:r>
          </w:p>
        </w:tc>
        <w:tc>
          <w:tcPr>
            <w:tcW w:w="3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5,709,500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11,401,124</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5" w:right="49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40"/>
          </w:cols>
          <w:pgMar w:left="320" w:top="455" w:right="53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76"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initial business combination. The maximum aggregate Investor Capital Contribution is $440,000, with an initial Investor Capital Contribution of</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6 — Recurring Fair Value Measurements</w:t>
      </w:r>
    </w:p>
    <w:p>
      <w:pPr>
        <w:spacing w:after="0" w:line="11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3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r>
      <w:tr>
        <w:trPr>
          <w:trHeight w:val="196"/>
        </w:trPr>
        <w:tc>
          <w:tcPr>
            <w:tcW w:w="7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$15,771,190</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$25,324,028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7017385</wp:posOffset>
            </wp:positionH>
            <wp:positionV relativeFrom="paragraph">
              <wp:posOffset>-396875</wp:posOffset>
            </wp:positionV>
            <wp:extent cx="260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-294005</wp:posOffset>
            </wp:positionV>
            <wp:extent cx="260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80"/>
          </w:cols>
          <w:pgMar w:left="320" w:top="455" w:right="4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3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8"/>
        </w:trPr>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54,405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60,284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33,605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25,871,565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25,324,028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5,132,351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4,708,050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12,100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2,776,600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2,564,439</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9,309,990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8,587,123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 value of approximately $10.91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$10.71 per share at December 31, 2023 and September 30, 2023, respectively</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25,784,690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25,316,806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2,363,349 and 2,363,349 shares subject to possible redemption) at December 31, 2023 and September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2023, respectively</w:t>
            </w:r>
          </w:p>
        </w:tc>
        <w:tc>
          <w:tcPr>
            <w:tcW w:w="1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159,034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(9,314,780)</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(8,486,582)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(9,155,176)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(8,486,012)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86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(621,929)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(422,315)</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334,836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1,289,673</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(260,331)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(360,314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2,363,349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15,000,000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6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36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800" w:type="dxa"/>
            <w:vAlign w:val="bottom"/>
            <w:tcBorders>
              <w:top w:val="single" w:sz="8" w:color="auto"/>
            </w:tcBorders>
            <w:gridSpan w:val="3"/>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 Capital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$(8,486,582)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2"/>
              </w:rPr>
              <w:t>$(8,486,012)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50,400</w:t>
            </w:r>
          </w:p>
        </w:tc>
        <w:tc>
          <w:tcPr>
            <w:tcW w:w="3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 agreement</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(see note 4)</w:t>
            </w:r>
          </w:p>
        </w:tc>
        <w:tc>
          <w:tcPr>
            <w:tcW w:w="4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108,634</w:t>
            </w:r>
          </w:p>
        </w:tc>
        <w:tc>
          <w:tcPr>
            <w:tcW w:w="3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480" w:type="dxa"/>
            <w:vAlign w:val="bottom"/>
          </w:tcPr>
          <w:p>
            <w:pPr>
              <w:spacing w:after="0"/>
              <w:rPr>
                <w:sz w:val="20"/>
                <w:szCs w:val="20"/>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(467,884)</w:t>
            </w:r>
          </w:p>
        </w:tc>
        <w:tc>
          <w:tcPr>
            <w:tcW w:w="1200" w:type="dxa"/>
            <w:vAlign w:val="bottom"/>
            <w:gridSpan w:val="5"/>
          </w:tcPr>
          <w:p>
            <w:pPr>
              <w:jc w:val="right"/>
              <w:ind w:right="21"/>
              <w:spacing w:after="0"/>
              <w:rPr>
                <w:sz w:val="20"/>
                <w:szCs w:val="20"/>
                <w:color w:val="auto"/>
              </w:rPr>
            </w:pPr>
            <w:r>
              <w:rPr>
                <w:rFonts w:ascii="Times New Roman" w:cs="Times New Roman" w:eastAsia="Times New Roman" w:hAnsi="Times New Roman"/>
                <w:sz w:val="18"/>
                <w:szCs w:val="18"/>
                <w:color w:val="auto"/>
              </w:rPr>
              <w:t>(467,884)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(360,314)</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(360,314)</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(9,314,780</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(9,155,176</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720" w:type="dxa"/>
            <w:vAlign w:val="bottom"/>
            <w:gridSpan w:val="16"/>
          </w:tcPr>
          <w:p>
            <w:pPr>
              <w:ind w:left="31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$ 941,796</w:t>
            </w:r>
          </w:p>
        </w:tc>
        <w:tc>
          <w:tcPr>
            <w:tcW w:w="1100" w:type="dxa"/>
            <w:vAlign w:val="bottom"/>
            <w:tcBorders>
              <w:top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(4,091,693)</w:t>
            </w:r>
          </w:p>
        </w:tc>
        <w:tc>
          <w:tcPr>
            <w:tcW w:w="1200" w:type="dxa"/>
            <w:vAlign w:val="bottom"/>
            <w:tcBorders>
              <w:top w:val="single" w:sz="8" w:color="CCEEFF"/>
            </w:tcBorders>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(3,149,327)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27,963</w:t>
            </w: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(2,479,343)</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(2,479,343)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607,027</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$ 969,759</w:t>
            </w: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6"/>
              </w:rPr>
              <w:t>$ (5,964,009)</w:t>
            </w:r>
          </w:p>
        </w:tc>
        <w:tc>
          <w:tcPr>
            <w:tcW w:w="1200" w:type="dxa"/>
            <w:vAlign w:val="bottom"/>
            <w:gridSpan w:val="5"/>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r>
      <w:tr>
        <w:trPr>
          <w:trHeight w:val="173"/>
        </w:trPr>
        <w:tc>
          <w:tcPr>
            <w:tcW w:w="734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(360,314)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607,027</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(1,289,673)</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27,963</w:t>
            </w:r>
          </w:p>
        </w:tc>
      </w:tr>
      <w:tr>
        <w:trPr>
          <w:trHeight w:val="216"/>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55,678</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 payable</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260,331</w:t>
            </w:r>
          </w:p>
        </w:tc>
      </w:tr>
      <w:tr>
        <w:trPr>
          <w:trHeight w:val="216"/>
        </w:trPr>
        <w:tc>
          <w:tcPr>
            <w:tcW w:w="7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Franchise tax payable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(115,339)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(264,331)</w:t>
            </w:r>
          </w:p>
        </w:tc>
        <w:tc>
          <w:tcPr>
            <w:tcW w:w="12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(1,500,000)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1,950,000</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20" w:type="dxa"/>
            <w:vAlign w:val="bottom"/>
          </w:tcPr>
          <w:p>
            <w:pPr>
              <w:spacing w:after="0"/>
              <w:rPr>
                <w:sz w:val="19"/>
                <w:szCs w:val="19"/>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1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2,479,343</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108,634</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00"/>
          </w:cols>
          <w:pgMar w:left="320" w:top="455" w:right="47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00"/>
          </w:cols>
          <w:pgMar w:left="320" w:top="455" w:right="47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88"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176"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00"/>
          </w:cols>
          <w:pgMar w:left="320" w:top="455" w:right="47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00"/>
          </w:cols>
          <w:pgMar w:left="320" w:top="455" w:right="57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(3,261,589)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14,961,589</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for taxes)</w:t>
            </w: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548,862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150,548,862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(129,175,094)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3,943,038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25,316,806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5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467,884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December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25,784,690</w:t>
            </w:r>
          </w:p>
        </w:tc>
      </w:tr>
      <w:tr>
        <w:trPr>
          <w:trHeight w:val="365"/>
        </w:trPr>
        <w:tc>
          <w:tcPr>
            <w:tcW w:w="584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F-80</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1120" w:type="dxa"/>
            <w:vAlign w:val="bottom"/>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Non-</w:t>
            </w:r>
          </w:p>
        </w:tc>
        <w:tc>
          <w:tcPr>
            <w:tcW w:w="4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80" w:type="dxa"/>
            <w:vAlign w:val="bottom"/>
            <w:gridSpan w:val="2"/>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0" w:type="dxa"/>
            <w:vAlign w:val="bottom"/>
            <w:gridSpan w:val="2"/>
          </w:tcPr>
          <w:p>
            <w:pPr>
              <w:jc w:val="center"/>
              <w:ind w:left="399"/>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jc w:val="center"/>
              <w:ind w:right="541"/>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1120" w:type="dxa"/>
            <w:vAlign w:val="bottom"/>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6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206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6"/>
                <w:szCs w:val="16"/>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620" w:type="dxa"/>
            <w:vAlign w:val="bottom"/>
          </w:tcPr>
          <w:p>
            <w:pPr>
              <w:spacing w:after="0"/>
              <w:rPr>
                <w:sz w:val="16"/>
                <w:szCs w:val="16"/>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(105,483)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(254,831)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439,673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w w:val="97"/>
              </w:rPr>
              <w:t>2,363,349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99"/>
              </w:rPr>
              <w:t>5,709,500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15,000,000</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5,709,500</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20"/>
          </w:cols>
          <w:pgMar w:left="320" w:top="455"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7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55" w:right="49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60"/>
          </w:cols>
          <w:pgMar w:left="320" w:top="455" w:right="51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40"/>
          </w:cols>
          <w:pgMar w:left="320" w:top="455" w:right="5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w:t>
      </w:r>
    </w:p>
    <w:p>
      <w:pPr>
        <w:spacing w:after="0" w:line="27"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00"/>
          </w:cols>
          <w:pgMar w:left="320" w:top="455" w:right="47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312" w:lineRule="auto"/>
        <w:rPr>
          <w:sz w:val="20"/>
          <w:szCs w:val="20"/>
          <w:color w:val="auto"/>
        </w:rPr>
      </w:pPr>
      <w:r>
        <w:rPr>
          <w:rFonts w:ascii="Times New Roman" w:cs="Times New Roman" w:eastAsia="Times New Roman" w:hAnsi="Times New Roman"/>
          <w:sz w:val="17"/>
          <w:szCs w:val="17"/>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 Armada Acquisition Corp. 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4,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8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177,578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61,942</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25,324,028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150,844,925</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4,708,050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3,137,535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2,564,439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 at redemption value of</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approximately $10.71 and $10.04 per share at September 30, 2023 and 2022, respectively</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25,316,806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150,548,862</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 issued and outstanding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2,363,349 and 15,000,000 shares subject to possible redemption) at September 30, 2023 and 2022,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941,796</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(8,486,582)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(4,091,693)</w:t>
            </w: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(8,486,012)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(3,149,327)</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25,417,917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151,084,445</w:t>
            </w:r>
          </w:p>
        </w:tc>
      </w:tr>
      <w:tr>
        <w:trPr>
          <w:trHeight w:val="20"/>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40"/>
          </w:cols>
          <w:pgMar w:left="320" w:top="455"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(2,789,126)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(4,503,115)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3,084,260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1,025,942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295,134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(3,477,173)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(615,284)</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(145,621)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possible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55" w:right="43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96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1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6,834,500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683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(468,899)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(1,125,000)</w:t>
            </w:r>
          </w:p>
        </w:tc>
        <w:tc>
          <w:tcPr>
            <w:tcW w:w="18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111,852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111,852</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(548,862)</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(3,622,794)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(3,622,794)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5,709,500</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(4,091,693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(3,149,327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 stockholder non-</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agreements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 non-redemption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(1,102,909)</w:t>
            </w:r>
          </w:p>
        </w:tc>
        <w:tc>
          <w:tcPr>
            <w:tcW w:w="120" w:type="dxa"/>
            <w:vAlign w:val="bottom"/>
          </w:tcPr>
          <w:p>
            <w:pPr>
              <w:spacing w:after="0"/>
              <w:rPr>
                <w:sz w:val="20"/>
                <w:szCs w:val="20"/>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(1,160,050)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(131,701)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218,254</w:t>
            </w:r>
          </w:p>
        </w:tc>
        <w:tc>
          <w:tcPr>
            <w:tcW w:w="12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218,254</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 to possible</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(3,943,038)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(320,150)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(320,150)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7"/>
              </w:rPr>
              <w:t>(8,486,582)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(8,486,012)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40"/>
          </w:cols>
          <w:pgMar w:left="320" w:top="455" w:right="4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(320,150)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(3,622,794)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(3,084,260)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(1,025,942)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111,852</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398,920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1,570,515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2,954,179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124,329</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145,621</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(1,860,042)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(913,835)</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1,071,864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182,069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(1,641,801)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2,316,985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483,034</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(231,280)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(129,175,094)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(126,862,409)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251,754</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(480,012)</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657,590</w:t>
            </w: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548,862</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40"/>
          </w:cols>
          <w:pgMar w:left="320" w:top="455" w:right="4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described in Note 1, on February 2, 2023, the stockholders approved an amendment to our certificate of incorporation to extend the Combination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until August 17, 2023, and on August 2, 2023, the stockholders approved a further amendment to our certificate of incorporation to extend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Period for six monthly periods or until no later than February 17, 2024. On August 8, 2023, the Company deposited $70,900 into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thereby extending the Combination Period until September 17, 2023, and on each of September 8, 2023, October 11, 2023 and November 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the Company deposited $70,900 into the Trust Account thereby extending the Combination Period for three additional months or until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17, 2023. However, if the Company is unable to complete the initial Business Combination within the Combination Period, the Company will</w:t>
      </w:r>
    </w:p>
    <w:p>
      <w:pPr>
        <w:spacing w:after="0" w:line="21" w:lineRule="exact"/>
        <w:rPr>
          <w:sz w:val="20"/>
          <w:szCs w:val="20"/>
          <w:color w:val="auto"/>
        </w:rPr>
      </w:pPr>
    </w:p>
    <w:p>
      <w:pPr>
        <w:ind w:left="120" w:right="40" w:hanging="4"/>
        <w:spacing w:after="0" w:line="251" w:lineRule="auto"/>
        <w:tabs>
          <w:tab w:leader="none" w:pos="33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120"/>
          </w:cols>
          <w:pgMar w:left="320" w:top="455" w:right="45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88"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 9, 2023 the Company borrowed $70,900 under the Extension Note on each such date and deposited the funds into the Trust Account thereby extending the Combination Period for three additional months or until December 17, 2023.</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August 4, 2023, the Comapny, Rezolve, Rezolve AI, and Rezolve Merger Sub amended the Business Combination Agreement to remove the requirement that after giving effect to the transactions contemplated by the Business Combination Agreement, Rezolve shall have at least $5,000,001 of net tangible assets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100"/>
          </w:cols>
          <w:pgMar w:left="320" w:top="455" w:right="4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determined in accordance with Rule 3a51-1(g)(1) of the Exchange Act) immediately after the closing of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5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55" w:right="4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00"/>
          </w:cols>
          <w:pgMar w:left="320" w:top="455" w:right="47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5" w:lineRule="exact"/>
        <w:rPr>
          <w:sz w:val="20"/>
          <w:szCs w:val="20"/>
          <w:color w:val="auto"/>
        </w:rPr>
      </w:pPr>
    </w:p>
    <w:p>
      <w:pPr>
        <w:ind w:left="1080" w:hanging="424"/>
        <w:spacing w:after="0"/>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100"/>
          </w:cols>
          <w:pgMar w:left="320" w:top="455" w:right="4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14,961,589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 Trust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(excluding the amount that can be withdrawn from Trust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for taxes)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548,862</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(129,175,094)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3,943,038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000"/>
          </w:cols>
          <w:pgMar w:left="320" w:top="455" w:right="5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48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4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0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(179,201)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(140,949)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(2,624,009)</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(998,785)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7,259,013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5,709,500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5,709,500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$0.0001. On June 16, 2021, the Sponsor purchased an additional 700,000 shares of common stock at a purchase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$0.006 per share, or an aggregate $4,070, and transferred 50,000 shares to its Chief Executive Officer and to its President and 35,000 shares to each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three independent directors. On July 23, 2021, the Sponsor purchased an additional 1,200,000 shares of common stock at a purchase price of $0.006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or an aggregate $6,975, resulting in the Sponsor holding an aggregate of 6,007,500 shares of common stock and the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independent directors holding an aggregate of 205,000 shares of common stock (such shares, collectively, the “Founder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Founder Shares included an aggregate of up to 1,125,000 shares subject to forfeiture by the Sponsor to the extent that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was not exercised in full or in part. On October 1, 2021 the underwriters’ over-allotment option expired unused resulting in 1,125,000 founder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forfeited to the Company for no consideration.</w:t>
      </w:r>
    </w:p>
    <w:p>
      <w:pPr>
        <w:spacing w:after="0" w:line="2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100"/>
          </w:cols>
          <w:pgMar w:left="320" w:top="455" w:right="47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 Sponsor under the remaining promissory note. As of September 30, 2023 and 2022, the net amount outstanding under the promissory note was $247,454 and $251,754, respectively.</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060"/>
          </w:cols>
          <w:pgMar w:left="320" w:top="455" w:right="51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6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120"/>
          </w:cols>
          <w:pgMar w:left="320" w:top="455"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5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80" w:type="dxa"/>
            <w:vAlign w:val="bottom"/>
            <w:gridSpan w:val="2"/>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 Level 1 in the hierarchy of fair value measurements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150,844,605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150,863,847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150,844,925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19,242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150,864,167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140"/>
          </w:cols>
          <w:pgMar w:left="320" w:top="455" w:right="4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31" w:lineRule="exact"/>
        <w:rPr>
          <w:sz w:val="20"/>
          <w:szCs w:val="20"/>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120"/>
          </w:cols>
          <w:pgMar w:left="320" w:top="455" w:right="45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8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$ 504,667</w:t>
            </w: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$ 351,592</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129,350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83,517</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634,017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435,209</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(634,017)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(435,209)</w:t>
            </w: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4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3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13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8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(198,808)</w:t>
            </w:r>
          </w:p>
        </w:tc>
        <w:tc>
          <w:tcPr>
            <w:tcW w:w="1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(336,741)</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2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198,808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336,741</w:t>
            </w:r>
          </w:p>
        </w:tc>
        <w:tc>
          <w:tcPr>
            <w:tcW w:w="60" w:type="dxa"/>
            <w:vAlign w:val="bottom"/>
            <w:shd w:val="clear" w:color="auto" w:fill="CCEEFF"/>
          </w:tcPr>
          <w:p>
            <w:pPr>
              <w:spacing w:after="0"/>
              <w:rPr>
                <w:sz w:val="18"/>
                <w:szCs w:val="18"/>
                <w:color w:val="auto"/>
              </w:rPr>
            </w:pPr>
          </w:p>
        </w:tc>
      </w:tr>
      <w:tr>
        <w:trPr>
          <w:trHeight w:val="238"/>
        </w:trPr>
        <w:tc>
          <w:tcPr>
            <w:tcW w:w="13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$ 615,284</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$ 145,621</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060"/>
          </w:cols>
          <w:pgMar w:left="320" w:top="455" w:right="51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800" w:type="dxa"/>
            <w:vAlign w:val="bottom"/>
            <w:gridSpan w:val="2"/>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560" w:type="dxa"/>
            <w:vAlign w:val="bottom"/>
          </w:tcPr>
          <w:p>
            <w:pPr>
              <w:spacing w:after="0"/>
              <w:rPr>
                <w:sz w:val="15"/>
                <w:szCs w:val="15"/>
                <w:color w:val="auto"/>
              </w:rPr>
            </w:pPr>
          </w:p>
        </w:tc>
        <w:tc>
          <w:tcPr>
            <w:tcW w:w="2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0.00%</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0.99%</w:t>
            </w:r>
          </w:p>
        </w:tc>
        <w:tc>
          <w:tcPr>
            <w:tcW w:w="9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119.13%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67.40%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8"/>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8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207.49%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17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080"/>
          </w:cols>
          <w:pgMar w:left="320" w:top="455" w:right="49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56" w:lineRule="exact"/>
        <w:rPr>
          <w:sz w:val="20"/>
          <w:szCs w:val="20"/>
          <w:color w:val="auto"/>
        </w:rPr>
      </w:pPr>
    </w:p>
    <w:p>
      <w:pPr>
        <w:ind w:left="120"/>
        <w:spacing w:after="0"/>
        <w:tabs>
          <w:tab w:leader="none" w:pos="101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GROUP LIMITED (Cayman)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DEED OF RELEASE, AMENDMENT AND RESTATEMENT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relating to a business combination agreement dated 17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-119380</wp:posOffset>
            </wp:positionV>
            <wp:extent cx="1431925" cy="2482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431925" cy="24828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 +44 (0)20 7300 7000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 +44 (0)20 7300 7100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www.taylorwessing.com</w:t>
      </w:r>
    </w:p>
    <w:p>
      <w:pPr>
        <w:sectPr>
          <w:pgSz w:w="11900" w:h="16838" w:orient="portrait"/>
          <w:cols w:equalWidth="0" w:num="1">
            <w:col w:w="11140"/>
          </w:cols>
          <w:pgMar w:left="320" w:top="455" w:right="4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900" w:type="dxa"/>
            <w:vAlign w:val="bottom"/>
          </w:tcPr>
          <w:p>
            <w:pPr>
              <w:jc w:val="right"/>
              <w:ind w:right="5152"/>
              <w:spacing w:after="0"/>
              <w:rPr>
                <w:sz w:val="20"/>
                <w:szCs w:val="20"/>
                <w:color w:val="auto"/>
              </w:rPr>
            </w:pPr>
            <w:r>
              <w:rPr>
                <w:rFonts w:ascii="Times New Roman" w:cs="Times New Roman" w:eastAsia="Times New Roman" w:hAnsi="Times New Roman"/>
                <w:sz w:val="18"/>
                <w:szCs w:val="18"/>
                <w:b w:val="1"/>
                <w:bCs w:val="1"/>
                <w:color w:val="auto"/>
              </w:rPr>
              <w:t>Index</w:t>
            </w:r>
          </w:p>
        </w:tc>
      </w:tr>
      <w:tr>
        <w:trPr>
          <w:trHeight w:val="409"/>
        </w:trPr>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 No.</w:t>
            </w:r>
          </w:p>
        </w:tc>
        <w:tc>
          <w:tcPr>
            <w:tcW w:w="3380" w:type="dxa"/>
            <w:vAlign w:val="bottom"/>
          </w:tcPr>
          <w:p>
            <w:pPr>
              <w:spacing w:after="0"/>
              <w:rPr>
                <w:sz w:val="24"/>
                <w:szCs w:val="24"/>
                <w:color w:val="auto"/>
              </w:rPr>
            </w:pP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6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80"/>
          </w:cols>
          <w:pgMar w:left="320" w:top="455" w:right="49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THIS DEED </w:t>
      </w:r>
      <w:r>
        <w:rPr>
          <w:rFonts w:ascii="Times New Roman" w:cs="Times New Roman" w:eastAsia="Times New Roman" w:hAnsi="Times New Roman"/>
          <w:sz w:val="18"/>
          <w:szCs w:val="18"/>
          <w:color w:val="auto"/>
        </w:rPr>
        <w:t>is made June 16,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0" w:right="60" w:hanging="424"/>
        <w:spacing w:after="0" w:line="286" w:lineRule="auto"/>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Limited </w:t>
      </w:r>
      <w:r>
        <w:rPr>
          <w:rFonts w:ascii="Times New Roman" w:cs="Times New Roman" w:eastAsia="Times New Roman" w:hAnsi="Times New Roman"/>
          <w:sz w:val="18"/>
          <w:szCs w:val="18"/>
          <w:color w:val="auto"/>
        </w:rPr>
        <w:t>a private company registered under the laws of England and Wales with registration number 09773823 with registered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3rd Floor 80 New Bond Street, Mayfair, London, United Kingdom, W1S 1SB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line="286" w:lineRule="auto"/>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AI Limited </w:t>
      </w:r>
      <w:r>
        <w:rPr>
          <w:rFonts w:ascii="Times New Roman" w:cs="Times New Roman" w:eastAsia="Times New Roman" w:hAnsi="Times New Roman"/>
          <w:sz w:val="18"/>
          <w:szCs w:val="18"/>
          <w:color w:val="auto"/>
        </w:rPr>
        <w:t>a private company registered under the laws of England and Wales with registration number 14573691 with 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5 New Street Square, London, United Kingdom, EC4A 3TW (“</w:t>
      </w:r>
      <w:r>
        <w:rPr>
          <w:rFonts w:ascii="Times New Roman" w:cs="Times New Roman" w:eastAsia="Times New Roman" w:hAnsi="Times New Roman"/>
          <w:sz w:val="18"/>
          <w:szCs w:val="18"/>
          <w:b w:val="1"/>
          <w:bCs w:val="1"/>
          <w:color w:val="auto"/>
        </w:rPr>
        <w:t>New Company</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Islands registered company (“</w:t>
      </w:r>
      <w:r>
        <w:rPr>
          <w:rFonts w:ascii="Times New Roman" w:cs="Times New Roman" w:eastAsia="Times New Roman" w:hAnsi="Times New Roman"/>
          <w:sz w:val="18"/>
          <w:szCs w:val="18"/>
          <w:b w:val="1"/>
          <w:bCs w:val="1"/>
          <w:color w:val="auto"/>
        </w:rPr>
        <w:t>CaymanCo</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Rezolve Merger Sub,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MergerSub</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0" w:right="640" w:hanging="424"/>
        <w:spacing w:after="0" w:line="286" w:lineRule="auto"/>
        <w:tabs>
          <w:tab w:leader="none" w:pos="5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with registered office at 2005 Market Street, Suite 3120 Philadelphia, PA 19103,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540" w:right="220" w:hanging="424"/>
        <w:spacing w:after="0" w:line="286"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CaymanCo, MergerSub and Armada entered into a business combination agreement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dated 17 December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amended by way of a side letter dated 10 November 2022 (the “</w:t>
      </w:r>
      <w:r>
        <w:rPr>
          <w:rFonts w:ascii="Times New Roman" w:cs="Times New Roman" w:eastAsia="Times New Roman" w:hAnsi="Times New Roman"/>
          <w:sz w:val="18"/>
          <w:szCs w:val="18"/>
          <w:b w:val="1"/>
          <w:bCs w:val="1"/>
          <w:color w:val="auto"/>
        </w:rPr>
        <w:t>Side Letter</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Side Letter, it was agreed that CaymanCo be removed as a party to the BCA, such that it was intended that the Company would become the listed entity on Nasdaq upon closing of the SPAC transaction.</w:t>
      </w:r>
    </w:p>
    <w:p>
      <w:pPr>
        <w:spacing w:after="0" w:line="67"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now intended that a demerger be effected pursuant to section 110 Insolvency Act 1986 under which the Company is to enter into a voluntary winding up procedure and part of the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are to be transferred to the New Company in exchange for the issue of shares of the same classes in the New Company for distribution amongst the shareholders in the Company in proportion to their holdings of shares of each class in the Company. Accordingly, it is intended that the New Company will become the listed entity on Nasdaq upon closing of the SPAC transaction.</w:t>
      </w:r>
    </w:p>
    <w:p>
      <w:pPr>
        <w:spacing w:after="0" w:line="94"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Company was not a party to the Original BCA that was entered into on the Effective Date, but the parties have agreed to amend and restate the terms of the Original BCA (as amended by the Side Letter) pursuant to the terms of this deed, whereby, among other things, the New Company will become a party to the BCA when the amendment and restatement of the BCA takes effect, which will occur on the date of this deed.</w:t>
      </w:r>
    </w:p>
    <w:p>
      <w:pPr>
        <w:spacing w:after="0" w:line="85"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CaymanCo is to be released and discharged from its obligations under the BCA, and the Company, the New Company, MergerSub and Armada (each a “</w:t>
      </w:r>
      <w:r>
        <w:rPr>
          <w:rFonts w:ascii="Times New Roman" w:cs="Times New Roman" w:eastAsia="Times New Roman" w:hAnsi="Times New Roman"/>
          <w:sz w:val="18"/>
          <w:szCs w:val="18"/>
          <w:b w:val="1"/>
          <w:bCs w:val="1"/>
          <w:color w:val="auto"/>
        </w:rPr>
        <w:t>Remaining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Remaining Parties</w:t>
      </w:r>
      <w:r>
        <w:rPr>
          <w:rFonts w:ascii="Times New Roman" w:cs="Times New Roman" w:eastAsia="Times New Roman" w:hAnsi="Times New Roman"/>
          <w:sz w:val="18"/>
          <w:szCs w:val="18"/>
          <w:color w:val="auto"/>
        </w:rPr>
        <w:t>”) are to release and discharge CaymanCo, from the BCA on the basis of each Remaining Party’s agreement to perform, discharge and observe the terms of the BCA (as amended by this deed) as if CaymanCo was not a party to the BCA.</w:t>
      </w:r>
    </w:p>
    <w:p>
      <w:pPr>
        <w:sectPr>
          <w:pgSz w:w="11900" w:h="16838" w:orient="portrait"/>
          <w:cols w:equalWidth="0" w:num="1">
            <w:col w:w="11060"/>
          </w:cols>
          <w:pgMar w:left="320" w:top="455" w:right="51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131" w:lineRule="exact"/>
        <w:rPr>
          <w:sz w:val="20"/>
          <w:szCs w:val="20"/>
          <w:color w:val="auto"/>
        </w:rPr>
      </w:pPr>
    </w:p>
    <w:p>
      <w:pPr>
        <w:ind w:left="540" w:hanging="424"/>
        <w:spacing w:after="0"/>
        <w:tabs>
          <w:tab w:leader="none" w:pos="54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5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terms defined in the BCA and not otherwise defined herein shall, unless the context otherwise requires, have the same meanings when used in this deed.</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Restatement</w:t>
      </w:r>
    </w:p>
    <w:p>
      <w:pPr>
        <w:spacing w:after="0" w:line="121" w:lineRule="exact"/>
        <w:rPr>
          <w:rFonts w:ascii="Times New Roman" w:cs="Times New Roman" w:eastAsia="Times New Roman" w:hAnsi="Times New Roman"/>
          <w:sz w:val="18"/>
          <w:szCs w:val="18"/>
          <w:b w:val="1"/>
          <w:bCs w:val="1"/>
          <w:color w:val="auto"/>
        </w:rPr>
      </w:pPr>
    </w:p>
    <w:p>
      <w:pPr>
        <w:ind w:lef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the date of this deed, the BCA shall be amended and restated in the form set out in schedule 1 so that the rights and obligations of the parties under the BCA shall be governed by the terms set out in schedule 1.</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3.1</w:t>
        <w:tab/>
        <w:t>Each Remaining Party:</w:t>
      </w:r>
    </w:p>
    <w:p>
      <w:pPr>
        <w:spacing w:after="0" w:line="131" w:lineRule="exact"/>
        <w:rPr>
          <w:sz w:val="20"/>
          <w:szCs w:val="20"/>
          <w:color w:val="auto"/>
        </w:rPr>
      </w:pPr>
    </w:p>
    <w:p>
      <w:pPr>
        <w:ind w:left="1080" w:right="60" w:hanging="532"/>
        <w:spacing w:after="0" w:line="282" w:lineRule="auto"/>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to perform, discharge and observe all obligations and liabilities on the part of that Remaining Party under the BCA as amended by this deed;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 bound by all the provisions of the BCA as amended by this deed,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if the CaymanCo was not a party to the BCA on and from the Effective Date.</w:t>
      </w:r>
    </w:p>
    <w:p>
      <w:pPr>
        <w:spacing w:after="0" w:line="131" w:lineRule="exact"/>
        <w:rPr>
          <w:sz w:val="20"/>
          <w:szCs w:val="20"/>
          <w:color w:val="auto"/>
        </w:rPr>
      </w:pPr>
    </w:p>
    <w:p>
      <w:pPr>
        <w:ind w:left="540" w:right="42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tab/>
        <w:t>Each Remaining Party unconditionally releases and discharges CaymanCo from all obligations and liabilities whatsoever under the BCA and confirms that it has no claim of any kind against CaymanCo under or in respect of the BCA.</w:t>
      </w:r>
    </w:p>
    <w:p>
      <w:pPr>
        <w:spacing w:after="0" w:line="63" w:lineRule="exact"/>
        <w:rPr>
          <w:sz w:val="20"/>
          <w:szCs w:val="20"/>
          <w:color w:val="auto"/>
        </w:rPr>
      </w:pPr>
    </w:p>
    <w:p>
      <w:pPr>
        <w:ind w:left="540" w:hanging="424"/>
        <w:spacing w:after="0"/>
        <w:tabs>
          <w:tab w:leader="none" w:pos="54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1" w:lineRule="exact"/>
        <w:rPr>
          <w:rFonts w:ascii="Times New Roman" w:cs="Times New Roman" w:eastAsia="Times New Roman" w:hAnsi="Times New Roman"/>
          <w:sz w:val="18"/>
          <w:szCs w:val="18"/>
          <w:b w:val="1"/>
          <w:bCs w:val="1"/>
          <w:color w:val="auto"/>
        </w:rPr>
      </w:pPr>
    </w:p>
    <w:p>
      <w:pPr>
        <w:ind w:left="5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deed may be executed in any number of counterparts, and this has the same effect as if the signatures on the counterparts were on a single copy of this agreement.</w:t>
      </w:r>
    </w:p>
    <w:p>
      <w:pPr>
        <w:spacing w:after="0" w:line="6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w:t>
      </w:r>
    </w:p>
    <w:p>
      <w:pPr>
        <w:spacing w:after="0" w:line="121" w:lineRule="exact"/>
        <w:rPr>
          <w:rFonts w:ascii="Times New Roman" w:cs="Times New Roman" w:eastAsia="Times New Roman" w:hAnsi="Times New Roman"/>
          <w:sz w:val="18"/>
          <w:szCs w:val="18"/>
          <w:b w:val="1"/>
          <w:bCs w:val="1"/>
          <w:color w:val="auto"/>
        </w:rPr>
      </w:pPr>
    </w:p>
    <w:p>
      <w:pPr>
        <w:ind w:left="560" w:right="8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deed shall be governed by, and construed in accordance with, the laws of the State of Delaware applicable to Contracts executed in and to be performed in that State. The provision of sections 8.5 and 8.16 of the BCA as amended and attached to this deed shall apply as if set out herein.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Amended and Restated Business Combination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MERGER SUB</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ORIGINALLY DATED AS OF DECEMBER 17, 2021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AMENDED ON NOVEMBER 10, 2022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AND FURTHER AMENDED AND RESTATED ON June 16, 2023</w:t>
      </w:r>
    </w:p>
    <w:p>
      <w:pPr>
        <w:spacing w:after="0" w:line="1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455" w:right="1440"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7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40" w:type="dxa"/>
            <w:vAlign w:val="bottom"/>
          </w:tcPr>
          <w:p>
            <w:pPr>
              <w:spacing w:after="0"/>
              <w:rPr>
                <w:sz w:val="17"/>
                <w:szCs w:val="17"/>
                <w:color w:val="auto"/>
              </w:rPr>
            </w:pPr>
          </w:p>
        </w:tc>
      </w:tr>
      <w:tr>
        <w:trPr>
          <w:trHeight w:val="429"/>
        </w:trPr>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24"/>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Closing of the Transactions Contemplated by this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Closing Statement; Aggregate Transaction Proceeds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Promissory Note; Closing Date Cash Payments and Uses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Exchange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Withholding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RELATING TO THE GROUP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Capitalization of the Group Companies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Undisclosed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Permits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3.8</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3.9</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Employee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3.12</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3.13</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Labor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3.15</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3.16</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3.17</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3.18</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Real and Personal Property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3.19</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3.20</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77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International Trade &amp; Anti-Corruption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r>
      <w:tr>
        <w:trPr>
          <w:trHeight w:val="364"/>
        </w:trPr>
        <w:tc>
          <w:tcPr>
            <w:tcW w:w="1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78"/>
              </w:rPr>
              <w:t>i</w:t>
            </w:r>
          </w:p>
        </w:tc>
        <w:tc>
          <w:tcPr>
            <w:tcW w:w="16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22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Regulatory Compliance</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Investigation; No Other Representations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A-41</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RELATING TO ARMADA</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Qualification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Authority</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Board Approval</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Consents and Requisite Governmental Approvals; No Violations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Information Supplied</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Capitalization of Armada</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4.8</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SEC Filings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4.9</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Absence of Changes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4.10</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Armada Material Contracts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Compliance with Applicable Law</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Business Activities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Internal Controls; Listing; Financial Statements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4.18</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Undisclosed Liabilities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4.19</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4.20</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4.21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EXCLUSIVITY OF REPRESENTATIONS AND WARRANTIES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of the Company</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A-49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Efforts to Consummate</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Confidentiality and Access to Information</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5.4</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Public Announcements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5.5</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Tax Matters</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Exclusive Dealing</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5.7</w:t>
            </w:r>
          </w:p>
        </w:tc>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Preparation of Registration Statement / Proxy Statement,</w:t>
            </w:r>
          </w:p>
        </w:tc>
        <w:tc>
          <w:tcPr>
            <w:tcW w:w="222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1"/>
              </w:rPr>
              <w:t>A-55</w:t>
            </w:r>
          </w:p>
        </w:tc>
      </w:tr>
      <w:tr>
        <w:trPr>
          <w:trHeight w:val="364"/>
        </w:trPr>
        <w:tc>
          <w:tcPr>
            <w:tcW w:w="1560" w:type="dxa"/>
            <w:vAlign w:val="bottom"/>
          </w:tcPr>
          <w:p>
            <w:pPr>
              <w:spacing w:after="0"/>
              <w:rPr>
                <w:sz w:val="24"/>
                <w:szCs w:val="24"/>
                <w:color w:val="auto"/>
              </w:rPr>
            </w:pPr>
          </w:p>
        </w:tc>
        <w:tc>
          <w:tcPr>
            <w:tcW w:w="71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ii</w:t>
            </w:r>
          </w:p>
        </w:tc>
        <w:tc>
          <w:tcPr>
            <w:tcW w:w="222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84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Armada Shareholder Approval</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5.9</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of Armada</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NASDAQ Listing</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 Support Agreements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Indemnification; Directors’ and Officers’ Insurance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5.15</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Post-Closing Directors, Name and Articles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5.16</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PCAOB Financials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A-59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5.17</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Incentive Equity Plan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 and Restrictive Covenant Agreements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5.19</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Acquisition Shares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5.20</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Transaction Consents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Stockholders’ Written Consent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Post-Closing Transfer of Rezolve USA and Cancellation of Promissory Note</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Transfer of Ownership in Rezolve Technology S.L.U</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5.24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Transfer of Intellectual Property</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A-61</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CONDITIONS TO CONSUMMATION OF THE CLOSING</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Parties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Armada</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A-63</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Other Conditions to the Obligations of the Company</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A-64</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Frustration of Closing Conditions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A-65</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Effect of Termination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Non-Survival</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A-66</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Entire Agreement; Assignment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8.3</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8.4</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A-67</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8.5</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8.6</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A-68</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8.7</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Construction; Interpretation</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8.8</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 and Schedules</w:t>
            </w:r>
          </w:p>
        </w:tc>
        <w:tc>
          <w:tcPr>
            <w:tcW w:w="184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1"/>
              </w:rPr>
              <w:t>A-69</w:t>
            </w:r>
          </w:p>
        </w:tc>
      </w:tr>
      <w:tr>
        <w:trPr>
          <w:trHeight w:val="365"/>
        </w:trPr>
        <w:tc>
          <w:tcPr>
            <w:tcW w:w="1560" w:type="dxa"/>
            <w:vAlign w:val="bottom"/>
          </w:tcPr>
          <w:p>
            <w:pPr>
              <w:spacing w:after="0"/>
              <w:rPr>
                <w:sz w:val="24"/>
                <w:szCs w:val="24"/>
                <w:color w:val="auto"/>
              </w:rPr>
            </w:pPr>
          </w:p>
        </w:tc>
        <w:tc>
          <w:tcPr>
            <w:tcW w:w="754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iii</w:t>
            </w:r>
          </w:p>
        </w:tc>
        <w:tc>
          <w:tcPr>
            <w:tcW w:w="184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156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8.9</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Parties in Interest</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8.10</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8.11</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Counterparts; Electronic Signatures</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8.12</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Knowledge of Company; Knowledge of Armada</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8.13</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 Recourse</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8.14</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Extension; Waiver</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A-70</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8.15</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8.16</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Submission to Jurisdiction</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A-71</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8.17</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Remedies</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8.18</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 Waiver</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324"/>
        </w:trPr>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8.19</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Legal Representation</w:t>
            </w: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91"/>
              </w:rPr>
              <w:t>A-72</w:t>
            </w:r>
          </w:p>
        </w:tc>
      </w:tr>
      <w:tr>
        <w:trPr>
          <w:trHeight w:val="54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ANNEXES AND EXHIBITS</w:t>
            </w:r>
          </w:p>
        </w:tc>
        <w:tc>
          <w:tcPr>
            <w:tcW w:w="2340" w:type="dxa"/>
            <w:vAlign w:val="bottom"/>
          </w:tcPr>
          <w:p>
            <w:pPr>
              <w:spacing w:after="0"/>
              <w:rPr>
                <w:sz w:val="24"/>
                <w:szCs w:val="24"/>
                <w:color w:val="auto"/>
              </w:rPr>
            </w:pPr>
          </w:p>
        </w:tc>
      </w:tr>
      <w:tr>
        <w:trPr>
          <w:trHeight w:val="44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Investor Rights Agreement</w:t>
            </w:r>
          </w:p>
        </w:tc>
        <w:tc>
          <w:tcPr>
            <w:tcW w:w="2340" w:type="dxa"/>
            <w:vAlign w:val="bottom"/>
          </w:tcPr>
          <w:p>
            <w:pPr>
              <w:spacing w:after="0"/>
              <w:rPr>
                <w:sz w:val="24"/>
                <w:szCs w:val="24"/>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Transaction Support Agreement</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Pre-IPO Articles of Association</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Form of Promissory Note</w:t>
            </w:r>
          </w:p>
        </w:tc>
        <w:tc>
          <w:tcPr>
            <w:tcW w:w="234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Indemnification Deed</w:t>
            </w:r>
          </w:p>
        </w:tc>
        <w:tc>
          <w:tcPr>
            <w:tcW w:w="234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Company Articles of Association to be adopted on Closing</w:t>
            </w:r>
          </w:p>
        </w:tc>
        <w:tc>
          <w:tcPr>
            <w:tcW w:w="2340" w:type="dxa"/>
            <w:vAlign w:val="bottom"/>
          </w:tcPr>
          <w:p>
            <w:pPr>
              <w:spacing w:after="0"/>
              <w:rPr>
                <w:sz w:val="20"/>
                <w:szCs w:val="20"/>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BUSINESS COMBINATION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December 17, 2021 (the “Original Date”) and amended as of November 10, 2022 (the “First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and further amended and restated pursuant to the terms of an amendment and restatement deed dated June 16, 2023 (the “Second Amendment Date”), is made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xml:space="preserve">”), Rezolve Limited, a private limited liability company registered under the laws of England and Wales with registration number 09773823 (the “Original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AI Limited, a private limited liability company registered under the laws of England and Wales with registration number 14573691 (the “New Company”). Armada, and the Company shall be referred to herein from time to time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WHEREAS, Armada is a blank check company formed for the purpose of effecting a merger, share exchange, asset acquisition, share purchase, reorganization or similar business combination with one or more businesses or entities;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WHEREAS, the Original Company is incorporated in England and has agreed so far as applicable to it to effect the transactions contemplated by this Agreement, including the PIPE Financing, the Company Reorganization, the Merger (as each such term is herein defined) and the transactions contemplated thereby and with effect from the completion of the Pre-Closing Demerger (the “Demerger Completion”) it is to be substituted in this Agreement by the New Company, which is incorporated in England and accordingly prior to and in relation to all matters prior to the Demerger Completion references in this Agreement to the “Company” shall be to the Original Company and with effect from and in relation to all matters post the Demerger Completion shall be to the New Company;</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Governing Documents of Armada, Armada is required to provide an opportunity for its shareholders to have their outstanding Armada Shares redeemed on the terms and subject to the conditions set forth therein in connection with obtaining the Armada Shareholder Approval;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as Armada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owns certain Armada Shares;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terms of that certain Letter Agreement dated August 12, 2021, by and among Armada, its officers, its directors and the Sponsor, such persons have agreed to vote all their Armada Shares in favor of a business combination, if Armada solicits approval for such business combination from its stockholders;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WHEREAS the Original Company on or about the Original Date entered into a convertible loan agreement and related agreements (collectively the “</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with Apeiron Investment Group Limited (“</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providing for a convertible loan in the amount of twenty million dollars ($20,000,000) to the Original Company by AIGL as subsequently amended and restated as of 24 May 2023 such that the convertible loan is in the amount of $39,625,000;</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WHEREAS, Armada and (on the Original Date) Rezolve Group Limited (“Cayman NewCo”) a Cayman Islands company entered into a subscription agreement with certain investors (collectively,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substantially in the form agreed to by the parties thereto and to the extent that any new or replacement agreement(s) is entered into with the New Company such agreement(s) is referred to herein as the “</w:t>
      </w:r>
      <w:r>
        <w:rPr>
          <w:rFonts w:ascii="Times New Roman" w:cs="Times New Roman" w:eastAsia="Times New Roman" w:hAnsi="Times New Roman"/>
          <w:sz w:val="18"/>
          <w:szCs w:val="18"/>
          <w:u w:val="single" w:color="auto"/>
          <w:color w:val="auto"/>
        </w:rPr>
        <w:t>PIPE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being an agreement under which each PIPE Investor would agree to subscribe for and purchase on the Closing Date, and the New Company would agree to issue and sell to each such PIPE Investor on the Closing Date, the number of shares in the New Company and/or the number of securities convertible into or exchangeable for shares in the New Company identified and set forth in the applicable PIPE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55" w:right="49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Subscription Agreement in exchange for the purchase price set forth therein (the equity financing under all PIPE Subscription Agreements, collectively, the “</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in each case, on the terms and subject to the conditions set forth in the applicable PIPE Subscription Agreement;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WHEREAS, prior to Closing, the Original Company, the New Company and certain of the Original Company Shareholders are to enter into a demerger support agreement pursuant to which they agree to take such steps as are required (including in the case of the Original Company Shareholders, voting in favour of shareholder resolutions required ) to effect a demerger pursuant to section 110 Insolvency Act 1986 under which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 New Company in exchange for the issue of Company Shares of the same classes in the New Company for distribution amongst the Original Company Shareholders in proportion to their holdings of Original Company Shares of each class (the “Pre-Closing Demerger”) and references in this agreement to the Company Shares to be listed shall be to the shares in the New Company;</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WHEREAS as part of the Pre-Closing Demerger, the Original Company is to agree to novate, assign or otherwise transfer (as applicable) all its rights and obligations under the Ancillary Agreements to which it is a party, such that the Company will be bound by the relevant agreements in the place of the Original Company;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WHEREAS, at the Closing, the Company, the Sponsor and certain other Company Shareholders shall enter into an investor rights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pursuant to which, among other things, certain Persons (a) will be granted certain registration rights with respect to their respective Company Shares, (b) will be subject to a customary post-Closing lock-up period of 6-months with respect to their respective Company Shares, as further described therein, and (c) will be entitled to nominate and appoint individuals to the Company Board following the Closing, in each case, on the terms and subject to the conditions set forth therein;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Board of Directors of Armada the (“</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(a) approved this Agreement, the Ancillary Documents to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is or will be a party and the transactions contemplated hereby and thereby and (b) recommended, among other things, approval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transactions contemplated by this Agreement by the holders of Armada Shares entitled to vote thereon;</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Original Company (or a committee of such board) has approved this Agreement, the Ancillary Documents to which the Company is or will be a party and the transactions contemplated hereby and thereby;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New Company has approved this Agreement, the Ancillary Documents to which the New Company is or will be party and the transactions contemplated hereby and thereby;</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Rezolve Merger Sub has approved this Agreement, the Ancillary Documents to which Rezolve Merger Sub is or will be party and the transactions contemplated hereby and thereby;</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each Key Company Shareholder has duly executed and delivered to Armada a transaction support agreement as amended on or about the Amendment Date,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pursuant to which each such Key Company Shareholder has agreed to, among other things, (a) to vote in favor of all Company resolutions such that on the Company Reorganization Date, the Company Series A Shares will be reclassified as Ordinary Shares and any other necessary resolutions are passed such that immediately following such steps each Company Shareholder will hold, by virtue only of his holding of Existing Shares and Newly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Issued Shares as at immediately prior to the Company Reorganization, his, her or its applicable pro rata portion of the Aggregate Stock Consideration (such pro rata proportion being determined solely by reference to the Existing Shares and the Newly Issued Shares)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(such shareholder’s resulting holding of his pro rata portion of the Aggregate Stock Consideration being referred to as his “</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and any holding he has of Company Shares otherwise issued, including as envisaged by this agreement, being additional to such ASC Holding) (b) support and, to the extent required under the Articles of Association of the Company or applicable Law, vote in favor of this Agreement, the Ancillary Documents to which the Company is or will be a party and the transactions contemplated hereby and thereby, the Pre-Closing Demerger, the Company Reorganization, the Merger, and the transactions contemplated thereby, (c) enter into any other agreement, certificate or other document determined by the Company or Armada to be necessary to effectuate the intent of this Agreement, the transactions contemplated thereby, including without limitation, the Pre-Closing Demerger, Company Reorganization and the Merger, (d) enter into the Written Consent and any other agreements or documents necessary, required or in connection with the Company Reorganization, the Merger, this Agreement, the Ancillary Documents, or the other transactions contemplated hereby and thereby, and I take, or cause to be taken, any actions necessary to cause certain agreements to be terminated effective as of the Closing;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WHEREAS, following the Pre-Closing Demerger, and the Company Reorganization (i) Rezolve Merger Sub shall be merged with and into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Armada whereupon Rezolve Merger Sub will cease to exist and with Armada surviving the Merger as a subsidiary of the Company (the “Merger”) and</w:t>
      </w:r>
    </w:p>
    <w:p>
      <w:pPr>
        <w:spacing w:after="0" w:line="9" w:lineRule="exact"/>
        <w:rPr>
          <w:sz w:val="20"/>
          <w:szCs w:val="20"/>
          <w:color w:val="auto"/>
        </w:rPr>
      </w:pPr>
    </w:p>
    <w:p>
      <w:pPr>
        <w:ind w:left="120" w:right="120" w:hanging="4"/>
        <w:spacing w:after="0" w:line="260" w:lineRule="auto"/>
        <w:tabs>
          <w:tab w:leader="none" w:pos="37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loan all of its remaining cash in the Trust Account to the Company in exchange for a promissory note, to enable the Company to fund working capital and transaction expenses.</w:t>
      </w:r>
    </w:p>
    <w:p>
      <w:pPr>
        <w:spacing w:after="0" w:line="18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Issuances</w:t>
      </w:r>
      <w:r>
        <w:rPr>
          <w:rFonts w:ascii="Times New Roman" w:cs="Times New Roman" w:eastAsia="Times New Roman" w:hAnsi="Times New Roman"/>
          <w:sz w:val="18"/>
          <w:szCs w:val="18"/>
          <w:color w:val="auto"/>
        </w:rPr>
        <w:t>” means the number of Equity Securities equal to (i) the Equity Securities issued pursuant to the Reissued Options, plus</w:t>
      </w:r>
    </w:p>
    <w:p>
      <w:pPr>
        <w:spacing w:after="0" w:line="27" w:lineRule="exact"/>
        <w:rPr>
          <w:sz w:val="20"/>
          <w:szCs w:val="20"/>
          <w:color w:val="auto"/>
        </w:rPr>
      </w:pPr>
    </w:p>
    <w:p>
      <w:pPr>
        <w:ind w:left="120" w:right="60" w:hanging="4"/>
        <w:spacing w:after="0" w:line="251" w:lineRule="auto"/>
        <w:tabs>
          <w:tab w:leader="none" w:pos="38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DBLP New Shares which were issued pursuant to the arrangements described and contemplated in Section 3.2(b) (under the heading “Dan Wagner”) and/or (e) related to Daniel Wagner of the Company Disclosure Schedule, plus (iii) the Aperitus Shares plus (iv) the Apeiron New Shares and the Wickens New Shares plus (iv) any other Equity Securities of the Company that are issued or proposed to be issued after the Second Amendment Date and before Closing to any Person including but not limited to any officer, director, employee, consultant, advisor, agent, representative, service provider, partner, member, or equity holder of any Group Company or any of their respective Affiliates, other than as envisaged as part of the transactions in this Agreement including without limitation pursuant to the Pre-Closing Demerger, the Company Reorganization, the PIPE Financing and the Loan Agreements (and the conversion of the loans pursuant thereto) and for the avoidance of doubt the Newly Issued Shares shall not be included as Additional Issuances.</w:t>
      </w:r>
    </w:p>
    <w:p>
      <w:pPr>
        <w:spacing w:after="0" w:line="194"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00"/>
          </w:cols>
          <w:pgMar w:left="320" w:top="455" w:right="47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4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Group</w:t>
      </w:r>
      <w:r>
        <w:rPr>
          <w:rFonts w:ascii="Times New Roman" w:cs="Times New Roman" w:eastAsia="Times New Roman" w:hAnsi="Times New Roman"/>
          <w:sz w:val="18"/>
          <w:szCs w:val="18"/>
          <w:color w:val="auto"/>
        </w:rPr>
        <w:t>” means a group of Persons that elects to, is required to, or otherwise files a Tax Return or pays a Tax as an affiliated group, aggregate group, consolidated group, combined group, unitary group or other group recognized by applicable Tax Law.</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Closing PIPE Proceeds</w:t>
      </w:r>
      <w:r>
        <w:rPr>
          <w:rFonts w:ascii="Times New Roman" w:cs="Times New Roman" w:eastAsia="Times New Roman" w:hAnsi="Times New Roman"/>
          <w:sz w:val="18"/>
          <w:szCs w:val="18"/>
          <w:color w:val="auto"/>
        </w:rPr>
        <w:t>” means the aggregate cash proceeds actually received (or deemed received as agreed among the Parties) by the Company in respect of the PIPE Financing (whether prior to or on the Closing Date). For the avoidance of doubt any cash proceeds actually received (or deemed received as agreed among the Parties) by the Company in respect of any amounts funded under a PIPE Subscription Agreement prior to the Closing Date shall constitute, and be taken into account for purposes of determining, the Aggregate Closing PIPE Proceeds (without, for the avoidance of doubt, giving effect to, or otherwise taking into account, the use of any such proceeds).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Stock Consideration</w:t>
      </w:r>
      <w:r>
        <w:rPr>
          <w:rFonts w:ascii="Times New Roman" w:cs="Times New Roman" w:eastAsia="Times New Roman" w:hAnsi="Times New Roman"/>
          <w:sz w:val="18"/>
          <w:szCs w:val="18"/>
          <w:color w:val="auto"/>
        </w:rPr>
        <w:t>” means a number of the Company Shares (being Shares in the New Company) equal to the quotient obtained by dividing (x) the Enterprise Value, by (y) the Company Share Value.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means an amount equal to the sum of (i) the aggregate cash proceeds available for release to Armada (or any designee thereof) from the Trust Account in connection with the transactions contemplated hereby as evidenced by the Promissory Note, and (ii) the Aggregate Closing PIPE Proceeds, (after giving effect to all of the Armada Shareholder Redemptions but gross of any fees, expenses, commissions and liabilities, including but not limited to any Armada Expenses or Company Expenses).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AIGL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Employment Agreements, the Investor Rights Agreement, the Restrictive Covenant Agreements, the PIPE Subscription Agreement, the Transaction Support Agreements, the Company Pre-IPO Articles of Association, the Company Articles of Association, the Company Incentive Equity Plan Term Sheet, the Plan of Merger, and each other agreement, document, instrument and/or certificate contemplated by this Agreement executed or to be executed in connection with the transactions contemplated hereby.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collectively, (a) the U.S. Foreign Corrupt Practices Act (FCPA), (b) the UK Bribery Act 2010 and (c) any other applicable anti-bribery or anti-corruption Laws or Orders related to combatting bribery, corruption and money laundering.</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Laws that are designed to prohibit, restrict or regulate actions having the purpose or effect of monopolization or restraint of trade, including the HSR Act.</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“Apeiron New Shares” means the 850,000 Company Shares issued to Apeiron Investment Group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“Aperitus Shares” means Company Shares issued to Aperitus Limited being 10,000,000 Ordinary Shares prior to the Demerger Completion and such number of Ordinary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Closing Payment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Disclosure Schedules</w:t>
      </w:r>
      <w:r>
        <w:rPr>
          <w:rFonts w:ascii="Times New Roman" w:cs="Times New Roman" w:eastAsia="Times New Roman" w:hAnsi="Times New Roman"/>
          <w:sz w:val="18"/>
          <w:szCs w:val="18"/>
          <w:color w:val="auto"/>
        </w:rPr>
        <w:t>” means the disclosure schedules to this Agreement delivered to the Company by Armada on the Original Date.</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and that are due and payable (and not otherwise expressly allocated to a Group Company or any Company Shareholder pursuant to the terms of this Agreement or any Ancillary Document) by Armada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placement agents or other agents or service providers of Armada and (b) any other fees, expenses, commissions or other amounts that are expressly allocated to Armada pursuant to this Agreement or any Ancillary Document. Notwithstanding the foregoing or anything to the contrary herein, Armada Expenses shall not include any Company Expenses nor any Transfer Taxes or other Taxes (except for irrecoverable VAT incurred by Armada on any Armada Expenses).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Financial Statements</w:t>
      </w:r>
      <w:r>
        <w:rPr>
          <w:rFonts w:ascii="Times New Roman" w:cs="Times New Roman" w:eastAsia="Times New Roman" w:hAnsi="Times New Roman"/>
          <w:sz w:val="18"/>
          <w:szCs w:val="18"/>
          <w:color w:val="auto"/>
        </w:rPr>
        <w:t>” means all of the financial statements of Armada included in the Armada SEC Reports.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Fundamental Representations</w:t>
      </w:r>
      <w:r>
        <w:rPr>
          <w:rFonts w:ascii="Times New Roman" w:cs="Times New Roman" w:eastAsia="Times New Roman" w:hAnsi="Times New Roman"/>
          <w:sz w:val="18"/>
          <w:szCs w:val="18"/>
          <w:color w:val="auto"/>
        </w:rPr>
        <w:t xml:space="preserve">” means the representations and warranties made with respect to Armada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(Authority), Section 4.3 (Board Approval),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(Capitalization of Armada), and the first four sentences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(Trust Account).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Adverse Effect</w:t>
      </w:r>
      <w:r>
        <w:rPr>
          <w:rFonts w:ascii="Times New Roman" w:cs="Times New Roman" w:eastAsia="Times New Roman" w:hAnsi="Times New Roman"/>
          <w:sz w:val="18"/>
          <w:szCs w:val="18"/>
          <w:color w:val="auto"/>
        </w:rPr>
        <w:t>” means any change, event, effect or occurrence that, individually or in the aggregate with any other change, event, effect or occurrence, has had or would reasonably be expected to have a material adverse effect on the ability of Armada to consummate the transactions contemplated by this Agreement in accordance with the terms 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Non-Party Affiliates</w:t>
      </w:r>
      <w:r>
        <w:rPr>
          <w:rFonts w:ascii="Times New Roman" w:cs="Times New Roman" w:eastAsia="Times New Roman" w:hAnsi="Times New Roman"/>
          <w:sz w:val="17"/>
          <w:szCs w:val="17"/>
          <w:color w:val="auto"/>
        </w:rPr>
        <w:t>” means, collectively, each Armada Related Party and each of the former, current or future Affiliates, Representatives, shareholders, successors or permitted assigns of any Armada Related Party (other than, for the avoidance of doubt,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40"/>
          </w:cols>
          <w:pgMar w:left="320" w:top="455" w:right="5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Approval</w:t>
      </w:r>
      <w:r>
        <w:rPr>
          <w:rFonts w:ascii="Times New Roman" w:cs="Times New Roman" w:eastAsia="Times New Roman" w:hAnsi="Times New Roman"/>
          <w:sz w:val="18"/>
          <w:szCs w:val="18"/>
          <w:color w:val="auto"/>
        </w:rPr>
        <w:t>” means, collectively, the approval of each Transaction Proposal by the affirmative vote of the holders of the requisite number of Armada Shares entitled to vote thereon, whether in person or by proxy at the Armada Shareholders Meeting (or any adjournment or postponement thereof), in accordance with the Governing Documents of Armada and applicable Law.</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 Redemption</w:t>
      </w:r>
      <w:r>
        <w:rPr>
          <w:rFonts w:ascii="Times New Roman" w:cs="Times New Roman" w:eastAsia="Times New Roman" w:hAnsi="Times New Roman"/>
          <w:sz w:val="18"/>
          <w:szCs w:val="18"/>
          <w:color w:val="auto"/>
        </w:rPr>
        <w:t>” means the right of the holders of Armada Shares to redeem all or a portion of their Armada Shares (in connection with the transactions contemplated by this Agreement or otherwise) as set forth in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Shares</w:t>
      </w:r>
      <w:r>
        <w:rPr>
          <w:rFonts w:ascii="Times New Roman" w:cs="Times New Roman" w:eastAsia="Times New Roman" w:hAnsi="Times New Roman"/>
          <w:sz w:val="18"/>
          <w:szCs w:val="18"/>
          <w:color w:val="auto"/>
        </w:rPr>
        <w:t>” means Armada’s Common Stock with a per share par value of $0.0001 each having the rights set out in the Governing Documents of Armada.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means each outstanding unit consisting of one Armada Share and one-half of one Public Warrant.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Company”</w:t>
      </w:r>
      <w:r>
        <w:rPr>
          <w:rFonts w:ascii="Times New Roman" w:cs="Times New Roman" w:eastAsia="Times New Roman" w:hAnsi="Times New Roman"/>
          <w:sz w:val="18"/>
          <w:szCs w:val="18"/>
          <w:color w:val="auto"/>
        </w:rPr>
        <w:t xml:space="preserve"> means the articles of association of the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 of the Original Company”</w:t>
      </w:r>
      <w:r>
        <w:rPr>
          <w:rFonts w:ascii="Times New Roman" w:cs="Times New Roman" w:eastAsia="Times New Roman" w:hAnsi="Times New Roman"/>
          <w:sz w:val="18"/>
          <w:szCs w:val="18"/>
          <w:color w:val="auto"/>
        </w:rPr>
        <w:t xml:space="preserve"> means the articles of association of the Original Company as in force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the Group Companies, as presently conducted, and any activities, services or products incidental or attendant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the SEC in Washington D.C. and commercial banks in New York, New York and London, United Kingdom are open for the general transaction of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NewCo</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 means any collective bargaining agreement or other Contract with any labor union, works council, labor organization or employee representative.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xml:space="preserve">” means, without duplication, (a) any success, change of control, retention, transaction bonus, severance or other similar payment or amount to any Person as a result of, or in connection with, this Agreement or the transactions contemplated hereby (including any such payments or similar amounts that may become due and payable based upon the occurrence of one or more additional circumstances, matters or events), and the employer portion of employment, payroll or similar Taxes payable as a result of the foregoing, or (b) any payments made or required to be made pursuant to or in connection with or upon termination of, or any fees, expenses or other payments owing or that will become owing in respect of, any Company Related Party Transaction (in the case of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regardless of whether paid or payable prior to, at or after the Closing or in connection with or otherwise related to this Agreement or any Ancillary Document).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40"/>
          </w:cols>
          <w:pgMar w:left="320" w:top="455" w:right="53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Company 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Acquisition Proposal</w:t>
      </w:r>
      <w:r>
        <w:rPr>
          <w:rFonts w:ascii="Times New Roman" w:cs="Times New Roman" w:eastAsia="Times New Roman" w:hAnsi="Times New Roman"/>
          <w:sz w:val="18"/>
          <w:szCs w:val="18"/>
          <w:color w:val="auto"/>
        </w:rPr>
        <w:t xml:space="preserve">” means (a) any transaction or series of transactions under which any Person(s), directly or indirectly, (i) acquires or otherwise purchases the Company or any of its controlled Affiliates or (ii) acquires all or a portion of assets, Equity Securities or businesses of the Company or any of its controlled Affiliates (in the case of each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whether by merger, consolidation, recapitalization, purchase or issuance of Equity Securities, tender offer or otherwise), or (b) any equity or similar investment in the Company or any of its controlled Affiliates. Notwithstanding the foregoing or anything to the contrary herein, none of this Agreement, the Ancillary Documents, the Pre-Closing Demerger or the transactions contemplated hereby or thereby shall constitute a Company Acquisition Proposal.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means the disclosure schedules to this Agreement delivered to Armada by the Original Company on the Original Date and as updated by the Company on Closing.</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means, as of any determination time, the aggregate amount of fees, expenses, commissions or other amounts incurred by or on behalf of, or otherwise payable by, whether or not due, any Group Company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placement agents, brokers, investment bankers, consultants, or other agents, or service providers of any Group Company, (b) all Change of Control Payments, and (d) any other fees, expenses, commissions or other amounts that are expressly allocated to any Group Company pursuant to this Agreement or any Ancillary Document. Company Expenses shall include those fees payable to Marcel Reichart Limited as referred to in Section 3.2(e) of the Disclosure Schedules. Notwithstanding the foregoing or anything to the contrary herein, Company Expenses shall not include any Armada Expenses nor any Transfer Taxes or other Taxes (except for (i) irrecoverable VAT incurred by a Group Company on any Company Expenses and (ii) any Taxes specifically referenced in the definition of Change of Control Payments).</w:t>
      </w:r>
    </w:p>
    <w:p>
      <w:pPr>
        <w:spacing w:after="0" w:line="194"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Sections 3.2(a) to (d)</w:t>
      </w:r>
      <w:r>
        <w:rPr>
          <w:rFonts w:ascii="Times New Roman" w:cs="Times New Roman" w:eastAsia="Times New Roman" w:hAnsi="Times New Roman"/>
          <w:sz w:val="18"/>
          <w:szCs w:val="18"/>
          <w:color w:val="auto"/>
        </w:rPr>
        <w:t xml:space="preserve"> (Capitalization of the Group Companies),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(Absence of Changes),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(Taxes),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(Transactions with Affiliates).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Equity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means all computer systems, Software and hardware, including peripherals and ancillary equipment, communication systems, interfaces, platforms, servers, network equipment and any associated proprietary materials, user manuals and other related documentation, including any outsourced systems and processes, in each case, relied on, owned, licensed or leased by a Group Company.</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Licensed Intellectual Property</w:t>
      </w:r>
      <w:r>
        <w:rPr>
          <w:rFonts w:ascii="Times New Roman" w:cs="Times New Roman" w:eastAsia="Times New Roman" w:hAnsi="Times New Roman"/>
          <w:sz w:val="18"/>
          <w:szCs w:val="18"/>
          <w:color w:val="auto"/>
        </w:rPr>
        <w:t>” means Intellectual Property Rights owned by any Person (other than a Group Company) that is licensed to or used by any Group Company.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effect or occurrence that, individually or in the aggregate with any other change, event, effect or occurrence, has had or would reasonably be expected to have a material adverse effect on (a) the business, assets, results of operations or financial condition of the Group Companies, taken as a whole, or (b) the ability of the Company to consummate the transactions contemplated under this Agreement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none of the following shall be taken into account in determining whether a Company Material Adverse Effect has occurred or is reasonably likely to occur: any adverse change, event, effect or occurrence arising after the Original Date from or related to (i) any change or proposed change in or change in the interpretation of any Law or GAAP after the Original Date; (ii) events or conditions generally affecting the industries or geographic areas in which the Group Company operates; (iii) any significant downturn in general economic conditions, including changes in the credit, debt, securities, financial or capital markets (including changes in interest or exchange rates, prices of any security or market index or commodity or any disruption of such markets); (iv) acts of war, sabotage, civil unrest or terrorism, or any escalation or worsening of any such acts of war, sabotage, civil unrest or terrorism, or changes in global, national, regional, state or local political or social conditions; (v) any hurricane, tornado, flood, earthquake, natural disaster, or other acts of God; (vi) epidemics, pandemics or disease outbreaks (including any escalation or general worsening of any such epidemic, pandemic or disease outbreak, including the COVID-19 virus) and provided further that the Pre-Closing Demerger shall not be deemed to amount to a Company Material Adverse Effect.</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Non-Party Affiliates</w:t>
      </w:r>
      <w:r>
        <w:rPr>
          <w:rFonts w:ascii="Times New Roman" w:cs="Times New Roman" w:eastAsia="Times New Roman" w:hAnsi="Times New Roman"/>
          <w:sz w:val="18"/>
          <w:szCs w:val="18"/>
          <w:color w:val="auto"/>
        </w:rPr>
        <w:t>” means, collectively, each Company Related Party and each former, current or future Affiliates, Representatives, successors or permitted assigns of any Company Related Party (other than, for the avoidance of doubt, the Company).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Offerings</w:t>
      </w:r>
      <w:r>
        <w:rPr>
          <w:rFonts w:ascii="Times New Roman" w:cs="Times New Roman" w:eastAsia="Times New Roman" w:hAnsi="Times New Roman"/>
          <w:sz w:val="18"/>
          <w:szCs w:val="18"/>
          <w:color w:val="auto"/>
        </w:rPr>
        <w:t>” means any and all products or services offered, licensed, provided, sold, distributed, made available or otherwise exploited by or for any Group Company, and any and all products or services under active design or development (or already designed or developed) by or for any Group Company to be released within the next 3 months, including all versions and releases of the foregoing.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in the capital of the Company, designated as “Ordinary Shares” pursuant to the Articles of Association of the Company and for all matters relating to the period before the Pre-Closing Demerger shall refer to such shares designated as “Ordinary Shares” of the Original Company and for all matters relating to the period from and after the Demerger Completion shall refer to such shares designated as “Ordinary Shares” of the New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Intellectual Property</w:t>
      </w:r>
      <w:r>
        <w:rPr>
          <w:rFonts w:ascii="Times New Roman" w:cs="Times New Roman" w:eastAsia="Times New Roman" w:hAnsi="Times New Roman"/>
          <w:sz w:val="18"/>
          <w:szCs w:val="18"/>
          <w:color w:val="auto"/>
        </w:rPr>
        <w:t>” means all Intellectual Property Rights that are owned by the Group Companies.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Pre-IPO Articles of Association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means each warrant to purchase one Company Share at an issue price of $11.50 per share.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means all Company Owned Intellectual Property that is registered to any Group Company or the subject of an application for registration in the name of any Group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collectively, the Company Shares and the Company Public Warrants.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in the capital of the Company, designated as “Series A Shares” pursuant to the Articles of Association of the Company and for all matters relating to the period before the Pre-Closing Demerger shall refer to such shares designated as “Series A Shares” of the Original Company and for all matters relating to the period from and after the Demerger Completion shall refer to such shares designated as “Series A Shares” of the New Company.</w:t>
      </w:r>
    </w:p>
    <w:p>
      <w:pPr>
        <w:spacing w:after="0" w:line="180"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Shareholder Agreement</w:t>
      </w:r>
      <w:r>
        <w:rPr>
          <w:rFonts w:ascii="Times New Roman" w:cs="Times New Roman" w:eastAsia="Times New Roman" w:hAnsi="Times New Roman"/>
          <w:sz w:val="17"/>
          <w:szCs w:val="17"/>
          <w:color w:val="auto"/>
        </w:rPr>
        <w:t>” means the Shareholder Deed, dated as of December 18, 2018, between the Original Company and certain Original Company Shareholders, or such shareholder agreement as may apply in relation to the New Company after the Demerger Completion.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Company Shares as of any determination time at or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Company Series A Shares and the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Value</w:t>
      </w:r>
      <w:r>
        <w:rPr>
          <w:rFonts w:ascii="Times New Roman" w:cs="Times New Roman" w:eastAsia="Times New Roman" w:hAnsi="Times New Roman"/>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owned by or licensed to a Group Company.</w:t>
      </w:r>
    </w:p>
    <w:p>
      <w:pPr>
        <w:spacing w:after="0" w:line="225"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non-disclosure agreement, dated as of August 8, 2021, by and between the Company and Armada.</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notice, authorization, qualification, registration, filing, notification, waiver, order, waiting period expiration or termination, consent or approval to be obtained from, filed with or delivered to, a Governmental Entity or other Person, including without limitation with respect to any applicable Antitrust Laws.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agreement, contract, license, lease, obligation, undertaking or other commitment or arrangement (whether written or oral).</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Function</w:t>
      </w:r>
      <w:r>
        <w:rPr>
          <w:rFonts w:ascii="Times New Roman" w:cs="Times New Roman" w:eastAsia="Times New Roman" w:hAnsi="Times New Roman"/>
          <w:sz w:val="18"/>
          <w:szCs w:val="18"/>
          <w:color w:val="auto"/>
        </w:rPr>
        <w:t>” means a controlled function for the purposes of section 59 of FSMA as specified in the FCA Handbook (as applicable) from time to time.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Copyleft License</w:t>
      </w:r>
      <w:r>
        <w:rPr>
          <w:rFonts w:ascii="Times New Roman" w:cs="Times New Roman" w:eastAsia="Times New Roman" w:hAnsi="Times New Roman"/>
          <w:sz w:val="18"/>
          <w:szCs w:val="18"/>
          <w:color w:val="auto"/>
        </w:rPr>
        <w:t>” means any license of Intellectual Property that provides, as a condition to the use, modification or distribution of such licensed Intellectual Property, that such licensed Intellectual Property, or any other Intellectual Property that is incorporated into, derived from, based on, linked to, or used or distributed with such licensed Intellectual Property, be licensed, distributed, or otherwise made available: (a) in a form other than binary or object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 source code form); (b) under terms that permit redistribution, reverse engineering, or creation of derivative works or other modification of any of the foregoing Intellectual Property; or (c) without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a license fee. “Copyleft Licenses” include the GNU General Public License, the GNU Lesser General Public License, the Affero General Public License, the Mozilla Public License, the Common Development and Distribution License, the Eclipse Public License and all Creative Commons “sharealike” licenses.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all related strains and sequences), and any evolutions or mutations thereof or related or associated epidemics, pandemic or disease outbreaks.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“Demerger Completion”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“DBLP New Shares” means the 27,246,461 Company Shares issued to DBLP Sea Cow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equity or equity-based compensation, retirement, pension, enhanced redundancy, savings, profit sharing, bonus, commission, overtime, incentive, severance, separation, employment, change in control, retention, deferred compensation, medical, retiree or post-termination health or welfare, salary continuation, fringe or other compensatory plan, program, policy agreement arrangement or Contract that any Group Company maintains, sponsors or contributes to (or is required to contribute to), or under or with respect to which any Group Company has or could reasonably expect to have any Liability.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has the meaning set out in Section 5.18(a).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-7620</wp:posOffset>
            </wp:positionV>
            <wp:extent cx="35496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$1,600,000,000.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and Orders concerning pollution, protection of the environment, or human health or safety.</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means an exchange ratio of one (1) Company Share for every one (1) Armada Share.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means those Company Shares originally in issue at the Original Date and being after the Demerger Completion such number of Company Shares in the New Company as represents an equivalent proportion of the then issued share capital of the New Company immediately after the Pre-Closing Demerger and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60"/>
          </w:cols>
          <w:pgMar w:left="320" w:top="455" w:right="51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Company Reorganisation as they represented of the issued share capital of the Original Company before the Pre-Closing Demerger and the Company Reorganisation and for the avoidance of doubt excluding (i) the Additional Issuances and (ii) the Newly Issued Shares;</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means any Law or Order related to import and export controls administered and enforced by the European Union, the United Kingdom or United States, including the U.S. Export Administration Regulations, the International Traffic in Arms Regulations such other controls administered by the U.S. Customs and Border Protection.</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 the Payment Services Regulations 2017, the Financial Services and Markets Act 2000 or any similar, successor or replacement authority which takes on any or all of the rights and responsibilities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 Handbook</w:t>
      </w:r>
      <w:r>
        <w:rPr>
          <w:rFonts w:ascii="Times New Roman" w:cs="Times New Roman" w:eastAsia="Times New Roman" w:hAnsi="Times New Roman"/>
          <w:sz w:val="18"/>
          <w:szCs w:val="18"/>
          <w:color w:val="auto"/>
        </w:rPr>
        <w:t>” means the Handbook of Rules and Guidance published by the FCA (as amended from time to time).</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means the Exchange Act, the Securities Act and the other U.S. federal securities laws and the rules and regulations of the SEC promulgated thereunder or otherwise.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FSMA</w:t>
      </w:r>
      <w:r>
        <w:rPr>
          <w:rFonts w:ascii="Times New Roman" w:cs="Times New Roman" w:eastAsia="Times New Roman" w:hAnsi="Times New Roman"/>
          <w:sz w:val="17"/>
          <w:szCs w:val="17"/>
          <w:color w:val="auto"/>
        </w:rPr>
        <w:t>” means the UK Financial Services and Markets Act 2000 and any legislation and regulation made thereunder, all as amended from time to</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w:t>
      </w:r>
    </w:p>
    <w:p>
      <w:pPr>
        <w:spacing w:after="0" w:line="225"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means the legal document(s) by which any Person (other than an individual) establishes its legal existence or which govern its internal affairs. For example, the “Governing Documents” of a U.K. private limited company are its memorandum and articles of association, the “Governing Documents” of a Cayman Islands exempted company are its memorandum and articles of association, and the “Governing Documents” of a U.S. corporation are its certificate or articles of incorporation (or analogous document) and by-laws, the “Governing Documents” of a U.S. limited partnership are its limited partnership agreement and certificate of limited partnership (or analogous document), the “Governing Documents” of a U.S. limited liability company are its operating or limited liability company agreement and certificate of formation (or analogous document).</w:t>
      </w:r>
    </w:p>
    <w:p>
      <w:pPr>
        <w:spacing w:after="0" w:line="173"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spacing w:after="0" w:line="1" w:lineRule="exact"/>
        <w:rPr>
          <w:sz w:val="20"/>
          <w:szCs w:val="20"/>
          <w:color w:val="auto"/>
        </w:rPr>
      </w:pPr>
    </w:p>
    <w:p>
      <w:pPr>
        <w:ind w:left="120" w:right="440" w:hanging="4"/>
        <w:spacing w:after="0" w:line="260" w:lineRule="auto"/>
        <w:tabs>
          <w:tab w:leader="none" w:pos="36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exercising or entitled to exercise any administrative, executive, judicial, legislative, police, regulatory, or taxing authority or power of any nature, including any arbitral tribunal (public or private) whether supernational, national regional or local.</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Original Company and its Subsidiaries or, after the Demerger Completion, the New Company and its Subsidiaries.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as of any time, without duplication, with respect to any Person, the outstanding principal amount of, accrued and unpaid interest on, fees and expenses, and breakage of prepayment penalties or premiums that are payable arising under or in respect of (a) indebtedness for borrowed money (including the current portion thereof), (b) other obligations evidenced by any note, bond, debenture or other debt security,</w:t>
      </w:r>
    </w:p>
    <w:p>
      <w:pPr>
        <w:spacing w:after="0" w:line="2" w:lineRule="exact"/>
        <w:rPr>
          <w:sz w:val="20"/>
          <w:szCs w:val="20"/>
          <w:color w:val="auto"/>
        </w:rPr>
      </w:pPr>
    </w:p>
    <w:p>
      <w:pPr>
        <w:ind w:left="120" w:right="20" w:hanging="4"/>
        <w:spacing w:after="0" w:line="265" w:lineRule="auto"/>
        <w:tabs>
          <w:tab w:leader="none" w:pos="365"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for the deferred purchase price of property or assets, including “earn-outs” and “seller notes” (calculated assuming the maximum amount payable with respect thereto, whether or not contingent), (d) reimbursement and other obligations with respect to letters of credit, bank guarantees, bankers’ acceptances or other similar instruments, in each case, solely to the extent drawn (e) derivative, hedging, swap, foreign exchange or similar arrangements, including swaps, caps, collars, hedges or similar arrangements, in each case, to the extent of the liability in respect of such arrangement as of such time, (f) amounts owed to any holder of equity securities of the Group Companies or to such holder’s Affiliates (other than (1) amounts solely between or among the Group Companies and (2) liabilities under ordinary course of business commercial arrangements, salary, wages and bonuses), and</w:t>
      </w:r>
    </w:p>
    <w:p>
      <w:pPr>
        <w:ind w:left="120" w:right="160" w:hanging="4"/>
        <w:spacing w:after="0" w:line="260" w:lineRule="auto"/>
        <w:tabs>
          <w:tab w:leader="none" w:pos="37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obligations of any other Person of the type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directly or indirectly guaranteed by such Person or secured by any assets of such Person, whether or not such Indebtedness has been assumed by such Person.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Deed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rights and related priority rights protected, created or arising in any jurisdiction or under any international convention, including all (a) patents and patent applications, rights in inventions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names, service names, brand names, trade dress rights, logos, get-up, domain names and URLs, corporate names and other source or business identifiers, together with the goodwill associated with any of the foregoing, and all applications, registrations, extensions and renewals of any of the foregoing; (c) copyrights and works of authorship, database and design rights, rights in data, and other sui generis rights, mask work rights and moral rights, rights to sue for passing off and in unfair competition, whether or not registered or published, and all registrations, applications, renewals, extensions and reversions of any of any of the foregoing; (d) rights of privacy and publicity, including rights to the use of names, likenesses, images, voices, signatures and biographical information of real perIs; (e) trade secrets, know-how and confidential and proprietary information, including invention disclosures, inventions and formulae, whether patentable or not; (f) rights in or to Software or other technology; and (g) rights in opposition proceedings and any other intellectual or proprietary rights protectable, arising under or associated with any of the foregoing, including those protected by any Law anywhere in the world.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Key Company Shareholder</w:t>
      </w:r>
      <w:r>
        <w:rPr>
          <w:rFonts w:ascii="Times New Roman" w:cs="Times New Roman" w:eastAsia="Times New Roman" w:hAnsi="Times New Roman"/>
          <w:sz w:val="17"/>
          <w:szCs w:val="17"/>
          <w:color w:val="auto"/>
        </w:rPr>
        <w:t>” means all Company Shareholders that are (a) executive officers, directors, affiliates or founders of the Company or the Company Subsidiaries, including each of their respective family members and (b) 5% or greater holders of voting equity securities of the Company.</w:t>
      </w:r>
    </w:p>
    <w:p>
      <w:pPr>
        <w:spacing w:after="0" w:line="140" w:lineRule="exact"/>
        <w:rPr>
          <w:sz w:val="20"/>
          <w:szCs w:val="20"/>
          <w:color w:val="auto"/>
        </w:rPr>
      </w:pPr>
    </w:p>
    <w:p>
      <w:pPr>
        <w:jc w:val="center"/>
        <w:ind w:right="32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means Dan Wagner, Arthur Yao, Sauvik Banerjjee, Peter Vesco, Salman Ahmed, Mark Turner and Richard Burchill. A-12</w:t>
      </w:r>
    </w:p>
    <w:p>
      <w:pPr>
        <w:sectPr>
          <w:pgSz w:w="11900" w:h="16838" w:orient="portrait"/>
          <w:cols w:equalWidth="0" w:num="1">
            <w:col w:w="11140"/>
          </w:cols>
          <w:pgMar w:left="320" w:top="455" w:right="4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foreign, national or supranational statute, law (including common law), act, statute, ordinance, treaty, rule, code, Order, judgment, injunction, award, decree, writ, regulation or other binding directive or guidance issued, promulgated or enforced by a Governmental Entity having jurisdiction over a given matter including without limitation, any provisions of FSMA, the principles, regulations, rules or guidance set out in the FCA Handbook, any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or in any other county in which a Group Company is incorporated, has any presence or provides any services or carries on any activities, in all cases as amended from time-to-time.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commitment or undertaking.</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introductory paragraph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-7620</wp:posOffset>
            </wp:positionV>
            <wp:extent cx="8470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12:01 a.m. Eastern Time on the Closing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has the meaning set out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-7620</wp:posOffset>
            </wp:positionV>
            <wp:extent cx="2984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98450" cy="8890"/>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Newly Issued Shares</w:t>
      </w:r>
      <w:r>
        <w:rPr>
          <w:rFonts w:ascii="Times New Roman" w:cs="Times New Roman" w:eastAsia="Times New Roman" w:hAnsi="Times New Roman"/>
          <w:sz w:val="18"/>
          <w:szCs w:val="18"/>
          <w:color w:val="auto"/>
        </w:rPr>
        <w:t>” means (i) those 163,265 Company Shares which were issued by the Original Company to Igor Lychagov on 25 January 2023, (ii) 612,245 Company Shares issued to Bradley Wickens on 7 December 2022, (iii) 612,245 Company Shares issued to Apeiron Investment Group Limited on 7 December 2022 and (iv) those 816,326 Company Shares issued to Jeremy San on 16 November 2022 and the references to the numbers of shares in (i), (ii), (iii) and (iv) shall be after the Pre-Closing Demerger and the Company Reorganisation to such number of Company Shares in the New Company as represents an equivalent proportion of the then issued share capital of the New Company immediately after the Pre-Closing Demerger and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0"/>
        <w:spacing w:after="0" w:line="282" w:lineRule="auto"/>
        <w:rPr>
          <w:sz w:val="20"/>
          <w:szCs w:val="20"/>
          <w:color w:val="auto"/>
        </w:rPr>
      </w:pPr>
      <w:r>
        <w:rPr>
          <w:rFonts w:ascii="Times New Roman" w:cs="Times New Roman" w:eastAsia="Times New Roman" w:hAnsi="Times New Roman"/>
          <w:sz w:val="18"/>
          <w:szCs w:val="18"/>
          <w:color w:val="auto"/>
        </w:rPr>
        <w:t>Reorganisation as they represented of the issued share capital of the Original Company before the Pre-Closing Demerger and the Company Reorganisation.).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subject to or licensed, provided or distributed under any open source license (including any Copyleft License), including any license meeting the Open Source Definition (as promulgated by the Open Source Initiative) or the Free Software Definition (as promulgated by the Free Software Foundation), or any substantially similar license.</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outstanding writ, order, judgment, injunction, decision, determination, award, ruling, subpoena, verdict or decree entered, issued or rendered by any Governmental Entity having jurisdiction over such matter.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Ordinary Shares</w:t>
      </w:r>
      <w:r>
        <w:rPr>
          <w:rFonts w:ascii="Times New Roman" w:cs="Times New Roman" w:eastAsia="Times New Roman" w:hAnsi="Times New Roman"/>
          <w:sz w:val="18"/>
          <w:szCs w:val="18"/>
          <w:color w:val="auto"/>
        </w:rPr>
        <w:t>” means the shares of £0.0001 each in the capital of the Company, designated as “Ordinary Shares” pursuant to the Articles of Association of the Original Company.</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Series A Shares</w:t>
      </w:r>
      <w:r>
        <w:rPr>
          <w:rFonts w:ascii="Times New Roman" w:cs="Times New Roman" w:eastAsia="Times New Roman" w:hAnsi="Times New Roman"/>
          <w:sz w:val="18"/>
          <w:szCs w:val="18"/>
          <w:color w:val="auto"/>
        </w:rPr>
        <w:t>” means the series A preferred shares of £0.0001 each in capital of the Original Company, designated as “Series A Shares” pursuant to the Articles of Association of the Original Company.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collectively, the holders of Original Company Shares as of any determination time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collectively, the Original Company Series A Shares and the Original Company Ordinary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Closing Company Financial Statements</w:t>
      </w:r>
      <w:r>
        <w:rPr>
          <w:rFonts w:ascii="Times New Roman" w:cs="Times New Roman" w:eastAsia="Times New Roman" w:hAnsi="Times New Roman"/>
          <w:sz w:val="18"/>
          <w:szCs w:val="18"/>
          <w:color w:val="auto"/>
        </w:rPr>
        <w:t xml:space="preserve">” has the meaning set foI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has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means the Public Company Accounting Oversight Board.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clearances, consents, filings, licenses, registrations, permits, easements, Orders, franchises, qualifications, rulings, waivers, variances, certificates, or other form of permission, consent, exemption or authority issued, granted, given or otherwise made available by or under the authority of any Governmental Entity, including without limitation, any Permits issued or granted by or under the FCA, any Permits issued any other countries in which any Group Company is incorporated, has any presence or provides any services or carries on any activities, or any Permits issued or granted by another Governmental Entity in the European Union pursuant to any applicable Law (including, without limitation, Part 4A of FSMA),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in all cases as amended from time-to-time.</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mechanic’s, materialmen’s, carriers’, repairers’ and other similar statutory Liens arising or incurred in the ordinary course of business for amounts that are not yet due and payable or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being contested in good faith by appropriate proceedings and for which sufficient reserves have been established in accordance with GAAP, as applicable, (b) statutory Liens for Taxes, assessments or other governmental charges not yet due and payable as of the Closing Date or which are being contested in good faith by appropriate proceedings and for which sufficient reserves have been established in accordance with GAAP, as applicable,</w:t>
      </w:r>
    </w:p>
    <w:p>
      <w:pPr>
        <w:spacing w:after="0" w:line="2" w:lineRule="exact"/>
        <w:rPr>
          <w:sz w:val="20"/>
          <w:szCs w:val="20"/>
          <w:color w:val="auto"/>
        </w:rPr>
      </w:pPr>
    </w:p>
    <w:p>
      <w:pPr>
        <w:ind w:left="120" w:right="60" w:hanging="4"/>
        <w:spacing w:after="0" w:line="253" w:lineRule="auto"/>
        <w:tabs>
          <w:tab w:leader="none" w:pos="36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w:t>
      </w:r>
    </w:p>
    <w:p>
      <w:pPr>
        <w:spacing w:after="0" w:line="18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(a) can, alone or when combined with other information, identify a natural person, or (b) is otherwise subject to applicable Laws or any privacy policies of the Company governing personal information.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Financing</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PIPE Subscription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Armada Shareholders</w:t>
      </w:r>
      <w:r>
        <w:rPr>
          <w:rFonts w:ascii="Times New Roman" w:cs="Times New Roman" w:eastAsia="Times New Roman" w:hAnsi="Times New Roman"/>
          <w:sz w:val="18"/>
          <w:szCs w:val="18"/>
          <w:color w:val="auto"/>
        </w:rPr>
        <w:t>” means the holders of Armada Shares as of any time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“Pre-Closing Demerger”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applicable laws in any jurisdiction relating to privacy or the processing or protection of personal data, including (without limitation) the General Data Protection Regulation (Regulation (EU) 2016/679) (the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the UK Data Protection Act 2018, the GDPR as it forms part of the laws of England and Wales, Scotland and Northern Ireland by virtue of section 3 of the European Union (Withdrawal) Act 2018, and the e-Privacy Directive (2002/58/EC), and including any predecessor, successor or implementing legislation in respect of the foregoing, and any amendments or re-enactments of the foregoing.</w:t>
      </w:r>
    </w:p>
    <w:p>
      <w:pPr>
        <w:spacing w:after="0" w:line="183"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lawsuit, litigation, action, audit, examination, claim, complaint, charge, investigation, demand, proceeding, suit or arbitration (in each case, whether civil, criminal or administrative and whether public or private) pending by or before or otherwise involving any Governmental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80"/>
          </w:cols>
          <w:pgMar w:left="320" w:top="455" w:right="49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Warrant</w:t>
      </w:r>
      <w:r>
        <w:rPr>
          <w:rFonts w:ascii="Times New Roman" w:cs="Times New Roman" w:eastAsia="Times New Roman" w:hAnsi="Times New Roman"/>
          <w:sz w:val="18"/>
          <w:szCs w:val="18"/>
          <w:color w:val="auto"/>
        </w:rPr>
        <w:t>” means each warrant to purchase one Armada Share at an issue price of $11.50 per share, which are listed on the NASDAQ under the ticker symbol “AACIW.”</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leases, sub-leases, licenses, concessions or other agreements, in each case, pursuant to which any Group Company leases or sub-leases any real property (including, without limitation, all amendments, extensions, renewals, guaranties, and other agreements with respect thereto).</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Reissued Options</w:t>
      </w:r>
      <w:r>
        <w:rPr>
          <w:rFonts w:ascii="Times New Roman" w:cs="Times New Roman" w:eastAsia="Times New Roman" w:hAnsi="Times New Roman"/>
          <w:sz w:val="18"/>
          <w:szCs w:val="18"/>
          <w:color w:val="auto"/>
        </w:rPr>
        <w:t>” shall mean the options to purchase Company Shares issued following the Closing Date in lieu of the Promised Options.</w:t>
      </w:r>
    </w:p>
    <w:p>
      <w:pPr>
        <w:spacing w:after="0" w:line="225"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 / Proxy Statement</w:t>
      </w:r>
      <w:r>
        <w:rPr>
          <w:rFonts w:ascii="Times New Roman" w:cs="Times New Roman" w:eastAsia="Times New Roman" w:hAnsi="Times New Roman"/>
          <w:sz w:val="17"/>
          <w:szCs w:val="17"/>
          <w:color w:val="auto"/>
        </w:rPr>
        <w:t>” means a registration statement on Form F-4 relating to the transactions contemplated by this Agreement and the Ancillary Documents and containing a joint proxy statement/prospectus of the Company therein, and a proxy statement of Armada.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Group Company</w:t>
      </w:r>
      <w:r>
        <w:rPr>
          <w:rFonts w:ascii="Times New Roman" w:cs="Times New Roman" w:eastAsia="Times New Roman" w:hAnsi="Times New Roman"/>
          <w:sz w:val="18"/>
          <w:szCs w:val="18"/>
          <w:color w:val="auto"/>
        </w:rPr>
        <w:t>” means a Group Company holding a Permit.</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Code of Conduct</w:t>
      </w:r>
      <w:r>
        <w:rPr>
          <w:rFonts w:ascii="Times New Roman" w:cs="Times New Roman" w:eastAsia="Times New Roman" w:hAnsi="Times New Roman"/>
          <w:sz w:val="18"/>
          <w:szCs w:val="18"/>
          <w:color w:val="auto"/>
        </w:rPr>
        <w:t>” includes the rules and guidance set out in the code of conduct in the FCA Handbook and related conduct rules and standards.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controlled Affiliates and its and such controlled Affiliates’ respective directors, officers, managers, employees, members, owners, accountants, consultants, advisors, attorneys, agents and other representatives.</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Approvals</w:t>
      </w:r>
      <w:r>
        <w:rPr>
          <w:rFonts w:ascii="Times New Roman" w:cs="Times New Roman" w:eastAsia="Times New Roman" w:hAnsi="Times New Roman"/>
          <w:sz w:val="18"/>
          <w:szCs w:val="18"/>
          <w:color w:val="auto"/>
        </w:rPr>
        <w:t>” means the affirmative approval of an Investor Majority (as defined in the Company Shareholder Agreement) and of the Series A Investor Approval (as defined in the articles of association of the Original Company and of the New Company to be adopted as part of the Pre-Closing Demerger and the passing of special resolutions of the Original Company and the Company to approve and authorize the transactions contemplated in this Agreement, including but not limited to the Pre-Closing Demerger and Pre-Closing Reorganization.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“Reserve Shares” means a number of additional Company Shares to be issued on or after Closing as the board of directors of the Original Company or after the Pre-Closing Demerger the New Company may determine and including (but not limited to) 50,000,000 Company Shares provided that after the Pre-Closing Demerger and the Company Reorganisation the reference to 50,000,000 Company Shares shall be to such number of Company Shares in the New Company as represents an equivalent proportion of the then issued share capital of the New Company immediately after the Pre-Closing Demerger and Company Reorganisation as such number would have represented of the issued share capital of the Original Company before the Pre-Closing Demerger and the Company Reorganisation.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 has the meaning set out in Section 5.18(b).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3619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targeted by comprehensive export, import, financial or investment embargo under any Sanctions Laws (which currently comprise Cuba, Iran, North Korea, Syria, and the Crimea region of Ukraine).</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included on any restricted party list administered by the European Union, the United Kingdom, or the United States, including, without limitation, the UK Consolidated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List of Financial Sanctions Targets, the Consolidated List of Persons, Groups, or Entities Subject to EU Financial Sanctions, and the U.S. Specially Designated Nationals and Block Persons List; (ii) any Person that is ordinarily resident in or organized under the laws of a Sanctioned Country; or</w:t>
      </w:r>
    </w:p>
    <w:p>
      <w:pPr>
        <w:spacing w:after="0" w:line="1" w:lineRule="exact"/>
        <w:rPr>
          <w:sz w:val="20"/>
          <w:szCs w:val="20"/>
          <w:color w:val="auto"/>
        </w:rPr>
      </w:pPr>
    </w:p>
    <w:p>
      <w:pPr>
        <w:ind w:left="440" w:hanging="324"/>
        <w:spacing w:after="0"/>
        <w:tabs>
          <w:tab w:leader="none" w:pos="4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of a Sanctioned Country; or (iv) any Person that is owned or controlled by one or more persons described in (i), (ii), or</w:t>
      </w:r>
    </w:p>
    <w:p>
      <w:pPr>
        <w:spacing w:after="0" w:line="9"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collectively, the Company Disclosure Schedules and the Armada Disclosure Schedules.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actions that result in an actual, cyber or security incident that has an adverse effect on a Company IT System, Personal Data or any Company trade secret (including any processed, stored, or transmitted thereby or contained therein), including an occurrence that jeopardizes the confidentiality, integrity, or availability of a Company IT System, Personal Data or any Company trade secret. A Security Incident includes incidents of security breaches or intrusions, denial of service, or unauthorized entry, access, collection, use, processing, storage, sharing, distribution, transfer, disclosure, or destruction of, any Company IT Systems, Personal Data or Company trade secrets, or any loss, distribution, compromise or unauthorized disclosure of any of the foregoing.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Function</w:t>
      </w:r>
      <w:r>
        <w:rPr>
          <w:rFonts w:ascii="Times New Roman" w:cs="Times New Roman" w:eastAsia="Times New Roman" w:hAnsi="Times New Roman"/>
          <w:sz w:val="18"/>
          <w:szCs w:val="18"/>
          <w:color w:val="auto"/>
        </w:rPr>
        <w:t>” means a function specified for the purposes of section 63E of FSMA in the FCA Handbook (as applicable) from time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Group</w:t>
      </w:r>
      <w:r>
        <w:rPr>
          <w:rFonts w:ascii="Times New Roman" w:cs="Times New Roman" w:eastAsia="Times New Roman" w:hAnsi="Times New Roman"/>
          <w:sz w:val="18"/>
          <w:szCs w:val="18"/>
          <w:color w:val="auto"/>
        </w:rPr>
        <w:t>” mean the Sponsor and each of its members, directors and officers and each of the directors and officers of Armada.</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limited liability company, partnership or other similar ownership interests thereof is at the time owned or controlled, directly or indirectly,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20"/>
          </w:cols>
          <w:pgMar w:left="320" w:top="455" w:right="55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have the right to appoint a majority of the Board of Directors of such business entity (other than a corporation). The term “Subsidiary” shall include all Subsidiaries of such Subsidiary.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U.S.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Entity responsible for the collection, imposition or administration of Taxes or Tax Returns.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Consolidation</w:t>
      </w:r>
      <w:r>
        <w:rPr>
          <w:rFonts w:ascii="Times New Roman" w:cs="Times New Roman" w:eastAsia="Times New Roman" w:hAnsi="Times New Roman"/>
          <w:sz w:val="18"/>
          <w:szCs w:val="18"/>
          <w:color w:val="auto"/>
        </w:rPr>
        <w:t>” means any fiscal unity or Tax consolidation arrangement between two or more companies the effect of which is to treat those companies as a single entity for any Tax purpose.</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returns, declarations, reports, claims for refund, information returns, elections, disclosures, statements, or other documents (including any related or supporting schedules, attachments, statements or information, and including any amendments thereof) filed or required to be filed with a Tax Authority in connection with, or relating to, Taxes.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Pool Percentage</w:t>
      </w:r>
      <w:r>
        <w:rPr>
          <w:rFonts w:ascii="Times New Roman" w:cs="Times New Roman" w:eastAsia="Times New Roman" w:hAnsi="Times New Roman"/>
          <w:sz w:val="18"/>
          <w:szCs w:val="18"/>
          <w:color w:val="auto"/>
        </w:rPr>
        <w:t>” means a number of Company Shares equal to five percent (5%) of the fully diluted issued and outstanding Equity Securities of the Company as of the Closing or such larger percentage as increased pursuant to Section 5.17(b) .</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transfer, documentary, sales, use, stamp, registration, notarial fees and other similar Taxes and fees incurred in connection with the transactions contemplated by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Armada Expenses</w:t>
      </w:r>
      <w:r>
        <w:rPr>
          <w:rFonts w:ascii="Times New Roman" w:cs="Times New Roman" w:eastAsia="Times New Roman" w:hAnsi="Times New Roman"/>
          <w:sz w:val="18"/>
          <w:szCs w:val="18"/>
          <w:color w:val="auto"/>
        </w:rPr>
        <w:t>” means the Armada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Company Expenses</w:t>
      </w:r>
      <w:r>
        <w:rPr>
          <w:rFonts w:ascii="Times New Roman" w:cs="Times New Roman" w:eastAsia="Times New Roman" w:hAnsi="Times New Roman"/>
          <w:sz w:val="18"/>
          <w:szCs w:val="18"/>
          <w:color w:val="auto"/>
        </w:rPr>
        <w:t>” means the Company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“Wickens New Shares” means the 850,000 Company Shares issued to Bradley Wickens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 On the terms and subject to the conditions set forth in this Agreement, the following transactions shall occur:</w:t>
      </w:r>
    </w:p>
    <w:p>
      <w:pPr>
        <w:spacing w:after="0" w:line="229" w:lineRule="exact"/>
        <w:rPr>
          <w:sz w:val="20"/>
          <w:szCs w:val="20"/>
          <w:color w:val="auto"/>
        </w:rPr>
      </w:pPr>
    </w:p>
    <w:p>
      <w:pPr>
        <w:ind w:left="120" w:firstLine="987"/>
        <w:spacing w:after="0" w:line="252" w:lineRule="auto"/>
        <w:tabs>
          <w:tab w:leader="none" w:pos="135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xml:space="preserve">. On the first Business Day following the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or following the Company Reorganization, at the Merger Closing or at the Closing, as applicable), or on such other date and at such place or time as may be agreed to in writing by Armada and the Company (the “</w:t>
      </w:r>
      <w:r>
        <w:rPr>
          <w:rFonts w:ascii="Times New Roman" w:cs="Times New Roman" w:eastAsia="Times New Roman" w:hAnsi="Times New Roman"/>
          <w:sz w:val="18"/>
          <w:szCs w:val="18"/>
          <w:u w:val="single" w:color="auto"/>
          <w:color w:val="auto"/>
        </w:rPr>
        <w:t>Company Reorganization Date</w:t>
      </w:r>
      <w:r>
        <w:rPr>
          <w:rFonts w:ascii="Times New Roman" w:cs="Times New Roman" w:eastAsia="Times New Roman" w:hAnsi="Times New Roman"/>
          <w:sz w:val="18"/>
          <w:szCs w:val="18"/>
          <w:color w:val="auto"/>
        </w:rPr>
        <w:t xml:space="preserve">”), the Company Shareholders and the Company shall effect the Company Reorganization, pursuant to the terms and subject to the conditions set forth in this Agreement, and the other documents and agreements contemplated thereby. In connection with the Company Reorganization and the Merger (as defined below), the Company Shareholders shall: (i)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Pre-IPO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Association</w:t>
      </w:r>
      <w:r>
        <w:rPr>
          <w:rFonts w:ascii="Times New Roman" w:cs="Times New Roman" w:eastAsia="Times New Roman" w:hAnsi="Times New Roman"/>
          <w:sz w:val="18"/>
          <w:szCs w:val="18"/>
          <w:color w:val="auto"/>
        </w:rPr>
        <w:t xml:space="preserve">”) to take effect upon re-registration of the Company as a public limited company; and (ii) approve the adoption by the Company of the Memorandum and Articles of Association of the Company attached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Articles of Association</w:t>
      </w:r>
      <w:r>
        <w:rPr>
          <w:rFonts w:ascii="Times New Roman" w:cs="Times New Roman" w:eastAsia="Times New Roman" w:hAnsi="Times New Roman"/>
          <w:sz w:val="18"/>
          <w:szCs w:val="18"/>
          <w:color w:val="auto"/>
        </w:rPr>
        <w:t xml:space="preserve">”), to become automatically effective on Closing. Notwithstanding anything to the contrary contained herein, no fraction of a Company Security will be issued by the Company by virtue of the Company Reorganization or the transactions contemplated hereby, and each Person who would otherwise be entitled to a fraction of a Company Security (after aggregating all fractional Company Securities that would otherwise be received by such Person) shall instead have the number of Company Securities issued to such Person rounded down in the aggregate to the nearest whole Company Security. It is agreed that (i) the Reserve Shares are to be issued on or after Closing and Additional Issuances may to the extent not already issued, be issued at any time; (ii) any Additional Issuances are to be dilutive of all holders of Equity Securities in the Company from time to time including on Closing and including Armada, any of its equity holders or any of their respective affiliates but subject in the case of the Additional Issuances to the final sentence of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 (iii) any Company Shareholder’s holding of Company Shares issued pursuant to the Additional Issuances, or Reserve Shares or as otherwise envisaged in this Agreement shall be additional to his ASC Holding and (iv) for the avoidance of doubt any Company Shares issued after Closing (including without limitation the Reserve Shares) shall be dilutive of all holders of Equity Securities in the Company.</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00"/>
          </w:cols>
          <w:pgMar w:left="320" w:top="455" w:right="47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6"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Subject to the continuing satisfaction (or, to the extent permitted by applicable Law,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the Merger Closing or the Closing, as applicable),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Merger Effective Time, Rezolve Merger Sub shall be merged with and into Armada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Company Reorganization,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whereupon Rezolve Merger Sub will cease to exist and with Armada surviving the Merger (Armada, as the surviving company (as defined in the DGCL) in the Merger, sometimes being referred to herein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Merger Closing</w:t>
      </w:r>
      <w:r>
        <w:rPr>
          <w:rFonts w:ascii="Times New Roman" w:cs="Times New Roman" w:eastAsia="Times New Roman" w:hAnsi="Times New Roman"/>
          <w:sz w:val="18"/>
          <w:szCs w:val="18"/>
          <w:color w:val="auto"/>
        </w:rPr>
        <w:t>”) shall take place on the Merger Closing Date. The date on which the Merger Closing actually takes place is referred to as the “</w:t>
      </w:r>
      <w:r>
        <w:rPr>
          <w:rFonts w:ascii="Times New Roman" w:cs="Times New Roman" w:eastAsia="Times New Roman" w:hAnsi="Times New Roman"/>
          <w:sz w:val="18"/>
          <w:szCs w:val="18"/>
          <w:u w:val="single" w:color="auto"/>
          <w:color w:val="auto"/>
        </w:rPr>
        <w:t>Merger Closing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On the Merger Closing Date, Armada and Rezolve Merger Sub shall (i) cause the plan of merger with respect to the Merger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substantially in the form as agreed to by the Parties at least five (5) Business Days prior to the Merger Closing Date, to be duly executed and filed with the Secretary of State of the State of Delaware and (ii) make any other filings, recordings or publications required to be made by Armada or Rezolve Merger Sub under the DGCL in connection with the Merger. The Merger shall become effective on the date and at the time of the filing of the Plan of Merger, in accordance with the DGCL (which the Parties agree shall be deemed effective as of 12:01 a.m. eastern standard time on the Merger Closing Date) (such date and time being hereinafter referred to as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the Merger Effective Time, the Merger shall have the effects specified in the DGCL. Without limiting the generality of the foregoing, and subject thereto, at the Merger Effective Time, all the rights, property of every description including choses in action, and the business, undertaking, goodwill, benefits, immunities and privileges of each of Armada and Rezolve Merger Sub shall immediately vest in the Surviving Entity and the Surviving Entity shall be liable for and subject in the same manner as Armada and Rezolve Merger Sub to all mortgages, charges or security interests and all contracts, obligations, claims, debts and liabilities of Armada and Rezolve Merger Sub in accordance with the DGCL and as provided in this Agreement (including the Contracts entered into by Armada in connection with the IPO).</w:t>
      </w:r>
    </w:p>
    <w:p>
      <w:pPr>
        <w:spacing w:after="0" w:line="187"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3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directors and officers of Armada as of immediately prior to the Merger Effective Time shall be the directors and officers of the Surviving Entity upon the Merger Effective Time until their respective successors are duly elected or appointed and qualified or until the earlier of their death, resignation or removal in accordance with the Certificate of Incorporation of the Surviving Entity.</w:t>
      </w:r>
    </w:p>
    <w:p>
      <w:pPr>
        <w:spacing w:after="0" w:line="175"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Entity Governing Documents</w:t>
      </w:r>
      <w:r>
        <w:rPr>
          <w:rFonts w:ascii="Times New Roman" w:cs="Times New Roman" w:eastAsia="Times New Roman" w:hAnsi="Times New Roman"/>
          <w:sz w:val="18"/>
          <w:szCs w:val="18"/>
          <w:color w:val="auto"/>
        </w:rPr>
        <w:t>. Without any further action on the part of Armada or Rezolve Merger Sub, the Certificate of Incorporation and Bylaws of Rezolve Merger Sub shall be the Governing Documents of the Surviving Entity (the “</w:t>
      </w:r>
      <w:r>
        <w:rPr>
          <w:rFonts w:ascii="Times New Roman" w:cs="Times New Roman" w:eastAsia="Times New Roman" w:hAnsi="Times New Roman"/>
          <w:sz w:val="18"/>
          <w:szCs w:val="18"/>
          <w:u w:val="single" w:color="auto"/>
          <w:color w:val="auto"/>
        </w:rPr>
        <w:t>Surviving Entity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at the Merger Effective Time, except that references therein to Rezolve Merger Sub shall be treated as references to the Surviving Corporation.</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Shares</w:t>
      </w:r>
      <w:r>
        <w:rPr>
          <w:rFonts w:ascii="Times New Roman" w:cs="Times New Roman" w:eastAsia="Times New Roman" w:hAnsi="Times New Roman"/>
          <w:sz w:val="18"/>
          <w:szCs w:val="18"/>
          <w:color w:val="auto"/>
        </w:rPr>
        <w:t>. At the Merger Effective Time, by virtue of the Merger and without any action on the part of Armada or Rezolve Merger Sub or the holders of any securities of Armada:</w:t>
      </w:r>
    </w:p>
    <w:p>
      <w:pPr>
        <w:spacing w:after="0" w:line="53" w:lineRule="exact"/>
        <w:rPr>
          <w:rFonts w:ascii="Times New Roman" w:cs="Times New Roman" w:eastAsia="Times New Roman" w:hAnsi="Times New Roman"/>
          <w:sz w:val="18"/>
          <w:szCs w:val="18"/>
          <w:color w:val="auto"/>
        </w:rPr>
      </w:pPr>
    </w:p>
    <w:p>
      <w:pPr>
        <w:ind w:left="1100" w:right="80" w:firstLine="910"/>
        <w:spacing w:after="0" w:line="289" w:lineRule="auto"/>
        <w:tabs>
          <w:tab w:leader="none" w:pos="2297"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Armada Unit issued and outstanding immediately prior to the Merger Effective Time shall be cancelled in exchange for one (1) Company Share and one half of a Company Public Warrant and if any holder has any entitlement to a fraction of a Company Share or Company Public Warrant upon the exchange of all the Armada Units so held by him then that fraction shall be rounded down;</w:t>
      </w:r>
    </w:p>
    <w:p>
      <w:pPr>
        <w:spacing w:after="0" w:line="49" w:lineRule="exact"/>
        <w:rPr>
          <w:rFonts w:ascii="Times New Roman" w:cs="Times New Roman" w:eastAsia="Times New Roman" w:hAnsi="Times New Roman"/>
          <w:sz w:val="17"/>
          <w:szCs w:val="17"/>
          <w:color w:val="auto"/>
        </w:rPr>
      </w:pPr>
    </w:p>
    <w:p>
      <w:pPr>
        <w:ind w:left="1100" w:firstLine="910"/>
        <w:spacing w:after="0" w:line="266" w:lineRule="auto"/>
        <w:tabs>
          <w:tab w:leader="none" w:pos="2287"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Share issued and outstanding immediately prior to the Merger Effective Time shall be cancelled in exchange for one (1) Company Share and if any holder has any entitlement to a fraction of a Company Share upon the exchange of all the Armada Shares so held by him then that fraction shall be rounded down;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40"/>
          </w:cols>
          <w:pgMar w:left="320" w:top="455" w:right="4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300" w:hanging="290"/>
        <w:spacing w:after="0"/>
        <w:tabs>
          <w:tab w:leader="none" w:pos="2300"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Public Warrant issued and outstanding immediately prior to the Merger Effective Time shall be exchanged for one</w:t>
      </w:r>
    </w:p>
    <w:p>
      <w:pPr>
        <w:spacing w:after="0" w:line="27" w:lineRule="exact"/>
        <w:rPr>
          <w:rFonts w:ascii="Times New Roman" w:cs="Times New Roman" w:eastAsia="Times New Roman" w:hAnsi="Times New Roman"/>
          <w:sz w:val="18"/>
          <w:szCs w:val="18"/>
          <w:color w:val="auto"/>
        </w:rPr>
      </w:pPr>
    </w:p>
    <w:p>
      <w:pPr>
        <w:ind w:left="1100" w:right="300" w:firstLine="7"/>
        <w:spacing w:after="0" w:line="255" w:lineRule="auto"/>
        <w:tabs>
          <w:tab w:leader="none" w:pos="13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Public Warrant (or fraction thereof, as applicable and if any holder has any entitlement to a fraction of a Company Public Warrant upon the exchange of all the Public Warrants so held by him then that fraction shall be rounded down) and shall thereupon be deemed terminated and no longer outstanding.</w:t>
      </w:r>
    </w:p>
    <w:p>
      <w:pPr>
        <w:spacing w:after="0" w:line="186" w:lineRule="exact"/>
        <w:rPr>
          <w:sz w:val="20"/>
          <w:szCs w:val="20"/>
          <w:color w:val="auto"/>
        </w:rPr>
      </w:pPr>
    </w:p>
    <w:p>
      <w:pPr>
        <w:ind w:left="120" w:right="40" w:firstLine="987"/>
        <w:spacing w:after="0" w:line="312" w:lineRule="auto"/>
        <w:tabs>
          <w:tab w:leader="none" w:pos="1326"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Public Warrants, each of the Company Public Warrants shall have, and be subject to, substantially the same terms and conditions set forth in the Public Warrants, except that they shall represent the right to acquire Company Shares in lieu of Armada Shares.</w:t>
      </w:r>
    </w:p>
    <w:p>
      <w:pPr>
        <w:spacing w:after="0" w:line="139" w:lineRule="exact"/>
        <w:rPr>
          <w:rFonts w:ascii="Times New Roman" w:cs="Times New Roman" w:eastAsia="Times New Roman" w:hAnsi="Times New Roman"/>
          <w:sz w:val="17"/>
          <w:szCs w:val="17"/>
          <w:color w:val="auto"/>
        </w:rPr>
      </w:pPr>
    </w:p>
    <w:p>
      <w:pPr>
        <w:jc w:val="both"/>
        <w:ind w:left="120" w:right="240" w:firstLine="987"/>
        <w:spacing w:after="0" w:line="266" w:lineRule="auto"/>
        <w:tabs>
          <w:tab w:leader="none" w:pos="132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Merger Effective Time, all Armada Shares, Armada Units and Public Warrants shall no longer be outstanding and shall automatically be cancelled and shall cease to exist, and each holder of an Armada Share, Armada Unit or Public Warrant shall cease to have any rights with respect thereto, which shall have been exchanged in accordance with Section 2.1(h).</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of the Transactions Contemplated by this Agreement</w:t>
      </w:r>
      <w:r>
        <w:rPr>
          <w:rFonts w:ascii="Times New Roman" w:cs="Times New Roman" w:eastAsia="Times New Roman" w:hAnsi="Times New Roman"/>
          <w:sz w:val="18"/>
          <w:szCs w:val="18"/>
          <w:color w:val="auto"/>
        </w:rPr>
        <w:t>. The closing of the transactions contemplated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on the Merger Closing Date, immediately prior to the Merger Effective Time, electronically by exchange of the closing executed deliverables. The date on which the Closing occurs is referred to in this Agreement as the “</w:t>
      </w:r>
      <w:r>
        <w:rPr>
          <w:rFonts w:ascii="Times New Roman" w:cs="Times New Roman" w:eastAsia="Times New Roman" w:hAnsi="Times New Roman"/>
          <w:sz w:val="18"/>
          <w:szCs w:val="18"/>
          <w:u w:val="single" w:color="auto"/>
          <w:color w:val="auto"/>
        </w:rPr>
        <w:t>Closing Dat</w:t>
      </w:r>
      <w:r>
        <w:rPr>
          <w:rFonts w:ascii="Times New Roman" w:cs="Times New Roman" w:eastAsia="Times New Roman" w:hAnsi="Times New Roman"/>
          <w:sz w:val="18"/>
          <w:szCs w:val="18"/>
          <w:color w:val="auto"/>
        </w:rPr>
        <w:t>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Closing Statement; Aggregate Transaction Proceeds</w:t>
      </w:r>
    </w:p>
    <w:p>
      <w:pPr>
        <w:spacing w:after="0" w:line="229" w:lineRule="exact"/>
        <w:rPr>
          <w:sz w:val="20"/>
          <w:szCs w:val="20"/>
          <w:color w:val="auto"/>
        </w:rPr>
      </w:pPr>
    </w:p>
    <w:p>
      <w:pPr>
        <w:ind w:left="120" w:right="60" w:firstLine="987"/>
        <w:spacing w:after="0" w:line="253" w:lineRule="auto"/>
        <w:tabs>
          <w:tab w:leader="none" w:pos="13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prior to the anticipated Closing Date, Armada shall deliver to the Company a statement (the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Payments Statement</w:t>
      </w:r>
      <w:r>
        <w:rPr>
          <w:rFonts w:ascii="Times New Roman" w:cs="Times New Roman" w:eastAsia="Times New Roman" w:hAnsi="Times New Roman"/>
          <w:sz w:val="18"/>
          <w:szCs w:val="18"/>
          <w:color w:val="auto"/>
        </w:rPr>
        <w:t>”) setting forth (i) Armada’s good faith calculation of the Aggregate Transaction Proceeds, including each subcomponent thereof, and reasonably detailed supporting documentation therefor, and (ii) Armada’s good faith calculation, together with reasonable supporting detail of the amount of Unpaid Armada Expenses (together with invoices evidencing any Unpaid Armada Expenses payable to third parties), calculated in a manner consistent with the applicable definitions and amounts contained in this Agreement. Notwithstanding the foregoing, Armada may update the Armada Closing Payments Statement if any of the calculations or amounts shown therein are incorrect as a result of changes in the number of Armada shareholders participating in the Armada Shareholder Redemption or changes in the Aggregate Closing PIPE Proceeds, and in such event all of the calculations derived from the Armada Closing Payments Statement, shall be updated for all purposes under this Agreement prior to the Closing. Prior to the Armada Shareholders Meeting after the final date for delivery of redemption notices with respect to Armada Shares, Armada shall advise the Company of the number of Armada Shares with respect to which valid requests for redemption were received prior to such final date and not validly withdrawn.</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prior to the anticipated Closing Date, the Company shall prepare and deliver to Armada (i) an estimated consolidated balance sheet of the Group Companies as of the Measurement Time (the “</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and (ii)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the Company’s good faith calculation, together with reasonable supporting detail, of the amount of Unpaid Company Expenses (together with invoices evidencing any Unpaid Company Expenses payable to third parties) and Unpaid Armada Expenses, in each case, calculated in a manner consistent with the applicable definitions and amounts contained in this Agreement and with the Armada Closing Payments Statement.</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delivery of the Armada Closing Payments Statement, Estimated Closing Balance Sheet, and the Closing Statement until the date the Armada Closing Payments Statement, Estimated Closing Balance Sheet, and the Closing Statement are deemed final pursuanIo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each Party shall (i) provide the other Party and its Representatives with reasonable access during reasonable times during normal business hours and upon reasonable prior notice to the books and records of the Group Companies or Armada (as applicable) and to senior management personnel of the Group Companies or Armada (as applicable), in each case to the extent reasonably requested by a Party or any of its Representatives in connection with their review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Armada Closing Payments Statement, Estimated Closing Balance Sheet, and the Closing Statement, (ii) cooperate with the other Party and its Representatives in connection with their review of the Armada Closing Payments Statement, Estimated Closing Balance Sheet and the Closing Statement and (iii) consider in good faith any potential adjustments raised by the other Party to the Armada Closing Payments Statement, Estimated Closing Balance Sheet, and the Closing Statement and make any corresponding changes to the Armada Closing Payments Statement, Estimated Closing Balance Sheet, and the Closing Statement agreed to by the Company or Armada, as applicable, no later than one (1) Business Day prior to the Closing. Absent manifest error, for all purposes under this Agreement, the final, binding and conclusive calculations of the Armada Closing Payments Statement, Estimated Closing Balance Sheet and the Closing Statement shall be those reflecting the adjustments (if any) made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Promissory Note; Closing Date Cash Payments and Uses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00" w:firstLine="987"/>
        <w:spacing w:after="0" w:line="312" w:lineRule="auto"/>
        <w:tabs>
          <w:tab w:leader="none" w:pos="1356" w:val="left"/>
        </w:tabs>
        <w:numPr>
          <w:ilvl w:val="1"/>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the Surviving Company shall loan all remaining cash in the Trust Account distributed to Armada to the Company in exchange for a promissory note issued by the Company to Armada substantially in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Promissory Note</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120" w:right="100" w:firstLine="987"/>
        <w:spacing w:after="0" w:line="266" w:lineRule="auto"/>
        <w:tabs>
          <w:tab w:leader="none" w:pos="136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or waiver in writing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or nature can only be satisfied at Closing, but subject to the satisfaction or waiver in writing of those conditions), at the Closing and in consideration for the transactions contemplated herein, the Parties shall disburse all Aggregate Transaction Proceeds in the following order of priority:</w:t>
      </w:r>
    </w:p>
    <w:p>
      <w:pPr>
        <w:spacing w:after="0" w:line="67" w:lineRule="exact"/>
        <w:rPr>
          <w:rFonts w:ascii="Times New Roman" w:cs="Times New Roman" w:eastAsia="Times New Roman" w:hAnsi="Times New Roman"/>
          <w:sz w:val="18"/>
          <w:szCs w:val="18"/>
          <w:color w:val="auto"/>
        </w:rPr>
      </w:pPr>
    </w:p>
    <w:p>
      <w:pPr>
        <w:jc w:val="both"/>
        <w:ind w:left="560" w:right="220" w:firstLine="419"/>
        <w:spacing w:after="0" w:line="261" w:lineRule="auto"/>
        <w:tabs>
          <w:tab w:leader="none" w:pos="119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pay, at the Closing, (i) on behalf of the Group Companies, all Unpaid Company Expenses and (ii) on behalf of Armada, all Unpaid Armada Expenses, in each case, by wire transfer of immediately available funds on behalf of the Persons that incurred such Unpaid Armada Expenses and Unpaid Company Expenses or by whom such Unpaid Armada Expenses and Unpaid Company Expenses are payable; and</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4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any remaining amount of Aggregate Transaction Proceeds shall be funded as primary capital to the Company or its Subsidiaries (including for working capital, growth and other general corporate purposes).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Exchange Procedures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73" w:lineRule="auto"/>
        <w:tabs>
          <w:tab w:leader="none" w:pos="1356"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As promptly as reasonably practicable following the Original Date, but in no event later than fifteen (15) Business Days prior to the Merger Closing Date, the Company and Armada shall appoint an exchange agent reasonably acceptable to the Company and Armada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(it being understood and agreed, for the avoidance of doubt, that Continental Stock Transfer &amp; Trust Company (or any of its Affiliates) shall be deemed to be acceptable to the Company and Armada) and enter into an exchange agent agreement (the “</w:t>
      </w:r>
      <w:r>
        <w:rPr>
          <w:rFonts w:ascii="Times New Roman" w:cs="Times New Roman" w:eastAsia="Times New Roman" w:hAnsi="Times New Roman"/>
          <w:sz w:val="17"/>
          <w:szCs w:val="17"/>
          <w:u w:val="single" w:color="auto"/>
          <w:color w:val="auto"/>
        </w:rPr>
        <w:t>Exchange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with the Exchange Agent for the purpose of facilitating the transactions contemplated by this Agreement (including the provisions of any information, or the entry into of any agreements or documentation, necessary or advisable, as determined in good faith by Armada or the Company, or otherwise required for the Exchange Agent to fulfill its duties as the Exchange Agent in connection with the transactions contemplated hereby).</w:t>
      </w:r>
    </w:p>
    <w:p>
      <w:pPr>
        <w:spacing w:after="0" w:line="171" w:lineRule="exact"/>
        <w:rPr>
          <w:rFonts w:ascii="Times New Roman" w:cs="Times New Roman" w:eastAsia="Times New Roman" w:hAnsi="Times New Roman"/>
          <w:sz w:val="17"/>
          <w:szCs w:val="17"/>
          <w:color w:val="auto"/>
        </w:rPr>
      </w:pPr>
    </w:p>
    <w:p>
      <w:pPr>
        <w:ind w:left="120" w:firstLine="987"/>
        <w:spacing w:after="0" w:line="258"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Exchange Procedures</w:t>
      </w:r>
      <w:r>
        <w:rPr>
          <w:rFonts w:ascii="Times New Roman" w:cs="Times New Roman" w:eastAsia="Times New Roman" w:hAnsi="Times New Roman"/>
          <w:sz w:val="18"/>
          <w:szCs w:val="18"/>
          <w:color w:val="auto"/>
        </w:rPr>
        <w:t>. The Exchange Agent Agreement shall provide that the Exchange Agent shall in conjunction with the registrar to the Company immediately upon the Merger Effective Time, update the register of members of the Company to reflect the Merger based on the register of members of Armada immediately prior to the Merger. In furtherance of the foregoing, as promptly as practicable after the Merger Closing, the Company shall use its reasonable best efforts to cause the Exchange Agent to mail to each holder of Armada Units (if any), Armada Shares, and Public Warrants a request for each such holder to surrender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its certificates or any applicable instruction letter, broker letter or other verification or evidence of title to such Armada Units (if any), Armada Shares, and Public Warrants or an affidavit with suitable bond or indemnity in respect thereof. Within two (2) Business Days after the Merger Effective Time (but in no event prior to the Merger Effective Time) the holder of such Armada Units, Armada Shares, and Public Warrants, as applicable, shall be entitled to receive, and the Company shall cause the Exchange Agent to deliver, respectively, evidence in book-entry form of the Company Shares, and the Company Public Warrants issued to such holders in accordance with the provisions of Section 2.1(h) and this </w:t>
      </w:r>
      <w:r>
        <w:rPr>
          <w:rFonts w:ascii="Times New Roman" w:cs="Times New Roman" w:eastAsia="Times New Roman" w:hAnsi="Times New Roman"/>
          <w:sz w:val="18"/>
          <w:szCs w:val="18"/>
          <w:u w:val="single" w:color="auto"/>
          <w:color w:val="auto"/>
        </w:rPr>
        <w:t>Section 2.6(b).</w:t>
      </w:r>
    </w:p>
    <w:p>
      <w:pPr>
        <w:spacing w:after="0" w:line="17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Armada, the Group Companies and the Exchange Agent shall be entitled to deduct and withhold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deducted and withheld) from any amount payable pursuant to this Agreement such amounts as are required to be deducted and withheld under applicable Tax Law. To the extent that amounts are so withheld or deducted, such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GROUP</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COMPANIES</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For the purposes of this Article III, so far as the context requires, where a warranty and/or representation is given in respect of a Group Company, a reference to any legal term for any action, remedy, procedure, judicial proceeding, legal document, legal status or legal concept shall be deemed to include what most nearly approximates in the relevant jurisdiction for the Group Company in question. 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as set forth in the Company Disclosure Schedules, (i) the Original Company represented and warranted to Armada as of the Original Date (other than as to Sections 3.1(b) and 3.1(d) and represents and warrants to Armada as of the Second Amendment Date and (ii) the New Company shall represent and warrant to Armada of the Closing as set out in this Article III.</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respect of the representations and warranties given by the Original Company to Armada as of the Original Date and as of the Second Amendment Date, all references to “Company” in this Article III should read as the “Original Company” on the basis the Pre-Closing Demerger had not occurred on the Original Date or the Second Amendment Date, including that the New Company was not incorporated on the Original Date. In respect of the representations and warranties to be given by the New Company to Armada as of the Closing, then assuming the Demerger Completion will have then occurred they are given as at the Closing by the New Company on the basis that the Pre-Closing Demerger will have occurred prior to Closing and that the Original Company will have ceased to be a Group Company prior to Closing and that accordingly references to the Company, the Group and a Group Company refer to the New Company and its subsidiaries after the Demerger Completion save to the extent that any of the representations and warranties refer back to the position as at the Original Date or before the Demerger Completion in which case they shall refer to the Original Company and the Group (or a Group Company) consisting of the Original Company and its subsidiaries.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p>
    <w:p>
      <w:pPr>
        <w:spacing w:after="0" w:line="229" w:lineRule="exact"/>
        <w:rPr>
          <w:sz w:val="20"/>
          <w:szCs w:val="20"/>
          <w:color w:val="auto"/>
        </w:rPr>
      </w:pPr>
    </w:p>
    <w:p>
      <w:pPr>
        <w:ind w:left="120" w:firstLine="987"/>
        <w:spacing w:after="0" w:line="258" w:lineRule="auto"/>
        <w:tabs>
          <w:tab w:leader="none" w:pos="135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of the Company Disclosure Schedules sets forth the jurisdiction of formation or organization (as applicable) for each Group Company. Each Group Company has the requisite corporate, limited liability company or other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00"/>
          </w:cols>
          <w:pgMar w:left="320" w:top="455" w:right="47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applicable business entity power and authority to own, lease and operate its properties and to carry on its businesses as presently conducted, except where the failure to have such power or authority would not be material to the Company, any of its Subsidiaries or the Business.</w:t>
      </w:r>
    </w:p>
    <w:p>
      <w:pPr>
        <w:spacing w:after="0" w:line="162" w:lineRule="exact"/>
        <w:rPr>
          <w:sz w:val="20"/>
          <w:szCs w:val="20"/>
          <w:color w:val="auto"/>
        </w:rPr>
      </w:pPr>
    </w:p>
    <w:p>
      <w:pPr>
        <w:ind w:left="120" w:right="320" w:firstLine="987"/>
        <w:spacing w:after="0" w:line="282" w:lineRule="auto"/>
        <w:tabs>
          <w:tab w:leader="none" w:pos="13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and conditional upon completion of the Pre-Closing Demerger, the New Company will be the parent company of the Group and the Original Company will have ceased to be a Group Company.</w:t>
      </w:r>
    </w:p>
    <w:p>
      <w:pPr>
        <w:spacing w:after="0" w:line="161" w:lineRule="exact"/>
        <w:rPr>
          <w:rFonts w:ascii="Times New Roman" w:cs="Times New Roman" w:eastAsia="Times New Roman" w:hAnsi="Times New Roman"/>
          <w:sz w:val="18"/>
          <w:szCs w:val="18"/>
          <w:color w:val="auto"/>
        </w:rPr>
      </w:pPr>
    </w:p>
    <w:p>
      <w:pPr>
        <w:jc w:val="both"/>
        <w:ind w:left="120" w:right="100" w:firstLine="987"/>
        <w:spacing w:after="0" w:line="261" w:lineRule="auto"/>
        <w:tabs>
          <w:tab w:leader="none" w:pos="135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Governing Documents of the Original Company and the Company Shareholder Agreement have been made available to Armada, in each case, as amended and in effect as of the Original Date. The Governing Documents of the Original Company and the Company Shareholder Agreement are in full force and effect so far as it relates to the Original Company, and the Original Company is not in material breach or material violation of any provision set forth in its Governing Documents or the Company Shareholder Agreement.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Closing true and complete copies of the Governing Documents of the New Company have been made available to Armada, the Governing Documents of the New Company are in full force and effect, and the New Company is not in material breach or material violation of any provision set forth in its Governing Documents.</w:t>
      </w:r>
    </w:p>
    <w:p>
      <w:pPr>
        <w:spacing w:after="0" w:line="175" w:lineRule="exact"/>
        <w:rPr>
          <w:rFonts w:ascii="Times New Roman" w:cs="Times New Roman" w:eastAsia="Times New Roman" w:hAnsi="Times New Roman"/>
          <w:sz w:val="18"/>
          <w:szCs w:val="18"/>
          <w:color w:val="auto"/>
        </w:rPr>
      </w:pPr>
    </w:p>
    <w:p>
      <w:pPr>
        <w:ind w:left="120" w:firstLine="987"/>
        <w:spacing w:after="0" w:line="281" w:lineRule="auto"/>
        <w:tabs>
          <w:tab w:leader="none" w:pos="1356" w:val="left"/>
        </w:tabs>
        <w:numPr>
          <w:ilvl w:val="0"/>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be material to the Company, any of its Subsidiaries or the Business.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1" w:lineRule="auto"/>
        <w:tabs>
          <w:tab w:leader="none" w:pos="135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changes to the extent permitted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or resulting from the issuance, grant, transfer or disposition of Equity Securities of the Company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the Company issued and outstanding, and (ii) the identity of the Persons that are the record owners thereof.</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9" w:lineRule="auto"/>
        <w:tabs>
          <w:tab w:leader="none" w:pos="1366" w:val="left"/>
        </w:tabs>
        <w:numPr>
          <w:ilvl w:val="1"/>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Equity Securities of the Company have been duly authorized and validly issued and are fully paid and non-assessable. The Equity Securities of the Company (1) were not issued in violation of the Governing Documents of the Company, the Company Shareholder Agreement or any other Contract to which the Company is party or bound, (2) were not issued in violation of any preemptive rights, call option, right of first refusal or first offer, subscription rights, transfer restrictions or similar rights of any Person and (3) have been offered, sold and issued in compliance with applicable Law, including Securities Laws. The Company has no outstanding (x) equity appreciation, phantom equity or profit participation rights or</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restricted stock, restricted stock units, phantom stock, warrants, purchase rights, subscription rights, conversion rights, exchange rights,</w:t>
      </w:r>
    </w:p>
    <w:p>
      <w:pPr>
        <w:spacing w:after="0" w:line="9" w:lineRule="exact"/>
        <w:rPr>
          <w:rFonts w:ascii="Times New Roman" w:cs="Times New Roman" w:eastAsia="Times New Roman" w:hAnsi="Times New Roman"/>
          <w:sz w:val="18"/>
          <w:szCs w:val="18"/>
          <w:color w:val="auto"/>
        </w:rPr>
      </w:pPr>
    </w:p>
    <w:p>
      <w:pPr>
        <w:ind w:left="1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Except as set out in the Company Shareholder Agreement and the Governing Documents of the Company, there are no voting trusts, proxies or other Contracts</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with respect to the voting or transfer of the Company’s Equity Securities.  All of the Equity Securities of the Company have been issued in accordance with all applicable Securities Laws, and are not issued in breach or violation of any preemptive rights or Contract. The Company does not have any outstanding bonds, debentures, notes or other obligations the holders of which have the right to vote (or are convertible into or exercisable for securities having the right to vote) with the equity holders of Company on any matter. No issued and outstanding shares of any of the Equity Securities of Company are held in treasury.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3" w:lineRule="auto"/>
        <w:tabs>
          <w:tab w:leader="none" w:pos="135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All of the Equity Securities of each Subsidiary of the Company have been issued in accordance with all applicable Securities Laws, and are not issued in breach or violation of any preemptive rights or Contract. No Subsidiary of the Company has any outstanding bonds, debentures, notes or other obligations the holders of which have the right to vote (or are convertible into or exercisable for securities having the right to vote) with the members of such Subsidiary of the Company on any matter. No issued and outstanding shares of any of the Equity Securities of any Subsidiary of the Company are held in treasury.</w:t>
      </w:r>
    </w:p>
    <w:p>
      <w:pPr>
        <w:spacing w:after="0" w:line="189"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Schedules sets forth a list of all Change of Control Payments of the Group Companies.</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3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of the Company Disclosure Schedules sets forth a list of all Indebtedness of the Group Companies that is material to the business of the Group Companies taken as a whole as of the Original Date (being where the Indebtedness for a single item is in excess of £200,000 and/or where accumulated Indebtedness owed to a certain party is in excess of £200,000), including the principal amount of such Indebtedness, the outstanding balance as of the Original Date, and the debtor and the creditor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authority to execute and deliver this Agreement and each Ancillary Document to which it is or will be a party,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Original Date, will be upon execution thereof) duly authorized by all necessary corporate (or other similar) action on the part of the Company. The execution, delivery and performance by the Company of this Agreement and each Ancillary Document to which it is a party and the consummation of the Transactions have been (as relates to this Agreement) or will be (as relates to the Ancillary Documents) validly authorized and approved by all requisite entity, stockholder, shareholder and member action and no other proceeding on the part of the Company or any of its members is necessary to authorize this Agreement or any Ancillary Document to which it is or will be a party subject to the exceptions set out in Section 3.5(a).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2" w:lineRule="auto"/>
        <w:tabs>
          <w:tab w:leader="none" w:pos="136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by resolutions duly adopted by unanimous vote of those voting at a meeting duly called and held and not subsequently rescinded or modified in any way, or by unanimous written consent, has duly (a) determined that this Agreement and the Pre-Closing Reorganization are fair to and in the best interests of the Company, its stockholders and its Subsidiaries and most likely to promote the success of the Company for the benefits of its members taken as a whole, (b) approved this Agreement and the Pre-Closing Reorganization and the Pre-Closing Demerger and declared their advisability, and (c) recommended that the stockholders of the Company approve and adopt this Agreement and approve the Pre-Closing Reorganization and directed that this Agreement and the transactions contemplated hereby (including the Pre-Closing Reorganization)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be submitted for consideration by the Original Company’s stockholders. The Requisite Approvals (collectively,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are the only votes of the holders of any class or series of capital stock of the Original Company or the New Company (as appropriate) necessary to adopt this Agreement and approve the Transactions together with in the case of the Pre-Completion Demerger the approval of the liquidator of the Original Company and such further approvals, court orders or proceedings as may be required by statute and subject to the provisions of sections 110 to 116 Insolvency Act 1986. The Written Consent, if executed and delivered, would qualify as the Company Stockholder Approval for the Transactions (but not the Pre-Closing Demerger)_and subject as aforesaid no additional approval or vote from any holders of any class or series of capital stock of the Company would then be necessary to adopt this Agreement and approve the Transactions (other than the Pre-Closing Demerger). For the purpose of the Pre-Closing Demerger it is noted that</w:t>
      </w:r>
    </w:p>
    <w:p>
      <w:pPr>
        <w:spacing w:after="0" w:line="89" w:lineRule="exact"/>
        <w:rPr>
          <w:rFonts w:ascii="Times New Roman" w:cs="Times New Roman" w:eastAsia="Times New Roman" w:hAnsi="Times New Roman"/>
          <w:sz w:val="18"/>
          <w:szCs w:val="18"/>
          <w:color w:val="auto"/>
        </w:rPr>
      </w:pPr>
    </w:p>
    <w:p>
      <w:pPr>
        <w:ind w:left="1100" w:right="240" w:firstLine="910"/>
        <w:spacing w:after="0" w:line="282" w:lineRule="auto"/>
        <w:tabs>
          <w:tab w:leader="none" w:pos="221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special resolution is required to wind up the Original Company and a separate special resolution under section 110(3) (a) of the Insolvency Act 1986 is also required;</w:t>
      </w:r>
    </w:p>
    <w:p>
      <w:pPr>
        <w:spacing w:after="0" w:line="53"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liquidator of the Original Company; and</w:t>
      </w:r>
    </w:p>
    <w:p>
      <w:pPr>
        <w:spacing w:after="0" w:line="117" w:lineRule="exact"/>
        <w:rPr>
          <w:rFonts w:ascii="Times New Roman" w:cs="Times New Roman" w:eastAsia="Times New Roman" w:hAnsi="Times New Roman"/>
          <w:sz w:val="18"/>
          <w:szCs w:val="18"/>
          <w:color w:val="auto"/>
        </w:rPr>
      </w:pPr>
    </w:p>
    <w:p>
      <w:pPr>
        <w:ind w:left="1100" w:right="720" w:firstLine="910"/>
        <w:spacing w:after="0" w:line="282" w:lineRule="auto"/>
        <w:tabs>
          <w:tab w:leader="none" w:pos="231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Demerger is subject to the provisions of statute including without limitation sections 110 to 116 Insolvency Act 1986.</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Armada true, correct and complete copies of (i) the audited consolidated balance sheet of the Group Companies (as measured at each of the financial position dates) as of December 31, 2020, December 31, 2021, and December 31, 2022 and related consolidated profit and loss accounts, statements of changes in equity and statements of cash flows, with the related notes and schedules required by GAAP for the fiscal year then ended and an accompanying audit report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the unaudited condensed, consolidated balance sheet of the Group Companies as of March 31, 2023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 and related unaudited condensed, consolidated profit and loss account, statement of changes in equity and statement of cash flows with the selected note disclosures for the period then ended, and include comparative interim statements for the same period in the prior fiscal year (except that the requirement for the comparative balance sheet information may be met by presenting the year-end balance sheet)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the Unaudited Financial Statements,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each of which are attached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Company Disclosure Schedules. The Unaudited Financial Statements shall all be prepared in accordance with GAAP.</w:t>
      </w:r>
    </w:p>
    <w:p>
      <w:pPr>
        <w:spacing w:after="0" w:line="194" w:lineRule="exact"/>
        <w:rPr>
          <w:rFonts w:ascii="Times New Roman" w:cs="Times New Roman" w:eastAsia="Times New Roman" w:hAnsi="Times New Roman"/>
          <w:sz w:val="18"/>
          <w:szCs w:val="18"/>
          <w:color w:val="auto"/>
        </w:rPr>
      </w:pPr>
    </w:p>
    <w:p>
      <w:pPr>
        <w:ind w:left="120" w:right="80" w:firstLine="987"/>
        <w:spacing w:after="0" w:line="272" w:lineRule="auto"/>
        <w:tabs>
          <w:tab w:leader="none" w:pos="1366" w:val="left"/>
        </w:tabs>
        <w:numPr>
          <w:ilvl w:val="1"/>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(including the notes thereto) (A) were prepared in accordance with applicable laws using the accounting policies, principles, estimation techniques, measurement bases, practices and procedures as the Group Companies have used historically on a consistent basis; (B) in relation to the Audited Financial Statements (i) comply with accounting standards in force at the date to which they were prepared; and</w:t>
      </w:r>
    </w:p>
    <w:p>
      <w:pPr>
        <w:spacing w:after="0" w:line="1" w:lineRule="exact"/>
        <w:rPr>
          <w:rFonts w:ascii="Times New Roman" w:cs="Times New Roman" w:eastAsia="Times New Roman" w:hAnsi="Times New Roman"/>
          <w:sz w:val="17"/>
          <w:szCs w:val="17"/>
          <w:color w:val="auto"/>
        </w:rPr>
      </w:pPr>
    </w:p>
    <w:p>
      <w:pPr>
        <w:ind w:left="120" w:hanging="4"/>
        <w:spacing w:after="0" w:line="255" w:lineRule="auto"/>
        <w:tabs>
          <w:tab w:leader="none" w:pos="38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Audited Financial Statements give a true and fair view of the assets and liabilities and state of affairs of the relevant Group Company (and, in relation to the consolidated financial statements of the Company, of the Group Companies as a whole) as of the relevant date to which they are made up and of the profit or loss and cash flows the relevant Group Company (and, in relation to the consolidated</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00"/>
          </w:cols>
          <w:pgMar w:left="320" w:top="455" w:right="47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financial statements of the Company, of the Group Companies as a whole) for the financial year or other period ended on the date to which they are made up; and (C) in relation to the Unaudited Financial Statements, (i) have been prepared with due care and attention and on a basis consistent with that used in preparing the Audited Financial Statements and (ii) are not misleading and give a fair view of the assets and liabilities of the relevant Group Company (and, in relation to the consolidated financial statements of the Company, of the Group Companies as a whole) as of the relevant date to which they are made up.</w:t>
      </w:r>
    </w:p>
    <w:p>
      <w:pPr>
        <w:spacing w:after="0" w:line="183" w:lineRule="exact"/>
        <w:rPr>
          <w:sz w:val="20"/>
          <w:szCs w:val="20"/>
          <w:color w:val="auto"/>
        </w:rPr>
      </w:pPr>
    </w:p>
    <w:p>
      <w:pPr>
        <w:ind w:left="120" w:firstLine="987"/>
        <w:spacing w:after="0" w:line="266" w:lineRule="auto"/>
        <w:tabs>
          <w:tab w:leader="none" w:pos="1356"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(x) the audited consolidated balance sheets of the Group Companies as of December 31, 2020, December 31, 2021 and December 31, 2022 and related consolidated statements of comprehensive income, statement of changes in equity and statement of cash flows for the period from 1 January 2021, to 31 December 2022 and the fiscal years then ended with the related notes and schedules required by GAAP for the fiscal year then ended (the financial statements described in this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Closing Company Audited Financial 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and (y) the other financial statements or similar reports required to be included in the Registration Statement / Proxy Statement or any other filings to be made by the Group Companies with the SEC in connection with the transactions contemplated in this Agreement or any other Ancillary Document (the financial statements described in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Other Closing Company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xml:space="preserve">”), when delivered following the Original Date in accordance with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(i) will be prepared in accordance with GAAP applied on a consistent basis throughout the periods indicated (except, in the case of any audited financial statements, as may be specifically indicated in the notes thereto and subject to, in the case of any unaudited financial statements, normal year end audit adjustments (none of which are expected to be material, individually or in the aggregate) and the absence of notes thereto), (ii) will fairly present, in all material respects, the financial position, results of operations, stockholders’ deficit and cash flows of the Group Companies as at the date thereof and for the period indicated therein (subject to, in the case of any unaudited financial statements, normal year end audit adjustments (none of which are expected to be material, individually or in the aggregate)),</w:t>
      </w:r>
    </w:p>
    <w:p>
      <w:pPr>
        <w:spacing w:after="0" w:line="9" w:lineRule="exact"/>
        <w:rPr>
          <w:rFonts w:ascii="Times New Roman" w:cs="Times New Roman" w:eastAsia="Times New Roman" w:hAnsi="Times New Roman"/>
          <w:sz w:val="17"/>
          <w:szCs w:val="17"/>
          <w:color w:val="auto"/>
        </w:rPr>
      </w:pPr>
    </w:p>
    <w:p>
      <w:pPr>
        <w:ind w:left="120" w:right="60" w:hanging="4"/>
        <w:spacing w:after="0" w:line="253" w:lineRule="auto"/>
        <w:tabs>
          <w:tab w:leader="none" w:pos="43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audited financial statements, will be audited in accordance with the standards of the PCAOB and will contain an unqualified report of the Company’s auditors with respect to such financial statements in accordance with PCAOB standards, and (iv) will comply in all material respects with the applicable accounting requirements and with the rules and regulations of the SEC, the Exchange Act and the Securities Act in effect as of the date of such delivery (including Regulation S-X or Regulation S-K, to the extent applicable).</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76" w:lineRule="auto"/>
        <w:tabs>
          <w:tab w:leader="none" w:pos="1366"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have any Liabilities except (i) as set forth as a liability or a contra-asset on the face of the Latest Balance Sheet or expressly disclosed in the Financial Statements or the accounts for the Company and its subsidiaries as included in the Registration Statement or</w:t>
      </w:r>
    </w:p>
    <w:p>
      <w:pPr>
        <w:ind w:left="120" w:right="60" w:hanging="4"/>
        <w:spacing w:after="0" w:line="255" w:lineRule="auto"/>
        <w:tabs>
          <w:tab w:leader="none" w:pos="38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or (iii) any Liability incurred in the ordinary course of business .</w:t>
      </w:r>
    </w:p>
    <w:p>
      <w:pPr>
        <w:spacing w:after="0" w:line="18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for borrowed money of any Group Company is due and payable and no security over any of the assets of any Group Company is now enforceable, whether by virtue of the stated maturity date of the Indebtedness having been reached or otherwise; and no Group Company has received any written notice (whose terms have not been fully complied with and/or carried out) from any creditor of that Group Company, intimating the enforcement of any security which it may hold over any assets of that Group Company.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33"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and the Closing Company Audited Financial Statements, have maintained books and records of the Group Companies in the ordinary course of business that are accurate in all material respects and reflect the revenues, expenses, assets and liabilities of the Group Companies in all material respects.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87"/>
        <w:spacing w:after="0" w:line="261" w:lineRule="auto"/>
        <w:tabs>
          <w:tab w:leader="none" w:pos="136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no Group Company has received any written complaint, allegation, assertion or claim that there is (i) “significant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consent, approval or authorization of, or designation, declaration or filing with, any Governmental Entity or any other Person is required on the part of the Company or any of its Subsidiaries with respect to the Company’s execution, delivery or performance of its obligations under this Agreement or the Ancillary Documents to which the Company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 such filings with and approvals of NASDAQ to permit the Company Securities to be issued in connection with the transactions contemplated by this Agreement and the other Ancillary Documents to be listed on NASDAQ, (iii) such filings and approvals required in connection with the Pre-Closing Demerger and the Pre-Closing Reorganization, (iv) with respect to the adoption of the Company Pre-IPO Articles of Association and the Company Articles of Association, either (a) the passing of a special resolution of the Company at a duly convened general meeting of the Company or (b) the passing of a special resolution of the Company by a written resolution of the holders of Company Shares by members representing at least 75% of the total voting rights of eligible members entitled to vote on such matter (it being understood and agreed that such vote shall have been obtained prior to (A) the Company Reorganization Date in the case of the Company Pre-IPO Articles of Association and (B) Merger Effective Time in the case of the Company Articles of Association), or (C) those Consents set forth 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Company Disclosure Schedules.</w:t>
      </w:r>
    </w:p>
    <w:p>
      <w:pPr>
        <w:spacing w:after="0" w:line="19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by the Original Company or the New Company of this Agreement or any Ancillary Documents to which it is or will be a party, the performance by the Original Company or the New Company of its obligations hereunder or thereunder or the consummation by the Original Company or the New Company of the transactions contemplated hereby or thereby will, directly or indirectly (with or without due notice or lapse of time or both) (i) result in a violation or breach of any provision of the relevant Company’s Governing Documents or the Company Shareholder Agreement, (ii) result in a violation or breach of, or constitute a default or give rise to any right of termination, Consent, cancellation, amendment, modification, suspension, revocation or acceleration under, any of the terms, conditions or provisions of (A) any Material Contract to which any relevant Group Company is a party or (B) any Material Permits, (iii) conflict with, violate, or constitute a breach under, any Order or applicable Law to which any relevant Group Company or any of its properties or assets are subject or bound or (iv) result in the creation of any Lien (other than any Permitted Liens) upon any of the assets or properties or Equity Securities of any relevant Group Company.</w:t>
      </w:r>
    </w:p>
    <w:p>
      <w:pPr>
        <w:spacing w:after="0" w:line="18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Group Companies has all Permits (the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that are required to own, lease or operate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properties and assets and to conduct its business as currently conducted in compliance with all applicable Laws. Each Material Permit is in full force and effect in accordance with its terms and no written notice of revocation, cancellation, restriction or termination of any Material Permit has been received by any Group Company. The Group Companies (including, for the avoidance of doubt, each of their respective directors, officers, employees, contractors or agents) are in compliance with each Material Permit. No application or notice relating to a Material Permit made by any Group Company or a director, officer, employee, contractor or agent of any Group Company has been refused.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66"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sets forth a list of the following Contracts to which a Group Company is, as of the Original Date, a party (the Contracts required to be set forth on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Company Disclosure Schedules,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00" w:right="180" w:firstLine="910"/>
        <w:spacing w:after="0" w:line="282" w:lineRule="auto"/>
        <w:tabs>
          <w:tab w:leader="none" w:pos="221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Indebtedness of any Group Company or to the placing of a Lien (other than a Permitted Lien) on any material assets or properties of any Group Company in excess of £1,000,000;</w:t>
      </w:r>
    </w:p>
    <w:p>
      <w:pPr>
        <w:spacing w:after="0" w:line="53"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6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jc w:val="both"/>
        <w:ind w:left="1100" w:right="40" w:firstLine="910"/>
        <w:spacing w:after="0" w:line="266" w:lineRule="auto"/>
        <w:tabs>
          <w:tab w:leader="none" w:pos="231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£1,000,000;</w:t>
      </w:r>
    </w:p>
    <w:p>
      <w:pPr>
        <w:spacing w:after="0" w:line="67" w:lineRule="exact"/>
        <w:rPr>
          <w:rFonts w:ascii="Times New Roman" w:cs="Times New Roman" w:eastAsia="Times New Roman" w:hAnsi="Times New Roman"/>
          <w:sz w:val="18"/>
          <w:szCs w:val="18"/>
          <w:color w:val="auto"/>
        </w:rPr>
      </w:pPr>
    </w:p>
    <w:p>
      <w:pPr>
        <w:ind w:left="1100" w:right="80" w:firstLine="910"/>
        <w:spacing w:after="0" w:line="266" w:lineRule="auto"/>
        <w:tabs>
          <w:tab w:leader="none" w:pos="230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joint venture (equity-based or otherwise), strategic alliance, material profit-sharing, partnership, revenue sharing, Contract or (B) Contract with respect to material Company Licensed Intellectual Property and which in any case accounts for more than 5% of the revenue of the Company in the last 12 months;</w:t>
      </w:r>
    </w:p>
    <w:p>
      <w:pPr>
        <w:spacing w:after="0" w:line="67" w:lineRule="exact"/>
        <w:rPr>
          <w:rFonts w:ascii="Times New Roman" w:cs="Times New Roman" w:eastAsia="Times New Roman" w:hAnsi="Times New Roman"/>
          <w:sz w:val="18"/>
          <w:szCs w:val="18"/>
          <w:color w:val="auto"/>
        </w:rPr>
      </w:pPr>
    </w:p>
    <w:p>
      <w:pPr>
        <w:ind w:left="1100" w:right="220" w:firstLine="910"/>
        <w:spacing w:after="0" w:line="258" w:lineRule="auto"/>
        <w:tabs>
          <w:tab w:leader="none" w:pos="225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material to the business of the Group Companies taken as a whole that (A) limits or purports to limit, in any material respect, the freedom of any Group Company to engage or compete in any line of business or with any Person or in any area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w:t>
      </w:r>
    </w:p>
    <w:p>
      <w:pPr>
        <w:spacing w:after="0" w:line="75" w:lineRule="exact"/>
        <w:rPr>
          <w:rFonts w:ascii="Times New Roman" w:cs="Times New Roman" w:eastAsia="Times New Roman" w:hAnsi="Times New Roman"/>
          <w:sz w:val="18"/>
          <w:szCs w:val="18"/>
          <w:color w:val="auto"/>
        </w:rPr>
      </w:pPr>
    </w:p>
    <w:p>
      <w:pPr>
        <w:ind w:left="1100" w:right="320" w:firstLine="910"/>
        <w:spacing w:after="0" w:line="282" w:lineRule="auto"/>
        <w:tabs>
          <w:tab w:leader="none" w:pos="230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any future capital commitment or capital expenditure (or series of capital expenditures) by any Group Company in an amount in excess of (A) £1,000,000 annually or (B) £10,000,000 over the life of the agreement;</w:t>
      </w:r>
    </w:p>
    <w:p>
      <w:pPr>
        <w:spacing w:after="0" w:line="53" w:lineRule="exact"/>
        <w:rPr>
          <w:rFonts w:ascii="Times New Roman" w:cs="Times New Roman" w:eastAsia="Times New Roman" w:hAnsi="Times New Roman"/>
          <w:sz w:val="18"/>
          <w:szCs w:val="18"/>
          <w:color w:val="auto"/>
        </w:rPr>
      </w:pPr>
    </w:p>
    <w:p>
      <w:pPr>
        <w:jc w:val="both"/>
        <w:ind w:left="1100" w:right="60" w:firstLine="910"/>
        <w:spacing w:after="0" w:line="261" w:lineRule="auto"/>
        <w:tabs>
          <w:tab w:leader="none" w:pos="235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standard indemnification provisions in Contracts entered in the ordinary course of business with customers or suppliers, any Contract requiring any Group Company to guarantee the Liabilities of any Person (other than the Company or a Subsidiary) or pursuant to which any Person (other than the Company or a Subsidiary) has guaranteed the Liabilities of a Group Company, in each case in excess of £1,000,000;</w:t>
      </w:r>
    </w:p>
    <w:p>
      <w:pPr>
        <w:spacing w:after="0" w:line="71" w:lineRule="exact"/>
        <w:rPr>
          <w:rFonts w:ascii="Times New Roman" w:cs="Times New Roman" w:eastAsia="Times New Roman" w:hAnsi="Times New Roman"/>
          <w:sz w:val="18"/>
          <w:szCs w:val="18"/>
          <w:color w:val="auto"/>
        </w:rPr>
      </w:pPr>
    </w:p>
    <w:p>
      <w:pPr>
        <w:ind w:left="1100" w:right="40" w:firstLine="910"/>
        <w:spacing w:after="0" w:line="266" w:lineRule="auto"/>
        <w:tabs>
          <w:tab w:leader="none" w:pos="240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has, directly or indirectly, made or agreed to make any loan, advance, or assignment of payment to any Person or made any capital contribution to, or other investment in, any Person, in each case in excess of £1,000,000;</w:t>
      </w:r>
    </w:p>
    <w:p>
      <w:pPr>
        <w:spacing w:after="0" w:line="67"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required to be disclosed on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1100" w:right="20" w:firstLine="910"/>
        <w:spacing w:after="0" w:line="282" w:lineRule="auto"/>
        <w:tabs>
          <w:tab w:leader="none" w:pos="225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Person under which any Group Company grants to any Person any right of first refusal, right of first negotiation, option to purchase, option to license or any other similar Intellectual Property Rights;</w:t>
      </w:r>
    </w:p>
    <w:p>
      <w:pPr>
        <w:spacing w:after="0" w:line="53"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invention, creation, conception or other development of any Intellectual Property (A) by the Company, any Subsidiary of the Company, for any third party, (B) by any third party for the Company, any Subsidiary of the Company, or (C) jointly by the Company, any Subsidiary of the Company, and any third party;</w:t>
      </w:r>
    </w:p>
    <w:p>
      <w:pPr>
        <w:spacing w:after="0" w:line="67" w:lineRule="exact"/>
        <w:rPr>
          <w:rFonts w:ascii="Times New Roman" w:cs="Times New Roman" w:eastAsia="Times New Roman" w:hAnsi="Times New Roman"/>
          <w:sz w:val="18"/>
          <w:szCs w:val="18"/>
          <w:color w:val="auto"/>
        </w:rPr>
      </w:pPr>
    </w:p>
    <w:p>
      <w:pPr>
        <w:ind w:left="1100" w:right="200" w:firstLine="910"/>
        <w:spacing w:after="0" w:line="282" w:lineRule="auto"/>
        <w:tabs>
          <w:tab w:leader="none" w:pos="235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providing for the assignment or transfer of any ownership interest in any Intellectual Property by (A) the Company, any Subsidiary of the Company, to any third party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400" w:hanging="293"/>
        <w:spacing w:after="0"/>
        <w:tabs>
          <w:tab w:leader="none" w:pos="140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to the Company, any Subsidiary of the Company other than the grant of licenses in the ordinary course of business;</w:t>
      </w:r>
    </w:p>
    <w:p>
      <w:pPr>
        <w:spacing w:after="0" w:line="117" w:lineRule="exact"/>
        <w:rPr>
          <w:rFonts w:ascii="Times New Roman" w:cs="Times New Roman" w:eastAsia="Times New Roman" w:hAnsi="Times New Roman"/>
          <w:sz w:val="18"/>
          <w:szCs w:val="18"/>
          <w:color w:val="auto"/>
        </w:rPr>
      </w:pPr>
    </w:p>
    <w:p>
      <w:pPr>
        <w:ind w:left="1100" w:right="20" w:firstLine="910"/>
        <w:spacing w:after="0" w:line="256" w:lineRule="auto"/>
        <w:tabs>
          <w:tab w:leader="none" w:pos="240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(A) any right, license, permission, consent or covenant not to sue with respect to any Intellectual Property is granted to the Company or any Subsidiary of the Company, by any third party or (B) any right, license, permission, consent or covenant not to sue with respect to any Intellectual Property is granted by the Company or any Subsidiary of the Company, to any third party, in each case (A) and (B), other than Contracts for any “off-the-shelf”, “shrink-wrap” or “click-wrap” Software that is generally commercially available on standard and unmodified terms for an aggregate fee, royalty or other consideration of no more than £500,000;</w:t>
      </w:r>
    </w:p>
    <w:p>
      <w:pPr>
        <w:spacing w:after="0" w:line="79" w:lineRule="exact"/>
        <w:rPr>
          <w:rFonts w:ascii="Times New Roman" w:cs="Times New Roman" w:eastAsia="Times New Roman" w:hAnsi="Times New Roman"/>
          <w:sz w:val="18"/>
          <w:szCs w:val="18"/>
          <w:color w:val="auto"/>
        </w:rPr>
      </w:pPr>
    </w:p>
    <w:p>
      <w:pPr>
        <w:ind w:left="1100" w:firstLine="910"/>
        <w:spacing w:after="0" w:line="261" w:lineRule="auto"/>
        <w:tabs>
          <w:tab w:leader="none" w:pos="239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(A) governing the terms of, or otherwise related to, the employment, engagement or services of any current director, manager, officer, employee, individual independent contractor or other service provider of a Group Company whose annual base salary (or, in the case of an independent contractor, annual base compensation) is in excess of £500,000, or (B) providing for any Change of Control Payment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w:t>
      </w:r>
    </w:p>
    <w:p>
      <w:pPr>
        <w:spacing w:after="0" w:line="71" w:lineRule="exact"/>
        <w:rPr>
          <w:rFonts w:ascii="Times New Roman" w:cs="Times New Roman" w:eastAsia="Times New Roman" w:hAnsi="Times New Roman"/>
          <w:sz w:val="18"/>
          <w:szCs w:val="18"/>
          <w:color w:val="auto"/>
        </w:rPr>
      </w:pPr>
    </w:p>
    <w:p>
      <w:pPr>
        <w:ind w:left="1100" w:right="240" w:firstLine="910"/>
        <w:spacing w:after="0" w:line="261" w:lineRule="auto"/>
        <w:tabs>
          <w:tab w:leader="none" w:pos="234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for the disposition of any material portion of the assets or business of any Group Company or for the acquisition by any Group Company of the assets or business of any other Person, or (B) under which any Group Company has any continuing obligation with respect to an “earn-out”, contingent purchase price or other contingent or deferred payment obligation, in excess of £1,000,000;</w:t>
      </w:r>
    </w:p>
    <w:p>
      <w:pPr>
        <w:spacing w:after="0" w:line="71" w:lineRule="exact"/>
        <w:rPr>
          <w:rFonts w:ascii="Times New Roman" w:cs="Times New Roman" w:eastAsia="Times New Roman" w:hAnsi="Times New Roman"/>
          <w:sz w:val="18"/>
          <w:szCs w:val="18"/>
          <w:color w:val="auto"/>
        </w:rPr>
      </w:pPr>
    </w:p>
    <w:p>
      <w:pPr>
        <w:ind w:left="1100" w:firstLine="910"/>
        <w:spacing w:after="0" w:line="266" w:lineRule="auto"/>
        <w:tabs>
          <w:tab w:leader="none" w:pos="239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conciliation or similar Contract, (A) the performance of which would be reasonably likely to involve any material payments after the Original Date, (B) with a Governmental Entity or (C) that imposes or is reasonably likely to impose, at any time in the future, any material, non-monetary obligations on any Group Company (or Armada after the Closing); and</w:t>
      </w:r>
    </w:p>
    <w:p>
      <w:pPr>
        <w:spacing w:after="0" w:line="67" w:lineRule="exact"/>
        <w:rPr>
          <w:rFonts w:ascii="Times New Roman" w:cs="Times New Roman" w:eastAsia="Times New Roman" w:hAnsi="Times New Roman"/>
          <w:sz w:val="18"/>
          <w:szCs w:val="18"/>
          <w:color w:val="auto"/>
        </w:rPr>
      </w:pPr>
    </w:p>
    <w:p>
      <w:pPr>
        <w:jc w:val="both"/>
        <w:ind w:left="1100" w:right="160" w:firstLine="910"/>
        <w:spacing w:after="0" w:line="266" w:lineRule="auto"/>
        <w:tabs>
          <w:tab w:leader="none" w:pos="244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the performance of which requires either (A) annual payments to or from any Group Company in excess of £1,000,000 or (B) aggregate payments to or from any Group Company in excess of £10,000,000 over the life of the agreement and, in each case, that is not terminable by the applicable Group Company without penalty upon less than ninety (90) days’ prior written notice.</w:t>
      </w:r>
    </w:p>
    <w:p>
      <w:pPr>
        <w:spacing w:after="0" w:line="176" w:lineRule="exact"/>
        <w:rPr>
          <w:sz w:val="20"/>
          <w:szCs w:val="20"/>
          <w:color w:val="auto"/>
        </w:rPr>
      </w:pPr>
    </w:p>
    <w:p>
      <w:pPr>
        <w:ind w:left="120" w:right="80" w:firstLine="987"/>
        <w:spacing w:after="0" w:line="254" w:lineRule="auto"/>
        <w:tabs>
          <w:tab w:leader="none" w:pos="13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Material Contract is a valid and binding obligation on the applicable Group Company and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Armada true and complete copies of all Material Contracts in effect as of the Original Date, including any and all exhibits, schedules and amendments thereto.</w:t>
      </w:r>
    </w:p>
    <w:p>
      <w:pPr>
        <w:spacing w:after="0" w:line="188" w:lineRule="exact"/>
        <w:rPr>
          <w:sz w:val="20"/>
          <w:szCs w:val="20"/>
          <w:color w:val="auto"/>
        </w:rPr>
      </w:pPr>
    </w:p>
    <w:p>
      <w:pPr>
        <w:jc w:val="both"/>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During the period beginning on the date of the Latest Balance Sheet and ending on the Second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 no Company Material Adverse Effect has occurred, (b) except as expressly contemplated by this Agreement, any Ancillary Document or in connection with the transactions contemplated hereby and thereby, the Group Companies have conducted their businesses in the ordinary and normal course in all material respects, and (c) no Group Company has taken any action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(and since January 1, 2019 there has been) no Proceeding pending or, to the Company’s knowledge,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or involving any Group Company or any Group Company’s officers,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5" w:right="47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directors, employees, contractors or agents (in their capacity as such) or (in respect of activities performed by a Person on behalf of a Group Company) any Person for whose acts or defaults any Group Company may be vicariously liable which, if adversely decided or resolved, has been or would reasonably be expected to be, individually or in the aggregate, material to the Group Companies, taken as a whole and there are to the Company’s knowledge no existing circumstances likely to give rise to any such Proceeding. Neither the Group Companies nor any of their respective properties or assets is subject to any material Order. As of the Original Date, except as would not reasonably be expected to be material to the Company or any of its Subsidiaries, there are no Proceedings by a Group Company pending against any other Person.</w:t>
      </w:r>
    </w:p>
    <w:p>
      <w:pPr>
        <w:spacing w:after="0" w:line="183"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Each Group Company (a) conducts (and since January 1, 2016 has conducted) its business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all Laws and Orders applicable to such Group Company and is not in violation of any such Law or Order and (b) has not received any written communications or any other communications from a Governmental Entity which is outstanding and that alleges that such Group Company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the Group Companies, taken as a whole.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Employee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300" w:firstLine="987"/>
        <w:spacing w:after="0" w:line="289" w:lineRule="auto"/>
        <w:tabs>
          <w:tab w:leader="none" w:pos="1356"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3.11(a)</w:t>
      </w:r>
      <w:r>
        <w:rPr>
          <w:rFonts w:ascii="Times New Roman" w:cs="Times New Roman" w:eastAsia="Times New Roman" w:hAnsi="Times New Roman"/>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Armada with true and complete copies of the material documents pursuant to which the plan is maintained, funded and administered.</w:t>
      </w:r>
    </w:p>
    <w:p>
      <w:pPr>
        <w:spacing w:after="0" w:line="157"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Company’s knowledge, threatened, material claims or Proceedings with respect to any Employee Benefit Plan (other than routine claims for benefits) that are material to the Group Companies, taken as a whole.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firstLine="987"/>
        <w:spacing w:after="0" w:line="268" w:lineRule="auto"/>
        <w:tabs>
          <w:tab w:leader="none" w:pos="1356" w:val="left"/>
        </w:tabs>
        <w:numPr>
          <w:ilvl w:val="1"/>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consummation of the transactions contemplated by this Agreement will not materially (alone or in combination with any other event) under existing contractual provisions to which the Company is party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 or</w:t>
      </w:r>
    </w:p>
    <w:p>
      <w:pPr>
        <w:spacing w:after="0" w:line="2" w:lineRule="exact"/>
        <w:rPr>
          <w:rFonts w:ascii="Times New Roman" w:cs="Times New Roman" w:eastAsia="Times New Roman" w:hAnsi="Times New Roman"/>
          <w:sz w:val="17"/>
          <w:szCs w:val="17"/>
          <w:color w:val="auto"/>
        </w:rPr>
      </w:pPr>
    </w:p>
    <w:p>
      <w:pPr>
        <w:ind w:left="120" w:right="180" w:hanging="4"/>
        <w:spacing w:after="0" w:line="260" w:lineRule="auto"/>
        <w:tabs>
          <w:tab w:leader="none" w:pos="42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termination of any current director, manager, officer, employee, individual independent contractor or other service provider of any of the Group Companies.</w:t>
      </w:r>
    </w:p>
    <w:p>
      <w:pPr>
        <w:spacing w:after="0" w:line="18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Key Employee will, as a result of the consummation of the transactions contemplated by this Agreement, and otherwise than as expressly contemplated by this Agreement, be entitled to receive any payment or benefit to which he/she would not otherwise have been entitled or be entitled to treat either such event as amounting to a breach of his/her terms and conditions of employment or treat him/herself as dismissed or released from any obligation.</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5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that is required to be registered with HM Revenue &amp; Customs, has been registered with HM Revenue &amp; Customs. No Employee Benefit Plan has any material unfunded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60"/>
          </w:cols>
          <w:pgMar w:left="320" w:top="455" w:right="51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70" w:lineRule="auto"/>
        <w:rPr>
          <w:sz w:val="20"/>
          <w:szCs w:val="20"/>
          <w:color w:val="auto"/>
        </w:rPr>
      </w:pPr>
      <w:r>
        <w:rPr>
          <w:rFonts w:ascii="Times New Roman" w:cs="Times New Roman" w:eastAsia="Times New Roman" w:hAnsi="Times New Roman"/>
          <w:sz w:val="17"/>
          <w:szCs w:val="17"/>
          <w:color w:val="auto"/>
        </w:rPr>
        <w:t>underfunded Liabilities.  No Benefit Plan in relation to the Group Companies in the UK provides retirement benefits which are not “money purchase benefits” as defined in section 181 of the UK Pension Schemes Act 1993. Each Group Company in the UK: (i) has at all times complied with its auto-enrolment obligations under the UK Pensions Act 2008; (ii) has not at any time employed a member of, or been associated or connected (as defined in section 51(3) of the UK Pensions Act 2004) with an employer which employed a member of, an occupational defined benefit pension scheme; and</w:t>
      </w:r>
    </w:p>
    <w:p>
      <w:pPr>
        <w:spacing w:after="0" w:line="3" w:lineRule="exact"/>
        <w:rPr>
          <w:sz w:val="20"/>
          <w:szCs w:val="20"/>
          <w:color w:val="auto"/>
        </w:rPr>
      </w:pPr>
    </w:p>
    <w:p>
      <w:pPr>
        <w:ind w:left="120" w:right="80" w:hanging="4"/>
        <w:spacing w:after="0" w:line="255" w:lineRule="auto"/>
        <w:tabs>
          <w:tab w:leader="none" w:pos="43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at any time employed an employee who has a right to pension benefits which are not benefits for old age, invalidity or survivors as a result of the transfer of his contract of employment from another employer under the UK Transfer of Undertakings (Protection of Employment) Regulations 2006.</w:t>
      </w:r>
    </w:p>
    <w:p>
      <w:pPr>
        <w:spacing w:after="0" w:line="18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 Except as is not and would not reasonably be expected to be, individually or in the aggregate, material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Group Companies, taken as a whole:</w:t>
      </w:r>
    </w:p>
    <w:p>
      <w:pPr>
        <w:spacing w:after="0" w:line="159" w:lineRule="exact"/>
        <w:rPr>
          <w:sz w:val="20"/>
          <w:szCs w:val="20"/>
          <w:color w:val="auto"/>
        </w:rPr>
      </w:pPr>
    </w:p>
    <w:p>
      <w:pPr>
        <w:ind w:left="120" w:right="200" w:firstLine="987"/>
        <w:spacing w:after="0" w:line="282" w:lineRule="auto"/>
        <w:tabs>
          <w:tab w:leader="none" w:pos="135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have received any written communication or other communication from any Governmental Entity or any other Person regarding any actual, alleged, or potential violation of, or Liability under, any Environmental Laws.</w:t>
      </w:r>
    </w:p>
    <w:p>
      <w:pPr>
        <w:spacing w:after="0" w:line="161"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since January 1, 2016 there has been) no Proceeding pending or, to the Company’s knowledge, threatened against or involving any Group Company in respect to any Environmental Laws.</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312" w:lineRule="auto"/>
        <w:tabs>
          <w:tab w:leader="none" w:pos="1356"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has manufactured, released, stored or disposed, of, so as to give rise to contamination by, or exposure of any Person to, any Hazardous Substances, in each case in a manner that has given or would give rise to Liabilities of the Group under Environmental Law.</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8" w:lineRule="auto"/>
        <w:tabs>
          <w:tab w:leader="none" w:pos="1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sets forth a true and complete list of (i) all currently issued or pending Company Registered Intellectual Property, and (ii) Company Licensed Intellectual Property that is material to the business of the Group Companies, in each case, as of the Second Amendment Date.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Schedules lists, for each item of Company Registered Intellectual Property as of the Second Amendment Date (A) the record owner of such item, (B) the jurisdiction(s) in which such item has been issued or registered or filed, and (C) the issuance, registration or application date, as applicable, for such item.</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Original Date, all necessary fees and filings due with respect to any Company Registered Intellectual Property have been submitted to the relevant intellectual property office or Governmental Entity and Internet domain name registrars to maintain such Company Registered Intellectual Property in full force and effect. As of the Original Date,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There are no (and since January 1, 2016 there have been no) material Proceedings pending, including litigations, interference, re-examination, </w:t>
      </w:r>
      <w:r>
        <w:rPr>
          <w:rFonts w:ascii="Times New Roman" w:cs="Times New Roman" w:eastAsia="Times New Roman" w:hAnsi="Times New Roman"/>
          <w:sz w:val="18"/>
          <w:szCs w:val="18"/>
          <w:i w:val="1"/>
          <w:iCs w:val="1"/>
          <w:color w:val="auto"/>
        </w:rPr>
        <w:t>inter parties</w:t>
      </w:r>
      <w:r>
        <w:rPr>
          <w:rFonts w:ascii="Times New Roman" w:cs="Times New Roman" w:eastAsia="Times New Roman" w:hAnsi="Times New Roman"/>
          <w:sz w:val="18"/>
          <w:szCs w:val="18"/>
          <w:color w:val="auto"/>
        </w:rPr>
        <w:t xml:space="preserve"> review, reissue, opposition, nullity, or cancellation proceedings pending that relate to any of the Company Registered Intellectual Property and no such material Proceedings are threatened by any Governmental Entity or any other Person and, to the Company’s knowledge, there are no existing circumstances likely to give rise to any such Proceedings.</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Company exclusively, legally and beneficially owns all right, title and interest in and to all material Company Owned Intellectual Property, free and clear of all Liens or obligations to others (other than Permitted Liens) and is not held jointly or in common with any other Person. No Group Company has transferred ownership of, or granted any exclusive license with respect to, any material Company Owned Intellectual Property to any other Person.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60"/>
          </w:cols>
          <w:pgMar w:left="320" w:top="455" w:right="51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987"/>
        <w:spacing w:after="0" w:line="312" w:lineRule="auto"/>
        <w:tabs>
          <w:tab w:leader="none" w:pos="1366"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3.13(d)</w:t>
      </w:r>
      <w:r>
        <w:rPr>
          <w:rFonts w:ascii="Times New Roman" w:cs="Times New Roman" w:eastAsia="Times New Roman" w:hAnsi="Times New Roman"/>
          <w:sz w:val="17"/>
          <w:szCs w:val="17"/>
          <w:color w:val="auto"/>
        </w:rPr>
        <w:t xml:space="preserve"> of the Company Disclosure Schedules sets forth a list of all current Contracts for Company Licensed Intellectual Property that are material to the business of the Group Companies as of the Original Date, excluding any licenses to off-the-shelf software.</w:t>
      </w:r>
    </w:p>
    <w:p>
      <w:pPr>
        <w:spacing w:after="0" w:line="139" w:lineRule="exact"/>
        <w:rPr>
          <w:rFonts w:ascii="Times New Roman" w:cs="Times New Roman" w:eastAsia="Times New Roman" w:hAnsi="Times New Roman"/>
          <w:sz w:val="17"/>
          <w:szCs w:val="17"/>
          <w:color w:val="auto"/>
        </w:rPr>
      </w:pPr>
    </w:p>
    <w:p>
      <w:pPr>
        <w:ind w:left="120" w:right="200" w:firstLine="987"/>
        <w:spacing w:after="0" w:line="261" w:lineRule="auto"/>
        <w:tabs>
          <w:tab w:leader="none" w:pos="135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Group Company has enforceable rights under all Contracts for Company Licensed Intellectual Property to use, sell, license and otherwise exploit (as the case may be) the relevant Company Licensed Intellectual Property to the extent required by the applicable Group Company to conduct its business in the ordinary course, no written notice having been given on either side to terminate the Contracts, and the obligations of all parties to such Contracts have been fully complied with.</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Intellectual Property and the Company Licensed Intellectual Property, constitutes all of the material Intellectual Property Rights used by the Group Companies in the operation of their respective businesses, and all Intellectual Property Rights necessary and sufficient to enable the Group Companies to conduct their respective businesses as currently conducted in all material respects, and all such Company Owned Intellectual Property and Company Licensed Intellectual Property shall be available for use immediately after the Closing Date by each Group Company on terms and conditions substantially identical to those under which each Group Company owned or used such Company Owned Intellectual Property and Company Licensed Intellectual Property as at the Original Date.</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Registered Intellectual Property and the Company Owned Intellectual Property is valid, subsisting and enforceable.</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55" w:lineRule="auto"/>
        <w:tabs>
          <w:tab w:leader="none" w:pos="136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Company’s directors, employees, consultants, advisors and independent contractors who independently or jointly contributed to or otherwise participated in the authorship, invention, creation, improvement, modification or development of any Company Owned Intellectual Property (each such person, a “</w:t>
      </w:r>
      <w:r>
        <w:rPr>
          <w:rFonts w:ascii="Times New Roman" w:cs="Times New Roman" w:eastAsia="Times New Roman" w:hAnsi="Times New Roman"/>
          <w:sz w:val="18"/>
          <w:szCs w:val="18"/>
          <w:u w:val="single" w:color="auto"/>
          <w:color w:val="auto"/>
        </w:rPr>
        <w:t>Creator</w:t>
      </w:r>
      <w:r>
        <w:rPr>
          <w:rFonts w:ascii="Times New Roman" w:cs="Times New Roman" w:eastAsia="Times New Roman" w:hAnsi="Times New Roman"/>
          <w:sz w:val="18"/>
          <w:szCs w:val="18"/>
          <w:color w:val="auto"/>
        </w:rPr>
        <w:t>”) have agreed or are otherwise legally bound, to maintain and protect the trade secrets and confidential information of all Group Companies. Each Creator has entered into a written agreement with the relevant Group Company pursuant to which such Company Owned Intellectual Property is owned by the relevant Group Company absolutely and all such Creators have waived or assigned to such Group Company all Intellectual Property Rights authored, invented, created, improved, modified or developed by such person in the course of such Creator’s employment or other engagement with such Group Company.</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taken all reasonable steps to safeguard and maintain the secrecy of any trade secrets, know-how and other confidential information owned by each Group Company. Without limiting the foregoing, no Group Company has knowingly disclosed any trade secrets, know-how or confidential information to any other Person unless such disclosure was under an appropriate written non-disclosure agreement or other obligation of confidentiality containing appropriate limitations on use, reproduction and disclosure. There has been no violation or unauthorized access to or disclosure of any trade secrets, know-how or confidential information of or in the possession each Group Company, or of any written obligations with respect to such.</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Owned Intellectual Property and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79" w:lineRule="exact"/>
        <w:rPr>
          <w:rFonts w:ascii="Times New Roman" w:cs="Times New Roman" w:eastAsia="Times New Roman" w:hAnsi="Times New Roman"/>
          <w:sz w:val="18"/>
          <w:szCs w:val="18"/>
          <w:color w:val="auto"/>
        </w:rPr>
      </w:pPr>
    </w:p>
    <w:p>
      <w:pPr>
        <w:ind w:left="120" w:right="480" w:firstLine="987"/>
        <w:spacing w:after="0" w:line="261" w:lineRule="auto"/>
        <w:tabs>
          <w:tab w:leader="none" w:pos="136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conduct of the business of the Group Companies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infringes, constitutes or results from an unauthorized use or misappropriation of or otherwise violates any Intellectual Property Rights of any other Person and no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written notice or allegation that is still outstanding has been received by the Group Companies that the Group Companies are infringing any Intellectual Property Rights of any other Person.</w:t>
      </w:r>
    </w:p>
    <w:p>
      <w:pPr>
        <w:spacing w:after="0" w:line="162" w:lineRule="exact"/>
        <w:rPr>
          <w:sz w:val="20"/>
          <w:szCs w:val="20"/>
          <w:color w:val="auto"/>
        </w:rPr>
      </w:pPr>
    </w:p>
    <w:p>
      <w:pPr>
        <w:ind w:left="120" w:right="40" w:firstLine="987"/>
        <w:spacing w:after="0" w:line="258" w:lineRule="auto"/>
        <w:tabs>
          <w:tab w:leader="none" w:pos="132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2016, there is no material Proceeding pending nor has any Group Company received any written communications or any other communications (i) alleging that a Group Company has infringed or misappropriated or otherwise violated any Intellectual Property Rights of any other Person, (ii) challenging the validity, enforceability, use or exclusive ownership of any Company Owned Intellectual Property or (iii) inviting any Group Company to take a license under any Patent or other Intellectual Property or consider the applicability of any Patents or other Intellectual Property to any products or services of the Group Companies or to the conduct of the business of the Group Companies.</w:t>
      </w:r>
    </w:p>
    <w:p>
      <w:pPr>
        <w:spacing w:after="0" w:line="183"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41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Person is infringing or misappropriating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No event has occurred, and no circumstance or condition exists at the Original Date that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87" w:lineRule="exact"/>
        <w:rPr>
          <w:rFonts w:ascii="Times New Roman" w:cs="Times New Roman" w:eastAsia="Times New Roman" w:hAnsi="Times New Roman"/>
          <w:sz w:val="18"/>
          <w:szCs w:val="18"/>
          <w:color w:val="auto"/>
        </w:rPr>
      </w:pPr>
    </w:p>
    <w:p>
      <w:pPr>
        <w:ind w:left="120" w:right="520" w:firstLine="987"/>
        <w:spacing w:after="0" w:line="266"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used, modified or distributed Open Source Software in a manner that would require any element of the Company Owned Intellectual Property to be disclosed or distributed in source code form, licensed for the purpose of making derivative works, attributable to a third party, restricted from commercial use or redistributable at no or minimal charge.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Software is or has become subject to any Open Source Software license and no Open Source Software is or has been included, incorporated or embedded in, linked to, combined or distributed with or used in the delivery, or provision of any Company Software or in any Company Offering, in each case, in a manner that subjects any Company Software or Company Offering to any Copyleft License (or that requires or purports to require any Company Person to grant any Intellectual Property License with respect to Patents).</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Open Source Software policies of any Group Company are listed in </w:t>
      </w:r>
      <w:r>
        <w:rPr>
          <w:rFonts w:ascii="Times New Roman" w:cs="Times New Roman" w:eastAsia="Times New Roman" w:hAnsi="Times New Roman"/>
          <w:sz w:val="18"/>
          <w:szCs w:val="18"/>
          <w:u w:val="single" w:color="auto"/>
          <w:color w:val="auto"/>
        </w:rPr>
        <w:t>Section 3.13(s)</w:t>
      </w:r>
      <w:r>
        <w:rPr>
          <w:rFonts w:ascii="Times New Roman" w:cs="Times New Roman" w:eastAsia="Times New Roman" w:hAnsi="Times New Roman"/>
          <w:sz w:val="18"/>
          <w:szCs w:val="18"/>
          <w:color w:val="auto"/>
        </w:rPr>
        <w:t xml:space="preserve"> of the Company Disclosure Schedule, and complete and accurate copies thereof have been delivered to Armada.</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deviation from or violation of such policies with respect to Open Source Software by the Company.</w:t>
      </w:r>
    </w:p>
    <w:p>
      <w:pPr>
        <w:spacing w:after="0" w:line="22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4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in </w:t>
      </w:r>
      <w:r>
        <w:rPr>
          <w:rFonts w:ascii="Times New Roman" w:cs="Times New Roman" w:eastAsia="Times New Roman" w:hAnsi="Times New Roman"/>
          <w:sz w:val="18"/>
          <w:szCs w:val="18"/>
          <w:u w:val="single" w:color="auto"/>
          <w:color w:val="auto"/>
        </w:rPr>
        <w:t>Section 3.13(u)</w:t>
      </w:r>
      <w:r>
        <w:rPr>
          <w:rFonts w:ascii="Times New Roman" w:cs="Times New Roman" w:eastAsia="Times New Roman" w:hAnsi="Times New Roman"/>
          <w:sz w:val="18"/>
          <w:szCs w:val="18"/>
          <w:color w:val="auto"/>
        </w:rPr>
        <w:t xml:space="preserve"> of the Company Disclosure Schedule, no Group Company nor any of their employees (in their capacity as such) is a contributor, committer or submitter with respect to any open source projects.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66" w:lineRule="auto"/>
        <w:tabs>
          <w:tab w:leader="none" w:pos="135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Schedules sets forth a true and complete list of all employees, independent contractors and other service providers of each Group Company as of November 30, 2021. The Group Companies have provided true and complete copies of the contracts of employment or engagement pursuant to which the Key Employees are employed or engaged. All other employees of the Group</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080"/>
          </w:cols>
          <w:pgMar w:left="320" w:top="455" w:right="49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Companies are employed under the template contracts of employment disclosed in the Company Disclosure Schedules and true and complete copies of all such templates have been provided to Armada by the Company. Copies of all Group Companies staff handbooks have been disclosed in the Company Disclosure Schedules and true and complete copies of all such handbooks and related policies and procedures have been provided to Armada by the Company.</w:t>
      </w:r>
    </w:p>
    <w:p>
      <w:pPr>
        <w:spacing w:after="0" w:line="180" w:lineRule="exact"/>
        <w:rPr>
          <w:sz w:val="20"/>
          <w:szCs w:val="20"/>
          <w:color w:val="auto"/>
        </w:rPr>
      </w:pPr>
    </w:p>
    <w:p>
      <w:pPr>
        <w:ind w:left="120" w:right="40" w:firstLine="987"/>
        <w:spacing w:after="0" w:line="254" w:lineRule="auto"/>
        <w:tabs>
          <w:tab w:leader="none" w:pos="136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Group Companies (A) has any material Liability for any arrears of wages or other compensation for services (including salaries, wage premiums, commissions, fees or bonuses), or any penalties, fines, interest, or other sums for failure to pay or delinquency in paying such compensation other than for amounts due for the current monthly period, and (B) has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(ii) the Group Companies have withheld all amounts required by applicable Law or by agreement to be withheld from wages, salaries and other payments to employees or independent contractors or other service providers of each Group Company, except as has not and would not reasonably be expected to result in, individually or in the aggregate, material Liability to the Group Companies; and (iii) the Group Companies have correctly classified all employees or independent contractors or other service providers of each Group Company.</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bound by any CBA and no employees of any Group Company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There has been no actual or, to the Company’s knowledge, threatened unfair labor practice charges, material grievances, arbitrations, strikes, lockouts, work stoppages, or other material labor disputes against or affecting any Group Company. There have been no labor organizing activities with respect to any employees of any Group Company.</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3.14(d)</w:t>
      </w:r>
      <w:r>
        <w:rPr>
          <w:rFonts w:ascii="Times New Roman" w:cs="Times New Roman" w:eastAsia="Times New Roman" w:hAnsi="Times New Roman"/>
          <w:sz w:val="18"/>
          <w:szCs w:val="18"/>
          <w:color w:val="auto"/>
        </w:rPr>
        <w:t xml:space="preserve"> of the Company Disclosure Schedules sets forth relevant details of all material employee layoffs, facility closure or shutdown (whether voluntary or by Order), reduction-in-force, furlough, temporary layoff, material work schedule change or reduction in hours, or reduction in salary or wages has occurred since January 1, 2020 or is currently contemplated, planned or announced, including as a result of COVID-19 or any Law, Order, directive, guideline or recommendation by any Governmental Entity in connection with or in response to COVID-19.</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offer of a contract of employment or engagement has been made by any Group Company to any person who, if employed or engaged, would be a Key Employee of a Group Company, which has not yet been accepted, or which has been accepted but the individual’s employment or engagement has not commenced. No Key Employee of a Group Company has given or received notice terminating his contract of employment, nor so far as the Company is aware, is any such notice pending or threatened.</w:t>
      </w:r>
    </w:p>
    <w:p>
      <w:pPr>
        <w:spacing w:after="0" w:line="179"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3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six years, no Group Company has been a party to a relevant transfer (as defined in the Transfer of Undertakings (Protection of Employment Regulations) 2006) and, within this period, none of its employees or former employees has transferred to a Group Company under any such regulations.</w:t>
      </w:r>
    </w:p>
    <w:p>
      <w:pPr>
        <w:spacing w:after="0" w:line="17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(g) The entry into and performance of this Agreement will not:</w:t>
      </w:r>
    </w:p>
    <w:p>
      <w:pPr>
        <w:spacing w:after="0" w:line="117" w:lineRule="exact"/>
        <w:rPr>
          <w:sz w:val="20"/>
          <w:szCs w:val="20"/>
          <w:color w:val="auto"/>
        </w:rPr>
      </w:pPr>
    </w:p>
    <w:p>
      <w:pPr>
        <w:ind w:left="2220" w:hanging="210"/>
        <w:spacing w:after="0"/>
        <w:tabs>
          <w:tab w:leader="none" w:pos="222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or other benefit to any officer or employee of any Group Company;</w:t>
      </w:r>
    </w:p>
    <w:p>
      <w:pPr>
        <w:spacing w:after="0" w:line="117" w:lineRule="exact"/>
        <w:rPr>
          <w:rFonts w:ascii="Times New Roman" w:cs="Times New Roman" w:eastAsia="Times New Roman" w:hAnsi="Times New Roman"/>
          <w:sz w:val="18"/>
          <w:szCs w:val="18"/>
          <w:color w:val="auto"/>
        </w:rPr>
      </w:pPr>
    </w:p>
    <w:p>
      <w:pPr>
        <w:ind w:left="1100" w:right="220" w:firstLine="910"/>
        <w:spacing w:after="0" w:line="282" w:lineRule="auto"/>
        <w:tabs>
          <w:tab w:leader="none" w:pos="2267"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employee of any Group Company to give notice to terminate his contract of employment or to any additional period of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40"/>
          </w:cols>
          <w:pgMar w:left="320" w:top="455" w:right="4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00" w:firstLine="910"/>
        <w:spacing w:after="0" w:line="282" w:lineRule="auto"/>
        <w:tabs>
          <w:tab w:leader="none" w:pos="2317"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(having made no enquiry), result in any employees of any Group Company giving notice to terminate their employment; or</w:t>
      </w:r>
    </w:p>
    <w:p>
      <w:pPr>
        <w:spacing w:after="0" w:line="53"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adversely affect any Group Company’s employee relations.</w:t>
      </w:r>
    </w:p>
    <w:p>
      <w:pPr>
        <w:spacing w:after="0" w:line="2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 list of all material policies or programs of self-insurance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property, fire and casualty, product liability, workers’ compensation and other forms of insurance owned or held by any Group Company as of the Original Date.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Company Disclosure Schedules also sets forth a list of all material (i) outstanding claims made by the Company, its Subsidiaries or any other Person under each such policy since January 1, 2019 or (ii) Proceedings under each such policy since January 1, 2019. All such policies are in full force and effect, all premiums due and payable thereon as of the Original Date have been paid in full as of the Original Date, and true and complete copies of all such policies have been made available to Armada. As of the Original Date any Group Company has not received any threatened termination of any such insurance policies. As of the Original Date, no claim by any Group Company is pending under any such policies as to which coverage has been denied or disputed, by the underwriters thereof, except as is not and would not reasonably be expected to be, individually or in the aggregate, material to the Group Companies, taken as a whole. With respect to each such insurance policy to which any member of any Group Company is a beneficiary, the policy is, to the Company’s knowledge, legal, valid, binding and enforceable against such member of any Group Company in accordance with its terms and, except for policies that have expired under their terms in the ordinary course.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80" w:firstLine="987"/>
        <w:spacing w:after="0" w:line="266" w:lineRule="auto"/>
        <w:tabs>
          <w:tab w:leader="none" w:pos="135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prepared and timely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5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36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rulings, clearances or similar agreements have been entered into with or issued by any Tax Authority with respect to a Group Company which agreement, clearance or ruling would be effective after the Closing Date.</w:t>
      </w:r>
    </w:p>
    <w:p>
      <w:pPr>
        <w:spacing w:after="0" w:line="161"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Taxes on any assets of the Group Companies other than Permitted Liens.</w:t>
      </w:r>
    </w:p>
    <w:p>
      <w:pPr>
        <w:spacing w:after="0" w:line="27"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been a member of an Affiliated Group filing a consolidated U.S. federal income Tax Return (other than a group the common parent of which was a Group Company), (ii) is, so far as the Company is aware, liable to pay any material Tax in consequence of the failure by any other Person (other than a Group Company)to discharge such Tax in circumstances where such other Person is primarily liable for such Tax, or (iii) is or has been a member of any Tax Consolidation (other than solely with other Group Companies).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82"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2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which could reasonably be expected to result in a material liability of a Group Company after the Closing Date.</w:t>
      </w:r>
    </w:p>
    <w:p>
      <w:pPr>
        <w:spacing w:after="0" w:line="175"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tax resident only in its jurisdiction of incorporation.</w:t>
      </w:r>
    </w:p>
    <w:p>
      <w:pPr>
        <w:spacing w:after="0" w:line="22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subject to a corporate income tax in a country other than the jurisdiction of its tax residence as a result of having a permanent establishment or an office or fixed place of business in that country, and no Group Company (other than Rezolve Mobile Commerce Inc) is engaged in a trade or business within the United States.</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2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claimed any Tax credits or benefitted from any Tax deferrals granted by any Tax Authority with respect to the COVID-19 pandemic for which repayment or other liability is owed, or is likely to be owed, after the Closing Date.</w:t>
      </w:r>
    </w:p>
    <w:p>
      <w:pPr>
        <w:spacing w:after="0" w:line="161" w:lineRule="exact"/>
        <w:rPr>
          <w:rFonts w:ascii="Times New Roman" w:cs="Times New Roman" w:eastAsia="Times New Roman" w:hAnsi="Times New Roman"/>
          <w:sz w:val="18"/>
          <w:szCs w:val="18"/>
          <w:color w:val="auto"/>
        </w:rPr>
      </w:pPr>
    </w:p>
    <w:p>
      <w:pPr>
        <w:ind w:left="120" w:right="380" w:firstLine="987"/>
        <w:spacing w:after="0" w:line="266" w:lineRule="auto"/>
        <w:tabs>
          <w:tab w:leader="none" w:pos="141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the Company is aware no Group Company has been required to provide a United Kingdom Tax Authority with any information pursuant to Part 7 of the Finance Act 2004 (as amended) or any related regulations (DOTAS) or any equivalent or similar regime in the jurisdiction in which it is established.</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or securities issued by a Group Company (including any Company Shares) to an officer or employee (or prospective or former officer or employee) of a Group Company and which constitute “restricted securities” within the meaning of section 423 of the Income Tax (Earnings and Pensions) Act 2003 (“</w:t>
      </w:r>
      <w:r>
        <w:rPr>
          <w:rFonts w:ascii="Times New Roman" w:cs="Times New Roman" w:eastAsia="Times New Roman" w:hAnsi="Times New Roman"/>
          <w:sz w:val="18"/>
          <w:szCs w:val="18"/>
          <w:u w:val="single" w:color="auto"/>
          <w:color w:val="auto"/>
        </w:rPr>
        <w:t>ITEPA</w:t>
      </w:r>
      <w:r>
        <w:rPr>
          <w:rFonts w:ascii="Times New Roman" w:cs="Times New Roman" w:eastAsia="Times New Roman" w:hAnsi="Times New Roman"/>
          <w:sz w:val="18"/>
          <w:szCs w:val="18"/>
          <w:color w:val="auto"/>
        </w:rPr>
        <w:t>”) are the subject of a valid election under section 431(1) ITEPA (or are deemed to be so subject, as a result of section 431A or otherwise), or are not subject to sections 426 to 430 ITEPA by virtue of section 430A, or were acquired for not less than their “IUMV” (as defined in section 428 ITEPA).</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provided adequate reserves in accordance with GAAP in the most recent financial statements of such Group Company for any material Taxes of such Group Company that have not been paid, whether or not shown as being due on any Tax Return.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intercompany transaction or any excess loss account described in Treasury Regulations under Section 1502 of the Code (or any corresponding or similar provision of state, local or foreign income Tax Law) entered into or created on or prior to the Closing Date; or (v) prepaid amount received or deferred revenue accrued on or prior to the Closing Date.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in any year for which the applicable statute of limitations remains open distributed stock of another person, or has had its stock distributed by another person, in a transaction that was purported or intended to be governed in whole or in part by Section 355 or Section 361 of the Code.</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engaged in or entered into a “listed transaction” within the meaning of Treasury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1.6011-4(b)(2).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Each Group Company is classified as an association taxable as a corporation for U.S. federal income tax purposes.</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(which fees shall be the sole responsibility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 broker, finder, investment banker or other Person is entitled to any brokerage fee, finders’ fee or other commission in connection with the transactions contemplated by this Agreement based upon arrangements made by or on behalf of the Company or any of its controlled Affiliates for which any of the Group Companies has any obligation.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Real and Personal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560" w:firstLine="987"/>
        <w:spacing w:after="0" w:line="258" w:lineRule="auto"/>
        <w:tabs>
          <w:tab w:leader="none" w:pos="135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owned by any of the Group Companies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 Group Company has the benefit of any agreement for sale, agreement for lease, option, right of pre-emption, right of first refusal or any other right of acquisition in relation to any real property. The Group Companies’ possession and quiet enjoyment of the Owned Real Property has not been materially disturbed and there are no material disputes with respect to any Real Property Lease.</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3.18(b)</w:t>
      </w:r>
      <w:r>
        <w:rPr>
          <w:rFonts w:ascii="Times New Roman" w:cs="Times New Roman" w:eastAsia="Times New Roman" w:hAnsi="Times New Roman"/>
          <w:sz w:val="18"/>
          <w:szCs w:val="18"/>
          <w:color w:val="auto"/>
        </w:rPr>
        <w:t xml:space="preserve"> of the Company Disclosure Schedules sets forth a true and complete list (including street addresses) of all real property leased by any of the Group Companies, or used or occupied pursuant to a license or any other contractual relationship by any of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all Real Property Leases pursuant to which any Group Company is a tenant, licensee, landlord or licensor as of the Original Date. True and complete copies of all such Real Property Leases have been made available to Armada.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under any Real Property Lease, and no event has occurred which (with or without notice or lapse of time or both) would constitute a material breach or default by a Group Company under any Real Property Lease or would permit termination of, or a material modification or acceleration thereof, by the counterparty to any Real Property Lease. The Group Companies’ possession and quiet enjoyment of the Leased Real Property under any Real Property Lease has not been materially disturbed, and there are no material disputes to which a Group Company is party with respect to any Real Property Lease. There are no fees or charges payable in connection with any Leased Real Property by a Group Company which are in the process of being reviewed.</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5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by any Group Company of the Owned Real Property and the Leased Real Property for the various purposes for which it is presently being used by such Company is permitted under all applicable Laws, including zoning or is a lawful nonconforming use, and is not subject to outstanding variances or special use permits. All improvements, additions and/or other alterations made by any Group Company are in material compliance with all applicable Laws, including those pertaining to zoning and building, are in good repair and condition (ordinary wear and tear excepted) and in relation to the Leased Real Properties, are otherwise in a state of repair and condition which is consistent and in full compliance with the relevant Group Companies’ obligations under the Real Property Leases.</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and no other company that was at any time a Subsidiary of any Group Company, has any actual or contingent liability in respect of Previously-owned Land and Buildings. No Group Company, and no other company that was at any time a Subsidiary of any Group Company, has given any guarantee or indemnity for any liability relating to any Previously-owned Land and Buildings or any other land or buildings. For the purposes of this paragraph “</w:t>
      </w:r>
      <w:r>
        <w:rPr>
          <w:rFonts w:ascii="Times New Roman" w:cs="Times New Roman" w:eastAsia="Times New Roman" w:hAnsi="Times New Roman"/>
          <w:sz w:val="18"/>
          <w:szCs w:val="18"/>
          <w:u w:val="single" w:color="auto"/>
          <w:color w:val="auto"/>
        </w:rPr>
        <w:t>Previously-owned Land and Buildings</w:t>
      </w:r>
      <w:r>
        <w:rPr>
          <w:rFonts w:ascii="Times New Roman" w:cs="Times New Roman" w:eastAsia="Times New Roman" w:hAnsi="Times New Roman"/>
          <w:sz w:val="18"/>
          <w:szCs w:val="18"/>
          <w:color w:val="auto"/>
        </w:rPr>
        <w:t>” shall mean any land and/or buildings that have, at any time before the Original Date, been owned (under whatever tenure) and/or occupied and/or used by any Group Company but which are either: (i) no longer owned, occupied or used by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Group Company; or (ii) are owned, occupied or used by such Group Company but pursuant to a different lease, license, transfer or conveyance.</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Schedules sets forth all Contracts between (a)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on the one hand, and (b) any officer, director, partner, member, manager, registered equity holder or Affiliate of any Group Company (other than, for the avoidance of doubt, any other Group Company) or any immediate family member of the foregoing Persons,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other than (i) Contracts with respect to a Company Related Party’s employment with (including benefit plans and other ordinary course compensation from) any of the Group Companies entered into in the ordinary course of business,</w:t>
      </w:r>
    </w:p>
    <w:p>
      <w:pPr>
        <w:spacing w:after="0" w:line="3" w:lineRule="exact"/>
        <w:rPr>
          <w:sz w:val="20"/>
          <w:szCs w:val="20"/>
          <w:color w:val="auto"/>
        </w:rPr>
      </w:pPr>
    </w:p>
    <w:p>
      <w:pPr>
        <w:jc w:val="both"/>
        <w:ind w:left="120" w:right="300" w:hanging="4"/>
        <w:spacing w:after="0" w:line="265" w:lineRule="auto"/>
        <w:tabs>
          <w:tab w:leader="none" w:pos="385"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Ancillary Document, and (iii) immaterial Contracts entered into in the ordinary course by the applicable Group Company and the applicable Company Related Party. No Company Related Party (A) owns any interest in any material asset or property used in any Group Company’s business,</w:t>
      </w:r>
    </w:p>
    <w:p>
      <w:pPr>
        <w:ind w:lef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possesses, directly or indirectly, any material financial interest in, or is, or is a director or executive officer of, any Person which is a material supplier, vendor, partner, customer, lessor or other material business relation of any Group Company or (C) owes any material amount to, or is owed any material amount by, any Group Company (other than accrued compensation, employee benefits, employee or director expense reimbursement, in each case, in the ordinary course of business).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Company Related Party Transactions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b w:val="1"/>
          <w:bCs w:val="1"/>
          <w:u w:val="single" w:color="auto"/>
          <w:color w:val="auto"/>
        </w:rPr>
        <w:t>Data Privacy and Security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8" w:lineRule="auto"/>
        <w:tabs>
          <w:tab w:leader="none" w:pos="1356"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implemented adequate written policies and procedures consistent with its obligations under Privacy Laws and maintains and enforced such policies and procedures. Each Group Company is in all material respects in compliance with all applicable requirements of the Privacy Laws. No Group Company has received any written notice, order, complaint or other correspondence from any Governmental Entity or other person alleging a breach of, or non-compliance with, the Privacy Laws and so far as the Company is aware no circumstances exist which are likely to result in any such notice, order, complaint or other correspondence being sent, served, given or made.</w:t>
      </w:r>
    </w:p>
    <w:p>
      <w:pPr>
        <w:spacing w:after="0" w:line="183"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owns or has a valid, subsisting and enforceable license to use the Company IT Systems as necessary to operate the business of each Group Company as currently conducted or as conducted as at Closing, and such Company IT Systems shall be owned or available for use by each Group Company following the Closing on terms and conditions substantially identical to those under which each such Group Company owned or used such Company IT Systems as at the Original Date. Except as is not and would not reasonably be expected to be, individually or in the aggregate, material to the operation of the business of the Group Companies, taken as a whole, all Company IT Systems are: (i) free from any defect, bug, virus or programming, design or documentation error, and (ii) in good working condition in all respects to effectively perform all information technology operations necessary for the operation of the Business in accordance with the specifications applicable to them (except for ordinary wear and tear), including for the avoidance of doubt, those under applicable Law. Since January 1, 2020, there have not been any failures, breakdowns, bugs in, security breaches, unauthorized access or use or continued substandard performance of any Company IT Systems or unauthorized acquisition, destruction, damage, disclosure, loss, corruption, alteration or use of any data which have materially disrupted the operations of the Company.</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(i) security measures, procedures or policies in place that are consistent with current industry practice to:</w:t>
      </w:r>
    </w:p>
    <w:p>
      <w:pPr>
        <w:spacing w:after="0" w:line="27" w:lineRule="exact"/>
        <w:rPr>
          <w:rFonts w:ascii="Times New Roman" w:cs="Times New Roman" w:eastAsia="Times New Roman" w:hAnsi="Times New Roman"/>
          <w:sz w:val="18"/>
          <w:szCs w:val="18"/>
          <w:color w:val="auto"/>
        </w:rPr>
      </w:pPr>
    </w:p>
    <w:p>
      <w:pPr>
        <w:jc w:val="both"/>
        <w:ind w:left="120" w:right="20" w:hanging="4"/>
        <w:spacing w:after="0" w:line="290" w:lineRule="auto"/>
        <w:tabs>
          <w:tab w:leader="none" w:pos="335"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the Company IT Systems and any data held on such Company IT Systems; and (ii) prevent unauthorized access or the introduction of viruses or similar destructive code; and (ii) carried out regular reviews of the Company IT Systems and has remedied any weaknesses detected by such reviews.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81" w:lineRule="auto"/>
        <w:tabs>
          <w:tab w:leader="none" w:pos="1366"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agreements relating to the Company IT Systems are provided under written agreements to which a Group Company is a party, and in respect of each such agreement: (i) it is in full force and effect, no notice having been given to terminate it; (ii) neither entering into, nor compliance with nor completion of, this Agreement will, or is likely to entitle a party to terminate, vary or make a claim under it; and (iii) the obligations of the Company or to the Company’s knowledge any other party under it have been complied with and no disputes have arisen in respect of it.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Compliance with International Trade &amp;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80" w:firstLine="987"/>
        <w:spacing w:after="0" w:line="266" w:lineRule="auto"/>
        <w:tabs>
          <w:tab w:leader="none" w:pos="135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since January 1, 2016: (i) is or has been a Sanctioned Person, or (ii) is conducting or has conducted business directly or indirectly with any Sanctioned Person.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(i) made, offered, promised, paid or received any unlawful bribes, kickbacks or other similar payments to or from any Person, including without limitation, any government official (ii) made or paid any contributions, directly or indirectly, to a domestic or foreign political party or candidate in violation of applicable law or (iii) otherwise engaged in any activity, practice or conduct in violation of any Anti-Corruption Laws, Export Control Laws or Sanctions Laws.</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5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any of their respective officers, directors or any of their employees or other Representatives, or any other Persons acting for or on behalf of any of the foregoing has been the subject or target of any investigation, inquiry or enforcement Proceedings by any Governmental Entity regarding any offence, alleged offence, or potential offence of any Anti-Corruption Laws, Export Control Laws or Sanctions Laws, and no such investigation, inquiry or Proceedings is threatened or pending, and there are no circumstances likely to give rise to any such investigation, inquiry or Proceedings.</w:t>
      </w:r>
    </w:p>
    <w:p>
      <w:pPr>
        <w:spacing w:after="0" w:line="17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the Group Companies for inclusion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Regulatory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727"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Group Company is conducting, and has conducted, its business in compliance with all applicable Law in each case except as is not and would not reasonably be expected to be, individually or in the aggregate, material to the Group Companies, taken as a whole and (B) each Group Company has in place and operates contractual arrangements with all outsourced providers of services to it in compliance with all applicable Law in each case, in all material respects.</w:t>
      </w:r>
    </w:p>
    <w:p>
      <w:pPr>
        <w:spacing w:after="0" w:line="71" w:lineRule="exact"/>
        <w:rPr>
          <w:rFonts w:ascii="Times New Roman" w:cs="Times New Roman" w:eastAsia="Times New Roman" w:hAnsi="Times New Roman"/>
          <w:sz w:val="18"/>
          <w:szCs w:val="18"/>
          <w:color w:val="auto"/>
        </w:rPr>
      </w:pPr>
    </w:p>
    <w:p>
      <w:pPr>
        <w:ind w:left="560" w:right="380" w:firstLine="948"/>
        <w:spacing w:after="0" w:line="289" w:lineRule="auto"/>
        <w:tabs>
          <w:tab w:leader="none" w:pos="1777" w:val="left"/>
        </w:tabs>
        <w:numPr>
          <w:ilvl w:val="1"/>
          <w:numId w:val="4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Regulated Group Company has complied in all material respects with its financial resources, capital adequacy and professional indemnity insurance obligations and requirements as required by applicable Law and all applicable material indemnity insurance policies are in full force and effect, and there have been no claims made by or in respect of any Group Company under any of them.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80" w:firstLine="948"/>
        <w:spacing w:after="0" w:line="266" w:lineRule="auto"/>
        <w:tabs>
          <w:tab w:leader="none" w:pos="1827"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Group Company receives or holds any “client money” (as defined in the FCA Handbook), and (B) no Regulated Group Company has any received written or other notice that any business has been carried on, or is being carried on, in violation of any provisions of the FCA Handbook.</w:t>
      </w:r>
    </w:p>
    <w:p>
      <w:pPr>
        <w:spacing w:after="0" w:line="6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at all times maintained adequate policies, procedures, systems and controls in accordance with</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w:t>
      </w:r>
    </w:p>
    <w:p>
      <w:pPr>
        <w:spacing w:after="0" w:line="98"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67"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a party to or alleged to have been party to any act or deliberate failure to act, which would result in any regulatory sanctions being threatened against or imposed upon that Group Company or the Group Companies.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Regulated Activity</w:t>
      </w:r>
      <w:r>
        <w:rPr>
          <w:rFonts w:ascii="Times New Roman" w:cs="Times New Roman" w:eastAsia="Times New Roman" w:hAnsi="Times New Roman"/>
          <w:sz w:val="18"/>
          <w:szCs w:val="18"/>
          <w:color w:val="auto"/>
        </w:rPr>
        <w:t>. No Group Company carries on, or purports to carry on, and has not at any time carried on or purported to carry on, any financial services activities within the scope of any regulatory regime in any jurisdiction, nor has it contravened any Law or regulations relating to the provision of financial services in any such jurisdiction. Except for the Regulated Group Companies, no Group Company carries on, or purports to carry on, and has not at any time carried on or purported to carry on, any activity for which a Permit is required (including, without limitation, a Permit under FSMA or FCA). No Group Company (nor any director, officer, employee, contractor, or agent of the Company or Person discharging a Controlled Function or Specified Function or who is subject to a Regulatory Code of Conduct in respect of any Regulated Group Company (in each case, in their capacity as such)) has contravened, in any material respect, any provision of FSMA, the FCA or of any regulations made thereunder.</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b w:val="1"/>
          <w:bCs w:val="1"/>
          <w:u w:val="single" w:color="auto"/>
          <w:color w:val="auto"/>
        </w:rPr>
        <w:t>Investigation; No Other Representations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58" w:lineRule="auto"/>
        <w:tabs>
          <w:tab w:leader="none" w:pos="135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Armada and (ii) it has been furnished with or given access to such documents and information about Armada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83"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and no other representations or warranties of Armada or any other Person, either express or implied, and the Company, on its own behalf and on behalf of its Representatives, acknowledges, represents, warrants and agrees that,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the Ancillary Documents to which it is or will be a party, neither Armada nor any other Person makes or has made any representation or warranty, either express or implied, in connection with or related to this Agreement, the Ancillary Documents or the transactions contemplated hereby or thereby.</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THE COMPANY OR ANY OF ITS REPRESENTATIVES OF ANY DOCUMENTATION OR OTHER INFORMATION (INCLUDING ANY FINANCIAL PROJECTIONS OR OTHER SUPPLEMENTAL DATA), THE COMPANY ACKNOWLEDGES AND AGREES THAT, EXCEPT AS OTHERWISE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NEITHER ARMADA NOR ANY OTHER PERSON MAKES, AND ARMADA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ARMADA THAT HAVE BEEN MADE AVAILABLE TO THE COMPANY OR ANY OF ITS REPRESENTATIVES OR IN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ANY PRESENTATION OF THE BUSINESS AND AFFAIRS OF ARMADA BY OR ON BEHALF OF THE MANAGEMENT OF ARMADA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THE ANCILLARY DOCUMENTS, THE COMPANY ACKNOWLEDGES AND AGREES THAT ANY COST ESTIMATES, PROJECTIONS OR OTHER PREDICTIONS, ANY DATA, ANY FINANCIAL INFORMATION OR ANY MEMORANDA OR OFFERING MATERIALS OR PRESENTATIONS, INCLUDING ANY OFFERING MEMORANDUM OR SIMILAR MATERIALS MADE AVAILABLE BY OR ON BEHALF OF ARMADA ARE NOT AND SHALL NOT BE DEEMED TO BE OR TO INCLUDE REPRESENTATIONS OR WARRANTIES OF ARMADA, AND ARE NOT AND SHALL NOT BE DEEMED TO BE RELIED UPON BY THE COMPANY OR ANY OTHER PERSON IN EXECUTING, DELIVERING OR PERFORMING THIS AGREEMENT, THE ANCILLARY DOCUMENTS OR THE TRANSACTIONS CONTEMPLATED HEREBY OR THEREBY.</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ARMADA</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except (a) as set forth on the Armada Disclosure Schedules, or (b) except as set forth in any Armada SEC Reports filed prior to the Original Date (excluding any disclosures in any “risk factors” section that do not constitute statements of fact, disclosures in any forward-looking statements, disclaimers and other disclosures that are generally cautionary, predictive or forward-looking in nature, whether or not appearing in such section), Armada, hereby represents and warrants to the Company, as of the Original Date, as follows: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6" w:lineRule="auto"/>
        <w:tabs>
          <w:tab w:leader="none" w:pos="1356"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Armada has the requisite corporate, limited liability company or other applicable business entity power and authority to own, lease and operate its properties and to carry on its business as presently conducted, except where the failure to have such power or authority would not have an Armada Material Adverse Effect.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Armada has the requisite exempted company, corporate, limited liability company or other similar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this Agreement and each Ancillary Document to which it is or will be a party, to perform its obligations hereunder and thereunder, and to consummate the transactions contemplated hereby and thereby. Subject to the receipt of the Armada Shareholder Approval, the execution and delivery of this Agreement, the Ancillary Documents to which Armada is or will be a party and the consummation of the transactions contemplated hereby and thereby have been (or, in the case of any Ancillary Document entered into after the Original Date, will be upon execution thereof) duly authorized by all necessary exempted company, corporate, limited liability company or other similar action on the part of Armada. This Agreement has been and each Ancillary Document to which Armada is or will be a party will be, upon execution thereof, duly and validly executed and delivered by Armada and constitutes or will constitute, upon execution thereof, as applicable, a valid, legal and binding agreement of Armada (assuming this Agreement has been and the Ancillary Documents to which Armada is or will be a party are or will be, upon execution thereof, as applicable, duly authorized, executed and delivered by the other Persons party hereto or thereto), enforceable</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060"/>
          </w:cols>
          <w:pgMar w:left="320" w:top="455" w:right="51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against Armada in accordance with their terms (subject to applicable bankruptcy, insolvency, reorganization, moratorium or other Laws affecting generally the enforcement of creditors’ rights and subject to general principles of equity).</w:t>
      </w:r>
    </w:p>
    <w:p>
      <w:pPr>
        <w:spacing w:after="0" w:line="15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Board Approval</w:t>
      </w:r>
      <w:r>
        <w:rPr>
          <w:rFonts w:ascii="Times New Roman" w:cs="Times New Roman" w:eastAsia="Times New Roman" w:hAnsi="Times New Roman"/>
          <w:sz w:val="18"/>
          <w:szCs w:val="18"/>
          <w:color w:val="auto"/>
        </w:rPr>
        <w:t>. The Armada Board approval (including any required committee or subgroup of such board), by unanimous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voting at a meeting duly called and held and not subsequently rescinded or modified in any way has (a) determined that the Transaction Proposals are in the best interest of Armada and its shareholders and declared it advisable, to enter into this Agreement and the Ancillary Documents and to consummate the transaction contemplated hereby and thereby, (b) approved the execution, delivery and performance by Armada of this Agreement, the Ancillary Documents to which Armada is or will be a party and the transactions contemplated hereby and thereby and (c) resolved to recommend, among other things, that the holders of Armada Shares vote in favor of the approval of this Agreement and the transactions contemplated by this Agreement, and directed that this Agreement and the transactions contemplated hereby, be submitted for consideration by the shareholders of Armada at the Armada Shareholders Meeting.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Consents and Requisite Governmental Approvals; No Violations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20" w:firstLine="987"/>
        <w:spacing w:after="0" w:line="269" w:lineRule="auto"/>
        <w:tabs>
          <w:tab w:leader="none" w:pos="1356" w:val="left"/>
        </w:tabs>
        <w:numPr>
          <w:ilvl w:val="1"/>
          <w:numId w:val="4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or authorization of, or designation, declaration or filing with, any Governmental Entity is required on the part of Armada with respect to Armada’s execution, delivery or performance of its obligations under this Agreement or the Ancillary Documents to which it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w:t>
      </w:r>
    </w:p>
    <w:p>
      <w:pPr>
        <w:spacing w:after="0" w:line="2" w:lineRule="exact"/>
        <w:rPr>
          <w:rFonts w:ascii="Times New Roman" w:cs="Times New Roman" w:eastAsia="Times New Roman" w:hAnsi="Times New Roman"/>
          <w:sz w:val="17"/>
          <w:szCs w:val="17"/>
          <w:color w:val="auto"/>
        </w:rPr>
      </w:pPr>
    </w:p>
    <w:p>
      <w:pPr>
        <w:ind w:left="120" w:hanging="4"/>
        <w:spacing w:after="0" w:line="253" w:lineRule="auto"/>
        <w:tabs>
          <w:tab w:leader="none" w:pos="38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filings with and approvals of NASDAQ to permit the Company Shares to be issued in connection with the transactions contemplated by this Agreement and the other Ancillary Documents to be listed on NASDAQ, (iii) such filings and approvals required in connection with the Pre-Closing Reorganization, (iv) the Armada Shareholder Approval, (v) the Consents set forth 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Armada Disclosure Schedules, and (vi) any other consents, approvals, authorizations, designations, declarations, waivers or filings, the absence of which would not have an Armada Material Adverse Effect.</w:t>
      </w:r>
    </w:p>
    <w:p>
      <w:pPr>
        <w:spacing w:after="0" w:line="186" w:lineRule="exact"/>
        <w:rPr>
          <w:rFonts w:ascii="Times New Roman" w:cs="Times New Roman" w:eastAsia="Times New Roman" w:hAnsi="Times New Roman"/>
          <w:sz w:val="18"/>
          <w:szCs w:val="18"/>
          <w:color w:val="auto"/>
        </w:rPr>
      </w:pPr>
    </w:p>
    <w:p>
      <w:pPr>
        <w:ind w:left="120" w:right="60" w:firstLine="987"/>
        <w:spacing w:after="0" w:line="254" w:lineRule="auto"/>
        <w:tabs>
          <w:tab w:leader="none" w:pos="1366"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execution or delivery by Armada of this Agreement or any Ancillary Document to which it is or will be a party, the performance by Armada of its obligations hereunder or thereunder or the consummation by Armada of the transactions contemplated hereby or thereby will, directly or indirectly (with or without due notice or lapse of time or both) (i) result in a violation or breach of any provision of the Governing Documents of Armada, (ii) result in a violation or breach of, or constitute a default or give rise to any right of termination, Consent, cancellation, amendment, modification, suspension, revocation or acceleration under, any of the terms, conditions or provisions of any Armada Material Contract to which Armada is a party, (iii) violate, or constitute a breach under, any Order or applicable Law to which Armada or any of its properties or assets are subject or bound or (iv) result in the creation of any Lien (other than Permitted Liens) upon any of the assets or properties of Armada,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would not have an Armada Material Adverse Effect.</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for fees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no broker, finder, investment banker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is entitled to any brokerage fee, finders’ fee or other commission in connection with the transactions contemplated by this Agreement based upon arrangements made by or on behalf of Armada for which Armada has any obligation.</w:t>
      </w:r>
    </w:p>
    <w:p>
      <w:pPr>
        <w:spacing w:after="0" w:line="17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Armada in writing expressly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or 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Armada makes no representation with respect to any “risk factors” that do not constitute statements of fact, disclosures in any forward-looking statements, disclaimers and other disclosures that are generally cautionary, predictive or forward-looking in nature, in each case, supplied by or on behalf of Armada for inclusion in, or relating to information to be included in, the Registration Statement /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Capitalization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 xml:space="preserve"> of the Armada Disclosure Schedules sets forth a true and complete statement of the number and class or series (as applicable) of the issued and outstanding Armada Shares and Public Warrants as of the Original Date. All outstanding Equity Securities of Armada (except to the extent such concepts are not applicable under the applicable Law of Armada’s jurisdiction of organization, incorporation or formation, as applicable, or other applicable Law) immediately prior to the consummation of the Pre-Closing Reorganization have been duly authorized and validly issued and are fully paid and non-assessable. Such Equity Securities (i) were not issued in violation of the Governing Documents of Armada and (ii) are not subject to any preemptive rights, call option, right of first refusal, subscription rights, transfer restrictions or similar rights of any Person (other than transfer restrictions under applicable Securities Laws or under the Governing Documents of Armada) and were not issued in violation of any preemptive rights, call option, right of first refusal, subscription rights, transfer restrictions or similar rights of any Person.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contemplated by this Agreement, the Ancillary Documents, the Armada SEC Reports or the transactions contemplated hereby or thereby or as otherwise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issued, granted or entered into, as applicable,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Armada, and except as expressly contemplated by this Agreement, the Ancillary Documents or the transactions contemplated hereby or thereby or as otherwise mutually agreed in writing by the Company and Armada, as applicable, there is no obligation of Armada, to issue, sell or otherwise cause to become outstanding or to acquire, repurchase or redeem any Equity Securities or securities convertible into or exchangeable for Equity Securities of Armada.</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SEC Filings</w:t>
      </w:r>
      <w:r>
        <w:rPr>
          <w:rFonts w:ascii="Times New Roman" w:cs="Times New Roman" w:eastAsia="Times New Roman" w:hAnsi="Times New Roman"/>
          <w:sz w:val="18"/>
          <w:szCs w:val="18"/>
          <w:color w:val="auto"/>
        </w:rPr>
        <w:t>. Armada has timely filed or furnished all statements, forms, reports and documents required to be filed or furnished by it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Original Date with the SEC pursuant to U.S. Federal Securities Laws since its initial public offering (collectively, including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forms, reports and documents filed or furnished by it in connection with and subsequent to its IPO, and together with any exhibits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schedules thereto and other information incorporated therein, and as they have been supplemented, modified or amended since the time of filing,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Armada SEC Reports</w:t>
      </w:r>
      <w:r>
        <w:rPr>
          <w:rFonts w:ascii="Times New Roman" w:cs="Times New Roman" w:eastAsia="Times New Roman" w:hAnsi="Times New Roman"/>
          <w:sz w:val="17"/>
          <w:szCs w:val="17"/>
          <w:color w:val="auto"/>
        </w:rPr>
        <w:t>”), and, as of the Closing, will have filed or furnished all other statements, forms, reports and other documents required to be filed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furnished by it subsequent to the Original Date with the SEC pursuant to Federal Securities Laws through the Closing (collectively, and together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exhibits and schedules thereto and other information incorporated therein, and as they have been supplemented, modified or amended since the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filing, but excluding the Registration Statement / Proxy Statement, the “</w:t>
      </w:r>
      <w:r>
        <w:rPr>
          <w:rFonts w:ascii="Times New Roman" w:cs="Times New Roman" w:eastAsia="Times New Roman" w:hAnsi="Times New Roman"/>
          <w:sz w:val="18"/>
          <w:szCs w:val="18"/>
          <w:u w:val="single" w:color="auto"/>
          <w:color w:val="auto"/>
        </w:rPr>
        <w:t>Additional Armada SEC Reports</w:t>
      </w:r>
      <w:r>
        <w:rPr>
          <w:rFonts w:ascii="Times New Roman" w:cs="Times New Roman" w:eastAsia="Times New Roman" w:hAnsi="Times New Roman"/>
          <w:sz w:val="18"/>
          <w:szCs w:val="18"/>
          <w:color w:val="auto"/>
        </w:rPr>
        <w:t>”). Each of the Armada SEC Reports,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respective dates of filing, and as of the date of any amendment or filing that superseded the initial filing, complied and each of the Additional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SEC Reports, as of their respective dates of filing, and as of the date of any amendment or filing that superseded the initial filing, will comply,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all material respects with the applicable requirements of the Federal Securities Laws (including, as applicable, the Sarbanes-Oxley Act and any rules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regulations promulgated thereunder) applicable to the Armada SEC Reports or the Additional Armada SEC Reports. As of their respective dates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filing, the Armada SEC Reports did not contain any untrue statement of a material fact or omit to state a material fact required to be stated therein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necessary to make the statements therein, in light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4" w:right="47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of the circumstances under which they were made or will be made, as applicable, not misleading (for purposes of the Additional Armada SEC Reports, assuming that the representation and warranty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is true and correct in all respects with respect to all information supplied by or on behalf of Group Companies expressly for inclusion or incorporation by reference therein). As of the Original Date, there are no outstanding or unresolved comments in comment letters received from the SEC with respect to the Armada SEC Reports. To the knowledge of Armada, none of the Armada SEC Reports or the Additional Armada SEC Reports is subject to ongoing SEC review or investigation.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Since the IPO and ending on the Original Date, no Armada Material Adverse Effect has occurred.</w:t>
      </w:r>
    </w:p>
    <w:p>
      <w:pPr>
        <w:spacing w:after="0" w:line="225"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As of the Original Date, Armada has an amount in cash in the Trust Account equal to at least $150,000,000.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and in accordance with, that certain Investment Management Trust Agreement, dated August 12, 2021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between Armada and Continental Stock Transfer &amp;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The Trust Agreement has not been amended or modified and is valid in full force and effect and is enforceable in accordance with its terms, except as limited by applicable bankruptcy, insolvency, reorganization, moratorium and other Laws of general application affecting enforcement of creditors’ rights generally, by general equitable principles. There are no separate agreements, side letters or other agreements or understandings (whether written or unwritten, express or implied) that would cause the description of the Trust Agreement in the Armada SEC Reports or the Additional Armada SEC Reports to be inaccurate in any material respect or, to Armada’s knowledge, that would entitle any Person to any portion of the funds in the Trust t Account (other than (i) in respect of deferred underwriting commissions or Taxes, (ii) the Pre-Closing Armada Shareholders who shall have elected to redeem their Armada Shares pursuant to the Governing Documents of Armada or (iii) if Armada fails to complete a business combination within the allotted time period set forth in the Governing Documents of Armada and liquidates the Trust Account, subject to the terms of the Trust Agreement, Armada (in limited amounts to permit Armada to pay the expenses of the Trust Account’s liquidation, dissolution and winding up of Armada) and then the Pre-Closing Armada Shareholders). Prior to the Closing, none of the funds held in the Trust Account are permitted to be released, except in the circumstances described in the Governing Documents of Armada and the Trust Agreement. As of the Original Date, Armada has performed all material obligations required to be performed by it to date, and is not in material default, under the Trust Agreement, and, to Armada’s knowledge, no event has occurred which (with due notice or lapse of time or both) would constitute a material default under the Trust Agreement. As of the Original Date, there are no Proceedings pending with respect to the Trust Account. Since December 1, 2021, Armada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w:t>
      </w:r>
    </w:p>
    <w:p>
      <w:pPr>
        <w:spacing w:after="0" w:line="12" w:lineRule="exact"/>
        <w:rPr>
          <w:sz w:val="20"/>
          <w:szCs w:val="20"/>
          <w:color w:val="auto"/>
        </w:rPr>
      </w:pPr>
    </w:p>
    <w:p>
      <w:pPr>
        <w:ind w:left="120" w:hanging="4"/>
        <w:spacing w:after="0" w:line="251" w:lineRule="auto"/>
        <w:tabs>
          <w:tab w:leader="none" w:pos="41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deferred underwriting commissions or Taxes or (B) to the Pre-Closing Armada Shareholders who have elected to redeem their Armada Shares pursuant to the Governing Documents of Armada, each in accordance with the terms of and as set forth in the Trust Agreement), Armada shall have no further obligation under either the Trust Agreement or the Governing Documents of Armada to liquidate or distribute any assets held in the Trust Account, and the Trust Agreement shall terminate in accordance with its terms. As of the Original Date, assuming the accuracy of the representations and warranties of the Company contained herein and compliance by the Company with its obligations hereunder, other than in respect of Armada Shareholder Redemptions, Armada has no reason to believe that any of the conditions to the use of funds in the Trust Account will not be satisfied or funds available in the Trust Account will not be available to the Company on the Closing Date, assuming the Promissory Note is validly issued as contemplated herein.</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4" w:right="47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color w:val="auto"/>
        </w:rPr>
        <w:t>. The issued and outstanding Armada Units are registered pursuant to Section 12(b) of the Exchange Act and are listed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on the NASDAQ under the symbol “AACIU”. The issued and outstanding Armada Shares are registered pursuant to Section 12(b) of the Exchange Act and are listed for trading on the NASDAQ under the symbol “AACI.” The issued and outstanding Public Warrants are registered pursuant to Section 12(b) of the Exchange Act and are listed for trading on the NASDAQ under the symbol “AACIW.” There is no Proceeding pending or, to the knowledge of Armada, threatened in writing against Armada by the NASDAQ or the SEC with respect to any intention by such entity to deregister the Armada Units, the Armada Shares or the Public Warrants or terminate the listing of Armada on the NASDAQ. None of Armada or any of its Affiliates has taken any action in an attempt to terminate the registration of the Armada Units, the Armada Shares or the Public Warrants under the Exchange Act. Armada is not in violation of any of the rules and regulations or applicable continuing listing requirements of the NASDAQ.</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Armada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80" w:firstLine="987"/>
        <w:spacing w:after="0" w:line="282" w:lineRule="auto"/>
        <w:tabs>
          <w:tab w:leader="none" w:pos="135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SEC Reports include true and complete copies of each “material contract” (as such term is defined in Regulation S-K of the SEC) to which Armada is party (the “</w:t>
      </w:r>
      <w:r>
        <w:rPr>
          <w:rFonts w:ascii="Times New Roman" w:cs="Times New Roman" w:eastAsia="Times New Roman" w:hAnsi="Times New Roman"/>
          <w:sz w:val="18"/>
          <w:szCs w:val="18"/>
          <w:u w:val="single" w:color="auto"/>
          <w:color w:val="auto"/>
        </w:rPr>
        <w:t>Armada Material Contracts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Armada Material Contract is in full force and effect and, to the knowledge of Armada, is valid and binding upon and enforceable against each of the parties thereto (subject to applicable bankruptcy, insolvency, reorganization, moratorium or other Laws affecting generally the enforcement of creditors’ rights and subject to general principles of equity).</w:t>
      </w:r>
    </w:p>
    <w:p>
      <w:pPr>
        <w:spacing w:after="0" w:line="1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Armada Disclosure Schedules sets forth all Contracts between (a) Armada,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hand, and (b) any officer, director, employee, partner, member, manager, direct or indirect equityholder or Affiliate of Armada or the Sponsor, on the other hand (each Person identified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Armada Related Party</w:t>
      </w:r>
      <w:r>
        <w:rPr>
          <w:rFonts w:ascii="Times New Roman" w:cs="Times New Roman" w:eastAsia="Times New Roman" w:hAnsi="Times New Roman"/>
          <w:sz w:val="18"/>
          <w:szCs w:val="18"/>
          <w:color w:val="auto"/>
        </w:rPr>
        <w:t xml:space="preserve">”), other than (i) Contracts with respect to an Armada Related Party’s employment with, or the provision of services to, Armada entered into in the ordinary course of business (including benefit plans, indemnification arrangements and other ordinary course compensation) (ii) Contracts with respect to a Pre-Closing Armada Shareholder’s or a holder of Public Warrants’ status as a holder of Armada Shares or Public Warrants, as applicable, and (iii) Contracts entered into after the Original Date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No Armada Related Party (A) owns any interest in any material asset or property used in the business of Armada, (B) possesses, directly or indirectly, any material financial interest in, or is a director or executive officer of, any Person which is a material client, supplier, vendor, partner, customer, lessor or other material business relation of Armada or (C) owes any material amount to, or is owed any material amount by, Armada (other than accrued compensation, employee benefits, employee or director expense reimbursement, in each case, in the ordinary course of business or pursuant to a transaction entered into after the Original Date that is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entered into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All Contracts, arrangements, understandings, interests and other matters that are required to be disclosed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(including, for the avoidance of doubt, pursuant to the second sentence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are referred to herein as “</w:t>
      </w:r>
      <w:r>
        <w:rPr>
          <w:rFonts w:ascii="Times New Roman" w:cs="Times New Roman" w:eastAsia="Times New Roman" w:hAnsi="Times New Roman"/>
          <w:sz w:val="18"/>
          <w:szCs w:val="18"/>
          <w:u w:val="single" w:color="auto"/>
          <w:color w:val="auto"/>
        </w:rPr>
        <w:t>Armada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As of the Original Date, there is (and since its organization, incorporation or formation, as applicable, there has been)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pending or, to Armada’s knowledge, threatened against or involving Armada that, if adversely decided or resolved, would be material to Armada, taken as a whole. As of the Original Date, neither Armada nor any of its properties or assets is subject to any material Order. As of the Original Date, there are no material Proceedings by Armada pending against any other Person.</w:t>
      </w:r>
    </w:p>
    <w:p>
      <w:pPr>
        <w:spacing w:after="0" w:line="176"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Armada (a) conducts (and since its organization, incorporation or formation, as applicable,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its business in accordance with all Laws and Orders applicable to Armada and is not in violation of any such Law or Order, including any Law or Order related to COVID-19 and (b) has not received any written communications or any other communications from a</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4"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Governmental Entity that alleges that Armada is not in compliance with any Law or Order, except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is not and would not reasonably be expected to be, individually or in the aggregate, material to Armada, taken as a whole.</w:t>
      </w:r>
    </w:p>
    <w:p>
      <w:pPr>
        <w:spacing w:after="0" w:line="15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Business Activities</w:t>
      </w:r>
      <w:r>
        <w:rPr>
          <w:rFonts w:ascii="Times New Roman" w:cs="Times New Roman" w:eastAsia="Times New Roman" w:hAnsi="Times New Roman"/>
          <w:sz w:val="18"/>
          <w:szCs w:val="18"/>
          <w:color w:val="auto"/>
        </w:rPr>
        <w:t>. Since its incorporation, Armada has not conducted any business activities other than the activities (a)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or related to its incorporation or continuing corporate (or similar) existence, (b) directed toward the accomplishment of a business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(c) those that are administrative, ministerial or otherwise immaterial in nature. Except as set forth in Armada’s Governing Documents, there is no Contract binding upon Armada or to which Armada is a party which has or would reasonably be expected to have the effect of prohibiting or materially impairing any business practice of Armada, any acquisition of property by Armada or the conduct of business by Armada (including, in each case, following the Closing).</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4.17 </w:t>
      </w:r>
      <w:r>
        <w:rPr>
          <w:rFonts w:ascii="Times New Roman" w:cs="Times New Roman" w:eastAsia="Times New Roman" w:hAnsi="Times New Roman"/>
          <w:sz w:val="18"/>
          <w:szCs w:val="18"/>
          <w:b w:val="1"/>
          <w:bCs w:val="1"/>
          <w:u w:val="single" w:color="auto"/>
          <w:color w:val="auto"/>
        </w:rPr>
        <w:t>Internal Controls; Listing;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not taken any action prohibited by Section 402 of the Sarbanes-Oxley Act.</w:t>
      </w:r>
    </w:p>
    <w:p>
      <w:pPr>
        <w:spacing w:after="0" w:line="225"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initial public offering, Armada has complied in all material respects with all applicable listing and corporate governance rules and regulations of NASDAQ. The classes of securities representing issued and outstanding Armada Shares are registered pursuant to Section 12(b) of the Exchange Act and are listed for trading on NASDAQ. As of the Original Date, there is no material Proceeding pending or, to Armada’s knowledge, threatened against Armada by NASDAQ or the SEC with respect to any intention by such entity to deregister Armada Shares or prohibit or terminate the listing of Armada Shares on NASDAQ. Armada has not taken any action that is designed to terminate the registration of Armada Shares under the Exchange Act.</w:t>
      </w:r>
    </w:p>
    <w:p>
      <w:pPr>
        <w:spacing w:after="0" w:line="187" w:lineRule="exact"/>
        <w:rPr>
          <w:rFonts w:ascii="Times New Roman" w:cs="Times New Roman" w:eastAsia="Times New Roman" w:hAnsi="Times New Roman"/>
          <w:sz w:val="18"/>
          <w:szCs w:val="18"/>
          <w:color w:val="auto"/>
        </w:rPr>
      </w:pPr>
    </w:p>
    <w:p>
      <w:pPr>
        <w:ind w:left="120" w:right="200" w:firstLine="987"/>
        <w:spacing w:after="0" w:line="271" w:lineRule="auto"/>
        <w:tabs>
          <w:tab w:leader="none" w:pos="1356"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Armada SEC Reports contain true and complete copies of the applicable Armada Financial Statements. The Armada Financial Statements (i) fairly present in all material respects the financial position of Armada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Armada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73" w:lineRule="exact"/>
        <w:rPr>
          <w:rFonts w:ascii="Times New Roman" w:cs="Times New Roman" w:eastAsia="Times New Roman" w:hAnsi="Times New Roman"/>
          <w:sz w:val="17"/>
          <w:szCs w:val="17"/>
          <w:color w:val="auto"/>
        </w:rPr>
      </w:pPr>
    </w:p>
    <w:p>
      <w:pPr>
        <w:ind w:left="120" w:right="60" w:firstLine="987"/>
        <w:spacing w:after="0" w:line="258" w:lineRule="auto"/>
        <w:tabs>
          <w:tab w:leader="none" w:pos="1366"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Armada’s assets. Armada maintains and, for all periods covered by the Armada Financial Statements, has maintained books and records of Armada in the ordinary course of business that are accurate and complete and reflect the revenues, expenses, assets and liabilities of Armada in all material respects.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4.18 </w:t>
      </w:r>
      <w:r>
        <w:rPr>
          <w:rFonts w:ascii="Times New Roman" w:cs="Times New Roman" w:eastAsia="Times New Roman" w:hAnsi="Times New Roman"/>
          <w:sz w:val="18"/>
          <w:szCs w:val="18"/>
          <w:b w:val="1"/>
          <w:bCs w:val="1"/>
          <w:u w:val="single" w:color="auto"/>
          <w:color w:val="auto"/>
        </w:rPr>
        <w:t>No Undisclosed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720" w:firstLine="987"/>
        <w:spacing w:after="0" w:line="282" w:lineRule="auto"/>
        <w:tabs>
          <w:tab w:leader="none" w:pos="1356"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Liabilities (a) set forth in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Armada Disclosure Schedules, (b) incurred in connection with the negotiation, preparation or execution of this Agreement or any Ancillary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40"/>
          </w:cols>
          <w:pgMar w:left="320" w:top="454" w:right="4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Document, the performance of its covenants or agreements in this Agreement or any Ancillary Document or the consummation of the transactions contemplated hereby or thereby (including, for the avoidance of doubt, the Armada Expenses and any Liabilities arising out of, or related to, any Proceeding related to this Agreement, the Ancillary Documents or the transactions contemplated hereby or thereby, including any shareholder demand or other shareholder Proceedings (including derivative claims) arising out of, or related to, any of the foregoing), (c) set forth or disclosed in the Armada Financial Statements, (d) that have arisen since the date of the most recent balance sheet included in the Armada SEC Reports in the ordinary course of business, (e) that are either permitted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incurred in accordance with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or (f) that are not, and would not reasonably be expected to be, individually or in the aggregate, material to Armada, taken as a whole, Armada does not have any Liabilities.</w:t>
      </w:r>
    </w:p>
    <w:p>
      <w:pPr>
        <w:spacing w:after="0" w:line="189" w:lineRule="exact"/>
        <w:rPr>
          <w:sz w:val="20"/>
          <w:szCs w:val="20"/>
          <w:color w:val="auto"/>
        </w:rPr>
      </w:pPr>
    </w:p>
    <w:p>
      <w:pPr>
        <w:jc w:val="both"/>
        <w:ind w:left="120" w:right="120" w:firstLine="987"/>
        <w:spacing w:after="0" w:line="266" w:lineRule="auto"/>
        <w:tabs>
          <w:tab w:leader="none" w:pos="136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Closing, Armada will have repaid and/or settled and/or discharged all outstanding Liabilities that it owes to any Person (including, without limitation, the liabilities set out or disclosed in the Armada Disclosure Schedules and Armada Financial Statements and any liabilities in respect of tax whether or not actually due for payment).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4.19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460" w:firstLine="987"/>
        <w:spacing w:after="0" w:line="266" w:lineRule="auto"/>
        <w:tabs>
          <w:tab w:leader="none" w:pos="13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prepared and timely filed all material Tax Returns required to have been filed by it, all such Tax Returns are true and complete in all material respects and prepared in compliance in all material respects with all applicable Laws and Orders, and Armada has paid all material Taxes required to have been paid by it regardless of whether shown on a Tax Return.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61" w:lineRule="exact"/>
        <w:rPr>
          <w:rFonts w:ascii="Times New Roman" w:cs="Times New Roman" w:eastAsia="Times New Roman" w:hAnsi="Times New Roman"/>
          <w:sz w:val="18"/>
          <w:szCs w:val="18"/>
          <w:color w:val="auto"/>
        </w:rPr>
      </w:pPr>
    </w:p>
    <w:p>
      <w:pPr>
        <w:ind w:left="120" w:right="460" w:firstLine="987"/>
        <w:spacing w:after="0" w:line="266" w:lineRule="auto"/>
        <w:tabs>
          <w:tab w:leader="none" w:pos="1366"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Original Date, other than as set forth in or provided by this Agreement or any Ancillary Document, so far as Armada is aware, there are no facts, circumstances or plans that, either alone or in combination, would reasonably be expected to prevent the transactions contemplated by this Agreement from qualifying for the Intended Tax Treatment.</w:t>
      </w:r>
    </w:p>
    <w:p>
      <w:pPr>
        <w:spacing w:after="0" w:line="17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4.20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Except as otherwise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modified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Armada Disclosure Schedule), Armada hereby expressly disclaims and negates, any other express or implied representation or warranty whatsoever (whether at Law or in equity) with respect to Armada, its respective affiliates, and any matter relating to any of them, including their affairs, the condition, value or quality of the assets, liabilities, financial condition or results of operations, or with respect to the accuracy or completeness of any other information made available to the Company, its affiliates or any of their respective Representatives by, or on behalf of, Armada, and any such representations or warranties are expressly disclaimed. Without limiting the generality of the foregoing, except as expressly set forth in this Agreement, neither Armada nor any other person on behalf of Armada has made or makes, any representation or warranty, whether express or implied, with respect to any projections, forecasts, estimates or budgets made available to the Company, its affiliates or any of their respective Representatives of future revenues, future results of operations (or any component thereof), future cash flows or future financial condition (or any component thereof) of Armada (including the reasonableness of the assumptions underlying any of the foregoing), whether or not included in any management presentation or in any other information made available to the Company, its affiliates or any of their respective Representatives or any other person, and that any such representations or warranties are expressly disclaimed.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4" w:right="47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4.21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 TO ARMADA OR ANY OF ITS REPRESENTATIVES OF ANY DOCUMENTATION OR OTHER INFORMATION (INCLUDING ANY FINANCIAL PROJECTIONS OR OTHER SUPPLEMENTAL DATA), ARMADA ACKNOWLEDGES AND AGREES THAT, EXCEPT AS OTHERWISE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THE COMPANY DOES NOT MAKE,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OF EACH GROUP COMPANY THAT HAVE BEEN MADE AVAILABLE TO ARMADA OR ANY OF ITS REPRESENTATIVES OR IN ANY PRESENTATION OF THE BUSINESS AND AFFAIRS OF THE COMPANY BY OR ON BEHALF OF THE MANAGEMENT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ARMADA OR ANY OTHER PERSON IN EXECUTING, DELIVERING OR PERFORMING THIS AGREEMENT, THE ANCILLARY DOCUMENTS OR THE TRANSACTIONS CONTEMPLATED HEREBY OR THEREBY. EXCEPT FOR THE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DOCUMENTS, ARMADA ACKNOWLEDGES AND AGREES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OTHER GROUP COMPANY, AND ARE NOT AND SHALL NOT BE DEEMED TO BE RELIED UPON BY ARMADA OR ANY OTHER PERSON IN EXECUTING, DELIVERING OR PERFORMING THIS AGREEMENT, THE ANCILLARY DOCUMENTS OR THE TRANSACTIONS CONTEMPLATED HEREBY OR THEREBY.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Conduct of Business of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3" w:lineRule="auto"/>
        <w:tabs>
          <w:tab w:leader="none" w:pos="135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Original Date until the earlier of the Closing or the termination of this Agreement in accordance with its terms, the Original Company shall up to and including the date of completion of the Pre-Closing Demerger (and the New Company shall in respect of the period after completion of the Pre-Closing Demerger), and the Original Company shall cause its Subsidiaries up to and including the date of completion of the Pre-Closing Demerger (and the New Company shall cause its Subsidiaries in respect of the period after completion of the Pre-Closing Demerger) to, except as expressly contemplated by this Agreement or any Ancillary Document, as required by applicable Law, as set forth on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of the Company Disclosure Schedules, or as consented to in writing by Armada (such consent not to be unreasonably withheld, conditioned or delayed), (i) operate the business of the Group Companies in the ordinary course in all material respects (including continuing to make capital expenditures in the ordinary course of business and in accordance with the capital expenditure and cash budget delivered to Armada prior to the Original Date), (ii) use commercially reasonable efforts to maintain and preserve intact the business organization, assets, properties and material business relations of the Group Companies, taken as a whole, (iii) use commercially reasonable efforts to keep available the services of the current officers, key employees and consultants of the Company, and (iv) conduct the business of the Group Companies in compliance with applicable Law in all material respects and to notify Armada immediately (upon becoming aware of the same) in the event that any of the representations or warranty contained herein ceases to be true and complete in all material respects.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4" w:right="47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6" w:lineRule="auto"/>
        <w:tabs>
          <w:tab w:leader="none" w:pos="136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from and after the Original Date until the earlier of the Closing or the termination of this Agreement in accordance with its terms, the Original Company shall and shall cause its Subsidiaries up to the Demerger Completion (and the New Company shall cause its Subsidiaries in respect of the period after the Demerger Completion) to, except as expressly contemplated by this Agreement or any Ancillary Document, as required by applicable Law or any Governmental Entity, as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Schedules or as consented to in writing by Armada (it being agreed that any request for such consent shall not be unreasonably withheld, conditioned or delayed), not do any of the following:</w:t>
      </w:r>
    </w:p>
    <w:p>
      <w:pPr>
        <w:spacing w:after="0" w:line="79"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2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 or otherwise pay any fees, commissions, expenses or other amounts to the Company Shareholders or any of their Affiliates (other than compensation paid in the ordinary course of business and otherwise in accordance with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560" w:right="240" w:firstLine="948"/>
        <w:spacing w:after="0" w:line="266" w:lineRule="auto"/>
        <w:tabs>
          <w:tab w:leader="none" w:pos="177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67"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82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supplements, restatements or modifications to any Group Company’s Governing Documents or the Company Shareholder Agreement;</w:t>
      </w:r>
    </w:p>
    <w:p>
      <w:pPr>
        <w:spacing w:after="0" w:line="53" w:lineRule="exact"/>
        <w:rPr>
          <w:rFonts w:ascii="Times New Roman" w:cs="Times New Roman" w:eastAsia="Times New Roman" w:hAnsi="Times New Roman"/>
          <w:sz w:val="18"/>
          <w:szCs w:val="18"/>
          <w:color w:val="auto"/>
        </w:rPr>
      </w:pPr>
    </w:p>
    <w:p>
      <w:pPr>
        <w:jc w:val="both"/>
        <w:ind w:left="560" w:firstLine="948"/>
        <w:spacing w:after="0" w:line="266" w:lineRule="auto"/>
        <w:tabs>
          <w:tab w:leader="none" w:pos="181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assign, abandon, lease, license or otherwise dispose of any material assets or properties, other than inventory or obsolete equipment in the ordinary course of business, or (B) except in the ordinary course of business, create, subject or incur any Lien on or in respect of any material assets or properties (other than any Permitted Liens);</w:t>
      </w:r>
    </w:p>
    <w:p>
      <w:pPr>
        <w:spacing w:after="0" w:line="67" w:lineRule="exact"/>
        <w:rPr>
          <w:rFonts w:ascii="Times New Roman" w:cs="Times New Roman" w:eastAsia="Times New Roman" w:hAnsi="Times New Roman"/>
          <w:sz w:val="18"/>
          <w:szCs w:val="18"/>
          <w:color w:val="auto"/>
        </w:rPr>
      </w:pPr>
    </w:p>
    <w:p>
      <w:pPr>
        <w:ind w:left="560" w:right="120" w:firstLine="948"/>
        <w:spacing w:after="0" w:line="261" w:lineRule="auto"/>
        <w:tabs>
          <w:tab w:leader="none" w:pos="176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material item of Company Owned Intellectual Property to lapse or to be abandoned, invalidated, dedicated to the public, or disclaimed, or otherwise become unenforceable or fail to perform or make any applicable filings, recordings or other similar actions or filings which are required to maintain such Company Owned Intellectual Property in force as it is currently, or fail to pay all required fees and taxes required or advisable to maintain and protect its interest in each and every material item of Company Owned Intellectual Property;</w:t>
      </w:r>
    </w:p>
    <w:p>
      <w:pPr>
        <w:spacing w:after="0" w:line="71" w:lineRule="exact"/>
        <w:rPr>
          <w:rFonts w:ascii="Times New Roman" w:cs="Times New Roman" w:eastAsia="Times New Roman" w:hAnsi="Times New Roman"/>
          <w:sz w:val="18"/>
          <w:szCs w:val="18"/>
          <w:color w:val="auto"/>
        </w:rPr>
      </w:pPr>
    </w:p>
    <w:p>
      <w:pPr>
        <w:jc w:val="both"/>
        <w:ind w:left="560" w:right="360" w:firstLine="948"/>
        <w:spacing w:after="0" w:line="261" w:lineRule="auto"/>
        <w:tabs>
          <w:tab w:leader="none" w:pos="181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issue, sell, grant or otherwise directly or indirectly dispose of, or subject to a Lien (or enter into any Contract with respect to any of the foregoing),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71" w:lineRule="exact"/>
        <w:rPr>
          <w:rFonts w:ascii="Times New Roman" w:cs="Times New Roman" w:eastAsia="Times New Roman" w:hAnsi="Times New Roman"/>
          <w:sz w:val="18"/>
          <w:szCs w:val="18"/>
          <w:color w:val="auto"/>
        </w:rPr>
      </w:pPr>
    </w:p>
    <w:p>
      <w:pPr>
        <w:ind w:left="560" w:right="740" w:firstLine="948"/>
        <w:spacing w:after="0" w:line="282" w:lineRule="auto"/>
        <w:tabs>
          <w:tab w:leader="none" w:pos="186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Indebtedness (other than in the ordinary course of business and which is less than £50,000 individually or in the aggregate);</w:t>
      </w:r>
    </w:p>
    <w:p>
      <w:pPr>
        <w:spacing w:after="0" w:line="53"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forgive any Indebtedness owed to the Company or any of its Subsidiaries;</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compromise or settlement of, or take any other action with respect to, any Proceeding;</w:t>
      </w:r>
    </w:p>
    <w:p>
      <w:pPr>
        <w:spacing w:after="0" w:line="117"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817"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4" w:right="47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70" w:lineRule="auto"/>
        <w:tabs>
          <w:tab w:leader="none" w:pos="1867" w:val="left"/>
        </w:tabs>
        <w:numPr>
          <w:ilvl w:val="1"/>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adopt, enter into, materially amend or modify or terminate any material Employee Benefit Plan of any Group Company or any material benefit or compensation plan, policy, program or Contract that would be an Employee Benefit Plan if in effect as of the Original Date, (B) except as required by Law or in the ordinary course of business, materially increase or decrease the compensation or benefits payable to any current or former director, manager, officer, employee, individual independent contractor or other service provider of any Group Company,</w:t>
      </w:r>
    </w:p>
    <w:p>
      <w:pPr>
        <w:spacing w:after="0" w:line="2" w:lineRule="exact"/>
        <w:rPr>
          <w:rFonts w:ascii="Times New Roman" w:cs="Times New Roman" w:eastAsia="Times New Roman" w:hAnsi="Times New Roman"/>
          <w:sz w:val="17"/>
          <w:szCs w:val="17"/>
          <w:color w:val="auto"/>
        </w:rPr>
      </w:pPr>
    </w:p>
    <w:p>
      <w:pPr>
        <w:ind w:left="560" w:right="20" w:hanging="4"/>
        <w:spacing w:after="0" w:line="253" w:lineRule="auto"/>
        <w:tabs>
          <w:tab w:leader="none" w:pos="84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accelerate any payment, right to payment, or benefit, or the funding of any payment, right to payment or benefit, payable or to become payable to any current or former director, manager, officer, employee, individual independent contractor or other service provider of any Group Company, (D) hire, furlough or terminate (other than for “cause”) any director, officer, or executive-level employee of any Group Company, or (E)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78" w:lineRule="exact"/>
        <w:rPr>
          <w:rFonts w:ascii="Times New Roman" w:cs="Times New Roman" w:eastAsia="Times New Roman" w:hAnsi="Times New Roman"/>
          <w:sz w:val="18"/>
          <w:szCs w:val="18"/>
          <w:color w:val="auto"/>
        </w:rPr>
      </w:pPr>
    </w:p>
    <w:p>
      <w:pPr>
        <w:ind w:left="560" w:right="120" w:firstLine="948"/>
        <w:spacing w:after="0" w:line="266" w:lineRule="auto"/>
        <w:tabs>
          <w:tab w:leader="none" w:pos="191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settlement, conciliation or similar Contract the performance of which would involve the payment by the Group Companies in excess of £100,000, in the aggregate, or that imposes, or by its terms will impose at any point in the future, any material, non-monetary obligations on any Group Company;</w:t>
      </w:r>
    </w:p>
    <w:p>
      <w:pPr>
        <w:spacing w:after="0" w:line="67" w:lineRule="exact"/>
        <w:rPr>
          <w:rFonts w:ascii="Times New Roman" w:cs="Times New Roman" w:eastAsia="Times New Roman" w:hAnsi="Times New Roman"/>
          <w:sz w:val="18"/>
          <w:szCs w:val="18"/>
          <w:color w:val="auto"/>
        </w:rPr>
      </w:pPr>
    </w:p>
    <w:p>
      <w:pPr>
        <w:ind w:left="560" w:firstLine="948"/>
        <w:spacing w:after="0" w:line="282" w:lineRule="auto"/>
        <w:tabs>
          <w:tab w:leader="none" w:pos="190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53" w:lineRule="exact"/>
        <w:rPr>
          <w:rFonts w:ascii="Times New Roman" w:cs="Times New Roman" w:eastAsia="Times New Roman" w:hAnsi="Times New Roman"/>
          <w:sz w:val="18"/>
          <w:szCs w:val="18"/>
          <w:color w:val="auto"/>
        </w:rPr>
      </w:pPr>
    </w:p>
    <w:p>
      <w:pPr>
        <w:ind w:left="560" w:right="160" w:firstLine="948"/>
        <w:spacing w:after="0" w:line="312" w:lineRule="auto"/>
        <w:tabs>
          <w:tab w:leader="none" w:pos="1857"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Group Company’s methods of accounting in any material respect, other than changes that are made in accordance with PCAOB standards, or otherwise required by GAAP or Securities Laws, or change any Group Company’s accounting reference date;</w:t>
      </w:r>
    </w:p>
    <w:p>
      <w:pPr>
        <w:spacing w:after="0" w:line="31" w:lineRule="exact"/>
        <w:rPr>
          <w:rFonts w:ascii="Times New Roman" w:cs="Times New Roman" w:eastAsia="Times New Roman" w:hAnsi="Times New Roman"/>
          <w:sz w:val="17"/>
          <w:szCs w:val="17"/>
          <w:color w:val="auto"/>
        </w:rPr>
      </w:pPr>
    </w:p>
    <w:p>
      <w:pPr>
        <w:jc w:val="both"/>
        <w:ind w:left="560" w:right="500" w:firstLine="948"/>
        <w:spacing w:after="0" w:line="266" w:lineRule="auto"/>
        <w:tabs>
          <w:tab w:leader="none" w:pos="190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67" w:lineRule="exact"/>
        <w:rPr>
          <w:rFonts w:ascii="Times New Roman" w:cs="Times New Roman" w:eastAsia="Times New Roman" w:hAnsi="Times New Roman"/>
          <w:sz w:val="18"/>
          <w:szCs w:val="18"/>
          <w:color w:val="auto"/>
        </w:rPr>
      </w:pPr>
    </w:p>
    <w:p>
      <w:pPr>
        <w:ind w:left="1960" w:hanging="452"/>
        <w:spacing w:after="0"/>
        <w:tabs>
          <w:tab w:leader="none" w:pos="19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grant any Change of Control Payment that is not set forth on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of the Company Disclosure Schedules;</w:t>
      </w:r>
    </w:p>
    <w:p>
      <w:pPr>
        <w:spacing w:after="0" w:line="117"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200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alterations or improvements to the Owned Real Property or the Leased Real Property, or amend any written or oral agreements affecting the Owned Real Property or the Leased Real Property;</w:t>
      </w:r>
    </w:p>
    <w:p>
      <w:pPr>
        <w:spacing w:after="0" w:line="53" w:lineRule="exact"/>
        <w:rPr>
          <w:rFonts w:ascii="Times New Roman" w:cs="Times New Roman" w:eastAsia="Times New Roman" w:hAnsi="Times New Roman"/>
          <w:sz w:val="18"/>
          <w:szCs w:val="18"/>
          <w:color w:val="auto"/>
        </w:rPr>
      </w:pPr>
    </w:p>
    <w:p>
      <w:pPr>
        <w:jc w:val="both"/>
        <w:ind w:left="560" w:right="260" w:firstLine="948"/>
        <w:spacing w:after="0" w:line="266" w:lineRule="auto"/>
        <w:tabs>
          <w:tab w:leader="none" w:pos="190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required by Law, (i) modify, extend, or enter into any CBA or (ii) recognize or certify any labor or trade union, labor organization, works council, or group of employees of the Group Companies as the bargaining representative for any employees of the Group Companies;</w:t>
      </w:r>
    </w:p>
    <w:p>
      <w:pPr>
        <w:spacing w:after="0" w:line="67" w:lineRule="exact"/>
        <w:rPr>
          <w:rFonts w:ascii="Times New Roman" w:cs="Times New Roman" w:eastAsia="Times New Roman" w:hAnsi="Times New Roman"/>
          <w:sz w:val="18"/>
          <w:szCs w:val="18"/>
          <w:color w:val="auto"/>
        </w:rPr>
      </w:pPr>
    </w:p>
    <w:p>
      <w:pPr>
        <w:ind w:left="560" w:right="140" w:firstLine="948"/>
        <w:spacing w:after="0" w:line="261" w:lineRule="auto"/>
        <w:tabs>
          <w:tab w:leader="none" w:pos="185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modify or terminate any Material Contract (excluding, for the avoidance of doubt, any expiration or automatic extension or renewal of any such Material Contract pursuant to its terms) (other than in the ordinary course of business), (B) waive any material benefit or right under any Material Contract or (C) enter into any Contract that would constitute a Material Contract if it had been entered into prior to the Original Date (other than in the ordinary course of business);</w:t>
      </w:r>
    </w:p>
    <w:p>
      <w:pPr>
        <w:spacing w:after="0" w:line="71" w:lineRule="exact"/>
        <w:rPr>
          <w:rFonts w:ascii="Times New Roman" w:cs="Times New Roman" w:eastAsia="Times New Roman" w:hAnsi="Times New Roman"/>
          <w:sz w:val="18"/>
          <w:szCs w:val="18"/>
          <w:color w:val="auto"/>
        </w:rPr>
      </w:pPr>
    </w:p>
    <w:p>
      <w:pPr>
        <w:ind w:left="1900" w:hanging="392"/>
        <w:spacing w:after="0"/>
        <w:tabs>
          <w:tab w:leader="none" w:pos="190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waive any material benefit or right under, any Company Related Party Transaction;</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66" w:lineRule="auto"/>
        <w:tabs>
          <w:tab w:leader="none" w:pos="195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accelerate the collection of accounts receivable, materially delay the payment of accounts payable or accrued expenses, materially delay the purchase of supplies or materially delay capital expenditures, repairs or maintenance or otherwise change the cash management of the Group Companies;</w:t>
      </w:r>
    </w:p>
    <w:p>
      <w:pPr>
        <w:spacing w:after="0" w:line="67" w:lineRule="exact"/>
        <w:rPr>
          <w:rFonts w:ascii="Times New Roman" w:cs="Times New Roman" w:eastAsia="Times New Roman" w:hAnsi="Times New Roman"/>
          <w:sz w:val="18"/>
          <w:szCs w:val="18"/>
          <w:color w:val="auto"/>
        </w:rPr>
      </w:pPr>
    </w:p>
    <w:p>
      <w:pPr>
        <w:ind w:left="560" w:right="380" w:firstLine="948"/>
        <w:spacing w:after="0" w:line="282" w:lineRule="auto"/>
        <w:tabs>
          <w:tab w:leader="none" w:pos="2007"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individually or in the aggregate £250,000 over the annual budgeted amount (as contemplated in the annual budget provided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060"/>
          </w:cols>
          <w:pgMar w:left="320" w:top="454" w:right="51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Armada prior to the Original Date) for the current fiscal year or otherwise materially reduce or fail to make any capital expenditure contemplated by such annual budget;</w:t>
      </w:r>
    </w:p>
    <w:p>
      <w:pPr>
        <w:spacing w:after="0" w:line="54" w:lineRule="exact"/>
        <w:rPr>
          <w:sz w:val="20"/>
          <w:szCs w:val="20"/>
          <w:color w:val="auto"/>
        </w:rPr>
      </w:pPr>
    </w:p>
    <w:p>
      <w:pPr>
        <w:ind w:left="560" w:right="80" w:firstLine="948"/>
        <w:spacing w:after="0" w:line="254" w:lineRule="auto"/>
        <w:tabs>
          <w:tab w:leader="none" w:pos="199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make any material change in any method of accounting, accounting policies or reporting practices for Tax purposes other than changes that are made in accordance with PCAOB standards, or otherwise required by GAAP or Securities Laws; make any material Tax election which is materially inconsistent with past practice; change or revoke any material Tax election in a manner which is materially inconsistent with past practice; file any material Tax Return or amended Tax Return in each case in a manner materially inconsistent with past practice, except as required by applicable Law; surrender any right to claim a refund of Taxes other than surrenders between Group Companies; fail to pay any material Tax as such Tax becomes due and payable unless such Tax is being contested in good faith; settle any material Tax claim or assessment with a Tax Authority; consent to any extension or waiver of the limitation period applicable to or relating to any material Tax claim or assessment by a Tax Authority, other than any such extension or waiver that is obtained in the ordinary course of business; or change its U.S. federal income tax classification; or</w:t>
      </w:r>
    </w:p>
    <w:p>
      <w:pPr>
        <w:spacing w:after="0" w:line="80" w:lineRule="exact"/>
        <w:rPr>
          <w:rFonts w:ascii="Times New Roman" w:cs="Times New Roman" w:eastAsia="Times New Roman" w:hAnsi="Times New Roman"/>
          <w:sz w:val="18"/>
          <w:szCs w:val="18"/>
          <w:color w:val="auto"/>
        </w:rPr>
      </w:pPr>
    </w:p>
    <w:p>
      <w:pPr>
        <w:ind w:left="1940" w:hanging="432"/>
        <w:spacing w:after="0"/>
        <w:tabs>
          <w:tab w:leader="none" w:pos="194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to take, or cause to be taken, any of the actions set forth in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aforementioned provisions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not apply to the proposed transfer of up to 44,692,737 Company Shares currently held at the Original Date by DBLP Sea Cow Limited to M1 RE Limited (or an equivalent number, subject to any adjustment to reflect the Pre- Closing Reorganization).</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Efforts to Consummate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the satisfaction, but not waiver, of the closing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and, in the case of any Ancillary Document to which such Party will be a party after the Original Date, to execute and deliver such Ancillary Document when required pursuant to this Agreement, and (ii) the Company taking, or causing to be taken, all actions necessary or advisable to cause the agreements set forth on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of the Company Disclosure Schedules to be terminated effective as of the Closing without any further obligations or Liabilities to the Company or any of its Affiliates (including the other Group Companies and, from and after the Closing, Armada)).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Armada shall promptly inform the Company of any material communication between Armada, on the one hand, and any Governmental Entity, on the other hand, and the Company shall promptly inform Armada of any material communication between the Company or any other Group Company, on the one hand, and any Governmental Entity, on the other hand, in either case, regarding any of the transactions contemplated by this Agreement or any Ancillary Document. Without limiting the foregoing, each Party and their respective Affiliates shall not enter into any agreement with any Governmental Entity not to consummate the transactions contemplated hereby or by the Ancillary Documents, except with the prior written consent of Armada and the Company. In furtherance and not in limitation of the foregoing in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to the extent required under any Antitrust Laws, each party hereto agrees to promptly (and in connection with any required filings under the HSR Act, no later than ten (10) Business Days after the Original Date) make any required filing or application under Antitrust Laws, as applicable. Further, notwithstanding anything to the contrary contained in this Agreement, the Parties agree and acknowledge that any costs or fees related to any required filing or application under Antitrust Laws shall be borne 50/50 by Armada and the Company.</w:t>
      </w:r>
    </w:p>
    <w:p>
      <w:pPr>
        <w:spacing w:after="0" w:line="190"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in the event that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conflicts with any other covenant or agreement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is intended to specifically address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4"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matter, then such other covenant or agreement shall govern and control solely to the extent of such conflict.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Confidentiality and 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20" w:firstLine="987"/>
        <w:spacing w:after="0" w:line="256" w:lineRule="auto"/>
        <w:tabs>
          <w:tab w:leader="none" w:pos="135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87"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Original Date until the earlier of the Closing Date or the termination of this Agreement in accordance with its terms, upon reasonable advance written notice, the Company shall provide, or cause to be provided, to Armada and its Representatives during normal business hours reasonable access to the directors, officers, books and records and properties of the Group Companies (in a manner so as to not interfere with the normal business operations of the Group Companies) as Armada or its Representatives may from time to time reasonably request. Notwithstanding the foregoing, none of the Group Companies shall be required to provide to Armada or any of its Representatives any information (i) if and to the extent doing so would (A) result in the disclosure of any trade secrets of third parties in breach of any Contract with such third party, (B) jeopardize protections afforded to any Group Company under the attorney-client or solicitor-client privilege or the attorney work product doctrine or (C) be a risk to the health or safety of any Group Company personnel or the personnel of any of their respective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case of each of </w:t>
      </w:r>
      <w:r>
        <w:rPr>
          <w:rFonts w:ascii="Times New Roman" w:cs="Times New Roman" w:eastAsia="Times New Roman" w:hAnsi="Times New Roman"/>
          <w:sz w:val="17"/>
          <w:szCs w:val="17"/>
          <w:u w:val="single" w:color="auto"/>
          <w:color w:val="auto"/>
        </w:rPr>
        <w:t>clauses</w:t>
      </w:r>
    </w:p>
    <w:p>
      <w:pPr>
        <w:ind w:left="120" w:right="160" w:hanging="4"/>
        <w:spacing w:after="0" w:line="252" w:lineRule="auto"/>
        <w:tabs>
          <w:tab w:leader="none" w:pos="415" w:val="left"/>
        </w:tabs>
        <w:numPr>
          <w:ilvl w:val="0"/>
          <w:numId w:val="4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Company shall,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on the one hand, and Armada or any of its Representatives, on the other hand, are adverse parties in a litigation and such information is reasonably pertinent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provide prompt written notice of the withholding of access or information on any such basis unless such written notice is prohibited by applicable Law.</w:t>
      </w:r>
    </w:p>
    <w:p>
      <w:pPr>
        <w:spacing w:after="0" w:line="189" w:lineRule="exact"/>
        <w:rPr>
          <w:rFonts w:ascii="Times New Roman" w:cs="Times New Roman" w:eastAsia="Times New Roman" w:hAnsi="Times New Roman"/>
          <w:sz w:val="18"/>
          <w:szCs w:val="18"/>
          <w:u w:val="single" w:color="auto"/>
          <w:color w:val="auto"/>
        </w:rPr>
      </w:pPr>
    </w:p>
    <w:p>
      <w:pPr>
        <w:ind w:left="120" w:right="340" w:firstLine="987"/>
        <w:spacing w:after="0" w:line="282" w:lineRule="auto"/>
        <w:tabs>
          <w:tab w:leader="none" w:pos="135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acknowledge and agree that the Confidentiality Agreement shall be automatically terminated effective as of the Closing without any further action by any Party or any other Person.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Public Announcements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0" w:firstLine="987"/>
        <w:spacing w:after="0" w:line="253"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none of the Parties or any of their respective Representatives shall issue any press releases or make any public announcements with respect to this Agreement or the transactions contemplated hereby without the prior written consent of the Company and Armada; provided, however, that each Party, the Sponsor and their respective Representatives may issue or make, as applicable, any such press release, public announcement or other communication (i) if such press release, public announcement or other communication is required by applicable Law (including the rules of any applicable stock exchange with jurisdiction), in which case, the disclosing Party or its applicable Representatives shall, unless and to the extent prohibited by such applicable Law, (x) if the disclosing Person is Armada or a Representative of Armada, reasonably consult with the Company in connection therewith and provide the Company with an opportunity to review and comment on such press release, public announcement or communication and shall consider any such comments in good faith, or (y) if the disclosing Party is the Company or a Representative of the Company, reasonably consult with Armada in connection therewith and provide Armada with an opportunity to review and comment on such press release, public announcement or communication and shall consider any such comments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00"/>
          </w:cols>
          <w:pgMar w:left="320" w:top="454" w:right="47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in good faith, (ii) to the extent such press release, public announcements or other communications contain only information previously disclosed in a press release, public announcement or other communication previously made in accordance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(iii) to Governmental Entities in connection with any Consents required to be made under this Agreement, the Ancillary Documents or in connection with the transactions contemplated hereby or thereby. Notwithstanding anything to the contrary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otherwise in this Agreement, the Parties agree that Armada, the Sponsor, the Company and their respective Representatives may provide general information about the subject matter of this Agreement and the transactions contemplated hereby to any direct or indirect former, current or prospective investor or in connection with normal fund raising or related marketing or informational or reporting activities.</w:t>
      </w:r>
    </w:p>
    <w:p>
      <w:pPr>
        <w:spacing w:after="0" w:line="189" w:lineRule="exact"/>
        <w:rPr>
          <w:sz w:val="20"/>
          <w:szCs w:val="20"/>
          <w:color w:val="auto"/>
        </w:rPr>
      </w:pPr>
    </w:p>
    <w:p>
      <w:pPr>
        <w:ind w:left="120" w:firstLine="987"/>
        <w:spacing w:after="0" w:line="251" w:lineRule="auto"/>
        <w:tabs>
          <w:tab w:leader="none" w:pos="136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press release concerning this Agreement and the transactions contemplated hereby shall be a joint press release in the form agreed by the Company and Armada prior to the execution of this Agreement and such initial press release (the “</w:t>
      </w:r>
      <w:r>
        <w:rPr>
          <w:rFonts w:ascii="Times New Roman" w:cs="Times New Roman" w:eastAsia="Times New Roman" w:hAnsi="Times New Roman"/>
          <w:sz w:val="18"/>
          <w:szCs w:val="18"/>
          <w:u w:val="single" w:color="auto"/>
          <w:color w:val="auto"/>
        </w:rPr>
        <w:t>Signing Press Release</w:t>
      </w:r>
      <w:r>
        <w:rPr>
          <w:rFonts w:ascii="Times New Roman" w:cs="Times New Roman" w:eastAsia="Times New Roman" w:hAnsi="Times New Roman"/>
          <w:sz w:val="18"/>
          <w:szCs w:val="18"/>
          <w:color w:val="auto"/>
        </w:rPr>
        <w:t>”) shall be released as promptly as reasonably practicable after the Original Date. Promptly after the execution of this Agreement on the Original Date, Armada shall file a current report on Form 8-K (the “</w:t>
      </w:r>
      <w:r>
        <w:rPr>
          <w:rFonts w:ascii="Times New Roman" w:cs="Times New Roman" w:eastAsia="Times New Roman" w:hAnsi="Times New Roman"/>
          <w:sz w:val="18"/>
          <w:szCs w:val="18"/>
          <w:u w:val="single" w:color="auto"/>
          <w:color w:val="auto"/>
        </w:rPr>
        <w:t>Signing Filing</w:t>
      </w:r>
      <w:r>
        <w:rPr>
          <w:rFonts w:ascii="Times New Roman" w:cs="Times New Roman" w:eastAsia="Times New Roman" w:hAnsi="Times New Roman"/>
          <w:sz w:val="18"/>
          <w:szCs w:val="18"/>
          <w:color w:val="auto"/>
        </w:rPr>
        <w:t>”) with the Signing Press Release and a description of this Agreement as required by, and in compliance with, the Securities Laws, which the Company shall have the opportunity to review and comment upon prior to filing and Armada shall consider such comments in good faith. A press release concerning this Agreement and the transactions contemplated hereby, each as amended hereby, shall be a joint press release in the form agreed by the Company and Armada prior to the execution hereof as of the Second Amendment Date and such press release (the “</w:t>
      </w:r>
      <w:r>
        <w:rPr>
          <w:rFonts w:ascii="Times New Roman" w:cs="Times New Roman" w:eastAsia="Times New Roman" w:hAnsi="Times New Roman"/>
          <w:sz w:val="18"/>
          <w:szCs w:val="18"/>
          <w:u w:val="single" w:color="auto"/>
          <w:color w:val="auto"/>
        </w:rPr>
        <w:t>Amendment Press Release</w:t>
      </w:r>
      <w:r>
        <w:rPr>
          <w:rFonts w:ascii="Times New Roman" w:cs="Times New Roman" w:eastAsia="Times New Roman" w:hAnsi="Times New Roman"/>
          <w:sz w:val="18"/>
          <w:szCs w:val="18"/>
          <w:color w:val="auto"/>
        </w:rPr>
        <w:t>”) shall be released as promptly as reasonably practicable after the Second Amendment Date. Promptly after the execution of this Agreement on the Second Amendment Date, Armada shall file a current report on Form 8-K (the “</w:t>
      </w:r>
      <w:r>
        <w:rPr>
          <w:rFonts w:ascii="Times New Roman" w:cs="Times New Roman" w:eastAsia="Times New Roman" w:hAnsi="Times New Roman"/>
          <w:sz w:val="18"/>
          <w:szCs w:val="18"/>
          <w:u w:val="single" w:color="auto"/>
          <w:color w:val="auto"/>
        </w:rPr>
        <w:t>Amendment Filing</w:t>
      </w:r>
      <w:r>
        <w:rPr>
          <w:rFonts w:ascii="Times New Roman" w:cs="Times New Roman" w:eastAsia="Times New Roman" w:hAnsi="Times New Roman"/>
          <w:sz w:val="18"/>
          <w:szCs w:val="18"/>
          <w:color w:val="auto"/>
        </w:rPr>
        <w:t>”) with the Amendment Press Release and a description of this Agreement as required by, and in compliance with, the Securities Laws, which the Company shall have the opportunity to review and comment upon prior to filing and Armada shall consider such comments in good faith. The Company, on the one hand, and Armada, on the other hand, shall mutually agree upon (such agreement not to be unreasonably withheld, conditioned or delayed by either the Company or Armada, as applicable) a press release announcing the consummation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prior to the Closing, and, on the Closing Date (or such other date as may be mutually agreed to in writing by Armada and the Company prior to the Closing), the Parties shall cause the Closing Press Release to be released. Promptly after the Closing (but in any event within four</w:t>
      </w:r>
    </w:p>
    <w:p>
      <w:pPr>
        <w:spacing w:after="0" w:line="11" w:lineRule="exact"/>
        <w:rPr>
          <w:rFonts w:ascii="Times New Roman" w:cs="Times New Roman" w:eastAsia="Times New Roman" w:hAnsi="Times New Roman"/>
          <w:sz w:val="18"/>
          <w:szCs w:val="18"/>
          <w:color w:val="auto"/>
        </w:rPr>
      </w:pPr>
    </w:p>
    <w:p>
      <w:pPr>
        <w:ind w:left="120" w:hanging="4"/>
        <w:spacing w:after="0" w:line="252" w:lineRule="auto"/>
        <w:tabs>
          <w:tab w:leader="none" w:pos="37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the Company shall file or cause to be filed a Form 20-F (the “</w:t>
      </w:r>
      <w:r>
        <w:rPr>
          <w:rFonts w:ascii="Times New Roman" w:cs="Times New Roman" w:eastAsia="Times New Roman" w:hAnsi="Times New Roman"/>
          <w:sz w:val="18"/>
          <w:szCs w:val="18"/>
          <w:u w:val="single" w:color="auto"/>
          <w:color w:val="auto"/>
        </w:rPr>
        <w:t>Closing Filing</w:t>
      </w:r>
      <w:r>
        <w:rPr>
          <w:rFonts w:ascii="Times New Roman" w:cs="Times New Roman" w:eastAsia="Times New Roman" w:hAnsi="Times New Roman"/>
          <w:sz w:val="18"/>
          <w:szCs w:val="18"/>
          <w:color w:val="auto"/>
        </w:rPr>
        <w:t>”) as required by Securities Laws, which Closing Filing shall be mutually agreed upon by the Company and Armada prior to the Closing (such agreement not to be unreasonable withheld, conditioned or delayed by either the Company or Armada,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Tax Matters</w:t>
      </w:r>
    </w:p>
    <w:p>
      <w:pPr>
        <w:spacing w:after="0" w:line="229" w:lineRule="exact"/>
        <w:rPr>
          <w:sz w:val="20"/>
          <w:szCs w:val="20"/>
          <w:color w:val="auto"/>
        </w:rPr>
      </w:pPr>
    </w:p>
    <w:p>
      <w:pPr>
        <w:jc w:val="both"/>
        <w:ind w:left="120" w:right="220" w:firstLine="987"/>
        <w:spacing w:after="0" w:line="312" w:lineRule="auto"/>
        <w:tabs>
          <w:tab w:leader="none" w:pos="1356"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 Party to the Business Combination Agreement makes any representation or provides any assurances to any other Party to the Business Combination Agreement or to any Armada stockholder or security holder as to the Tax treatment of the Business Combination.</w:t>
      </w:r>
    </w:p>
    <w:p>
      <w:pPr>
        <w:spacing w:after="0" w:line="139" w:lineRule="exact"/>
        <w:rPr>
          <w:rFonts w:ascii="Times New Roman" w:cs="Times New Roman" w:eastAsia="Times New Roman" w:hAnsi="Times New Roman"/>
          <w:sz w:val="17"/>
          <w:szCs w:val="17"/>
          <w:color w:val="auto"/>
        </w:rPr>
      </w:pPr>
    </w:p>
    <w:p>
      <w:pPr>
        <w:ind w:left="120" w:right="20" w:firstLine="987"/>
        <w:spacing w:after="0" w:line="258" w:lineRule="auto"/>
        <w:tabs>
          <w:tab w:leader="none" w:pos="136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 Cooperation</w:t>
      </w:r>
      <w:r>
        <w:rPr>
          <w:rFonts w:ascii="Times New Roman" w:cs="Times New Roman" w:eastAsia="Times New Roman" w:hAnsi="Times New Roman"/>
          <w:sz w:val="18"/>
          <w:szCs w:val="18"/>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080"/>
          </w:cols>
          <w:pgMar w:left="320" w:top="454" w:right="49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Exclusive Dealing</w:t>
      </w:r>
      <w:r>
        <w:rPr>
          <w:rFonts w:ascii="Times New Roman" w:cs="Times New Roman" w:eastAsia="Times New Roman" w:hAnsi="Times New Roman"/>
          <w:sz w:val="18"/>
          <w:szCs w:val="18"/>
          <w:color w:val="auto"/>
        </w:rPr>
        <w:t>. From the Original Date until the earlier of the Closing or the termination of this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Company shall not, and shall cause the other Group Companies and its and their respective Representatives not to, directly or indirectly:</w:t>
      </w:r>
    </w:p>
    <w:p>
      <w:pPr>
        <w:spacing w:after="0" w:line="1" w:lineRule="exact"/>
        <w:rPr>
          <w:sz w:val="20"/>
          <w:szCs w:val="20"/>
          <w:color w:val="auto"/>
        </w:rPr>
      </w:pPr>
    </w:p>
    <w:p>
      <w:pPr>
        <w:ind w:left="120" w:hanging="4"/>
        <w:spacing w:after="0" w:line="251" w:lineRule="auto"/>
        <w:tabs>
          <w:tab w:leader="none" w:pos="33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(including by means of furnishing or disclosing non-public information), knowingly facilitate, discuss with any third party or negotiate, directly or indirectly, any inquiry, proposal or offer (written or oral) with respect to a Company Acquisition Proposal; (ii) furnish or disclose any non-public information to any Person in connection with, or that would reasonably be expected to lead to, a Company Acquisition Proposal; (iii) enter into any Contract or other arrangement or understanding regarding a Company Acquisition Proposal; (iv) prepare or take any steps in connection with a public offering of any Equity Securities or other securities of any Group Company (or any controlled Affiliate or successor of any Group Company); or (v) otherwise cooperate in any way with, or assist or participate in, or facilitate or knowingly encourage any effort or attempt by any Person to do or seek to do any of the foregoing. The Company agrees to (A) notify Armada promptly upon receipt of any Company Acquisition Proposal by any Group Company, and to describe the material terms and conditions of any such Company Acquisition Proposal in reasonable detail (including the identity of the Persons making such Company Acquisition Proposal) and (B) keep Armada reasonably informed on a prompt basis of any modifications to such offer or information.</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Preparation of Registration Statement / Proxy Statement</w:t>
      </w:r>
      <w:r>
        <w:rPr>
          <w:rFonts w:ascii="Times New Roman" w:cs="Times New Roman" w:eastAsia="Times New Roman" w:hAnsi="Times New Roman"/>
          <w:sz w:val="18"/>
          <w:szCs w:val="18"/>
          <w:color w:val="auto"/>
        </w:rPr>
        <w:t>. As promptly as reasonably practicable following the Original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Armada shall prepare (with the Company’s reasonable assistance and co-operation, including with respect to the Company’s delivery of the Closing Company Audited Financial Statements in accordance with this Agreement), and the Company shall file with the SEC, the Registration Statement / Proxy Statement (it being understood that the Registration Statement / Proxy Statement shall include (i) a prospectus of the New Company for the registration with the SEC of the offering of the New Company Shares comprising the Aggregate Stock Consideration and Armada’s Public Shares and Public Warrants, and (ii) a proxy statement of Armada which will be used for the Armada Shareholders Meeting to adopt and approve the Transaction Proposals and other matters reasonably related to the Transaction Proposals, all in accordance with and as required by Armada’s Governing Documents, applicable Law, and any applicable rules and regulations of the SEC and NASDAQ). For the avoidance of doubt, Armada and the Company shall have no obligations to file with the SEC the Registration Statement/Proxy Statement or any amendment thereto, unless and until the Company shall have delivered the Closing Company Audited Financial Statements and, if and as applicable the Other Closing Company Financial Statements in each case, in accordance with this Agreement. Each of Armada and the Company shall use its respective reasonable best efforts (in each case to the extent within its control) to (a) cause the Registration Statement / Proxy Statement to comply in all material respects with the applicable rules and regulations promulgated by the SEC (including, with respect to the Group Companies, the provision of financial statements (including the Closing Company Audited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Armada, on the one hand, and the Company, on the other hand, shall promptly furnish, or cause to be furnished, to the other all information concerning such Party, its Non-Party Affiliates and their respective Representatives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or for inclusion in any other statement, filing, notice or application made by or on behalf of Armada or the Company to the SEC or NASDAQ in connection with the transactions contemplated by this Agreement or the Ancillary Documents, including delivering the tax representation letters as provided by</w:t>
      </w:r>
    </w:p>
    <w:p>
      <w:pPr>
        <w:spacing w:after="0" w:line="12"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to enable the delivery of any tax opinions requested or required by the SEC to be submitted in connection therewith as described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If any Party becomes aware of any information that should be disclosed in an amendment or supplement to the Registration Statement / Proxy Statement, then (i) such Party shall promptly inform, in the case of Armada, the Company, or, in the case of the Company, Armada, thereof; (ii) such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4"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shall prepare and mutually agree upon with, in the case of Armada, the Company, or, in the case of the Company, Armada (in either case, such agreement not to be unreasonably withheld, conditioned or delayed), an amendment or supplement to the Registration Statement / Proxy Statement;</w:t>
      </w:r>
    </w:p>
    <w:p>
      <w:pPr>
        <w:spacing w:after="0" w:line="1" w:lineRule="exact"/>
        <w:rPr>
          <w:sz w:val="20"/>
          <w:szCs w:val="20"/>
          <w:color w:val="auto"/>
        </w:rPr>
      </w:pPr>
    </w:p>
    <w:p>
      <w:pPr>
        <w:ind w:left="120" w:hanging="4"/>
        <w:spacing w:after="0" w:line="251" w:lineRule="auto"/>
        <w:tabs>
          <w:tab w:leader="none" w:pos="43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such mutually agreed upon amendment or supplement with the SEC; and (iv) the Parties shall reasonably cooperate, if appropriate, in mailing such amendment or supplement to the Pre-Closing Armada Shareholders. The Company and Armada shall as promptly as reasonably practicable advise the other of the time of effectiveness of the Registration Statement / Proxy Statement, the issuance of any stop order relating thereto or the suspension of the qualification of the Company Shares for offering or sale in any jurisdiction, and Armada and the Company shall each use its reasonable best efforts to have any such stop order or suspension lifted, reversed or otherwise terminated. Each of the Parties shall use reasonable best efforts to ensure that none of the information related to such Party or its Non-Party Affiliates or Representatives, supplied by or on its behalf for inclusion or incorporation by reference in the Registration Statement / Proxy Statement will, at the time the Registration Statement / Proxy Statement is initially filed with the SEC, at each time at which it is amended, at the time it becomes effective under the Securities Act, and when the Registration Statement / Proxy Statement is mailed to the Pre-Closing Armada Shareholders and at the time of the Armada Shareholders Meeting contain any untrue statement of a material fact or omit to state any material fact required to be stated therein or necessary to make the statements therein, in light of the circumstances under which they are made, not misleading.</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b w:val="1"/>
          <w:bCs w:val="1"/>
          <w:u w:val="single" w:color="auto"/>
          <w:color w:val="auto"/>
        </w:rPr>
        <w:t>Armada Shareholder Approval</w:t>
      </w:r>
      <w:r>
        <w:rPr>
          <w:rFonts w:ascii="Times New Roman" w:cs="Times New Roman" w:eastAsia="Times New Roman" w:hAnsi="Times New Roman"/>
          <w:sz w:val="17"/>
          <w:szCs w:val="17"/>
          <w:color w:val="auto"/>
        </w:rPr>
        <w:t>. As promptly as reasonably practicable following the time at which the Registration Statement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 is declared effective under the Securities Act, Armada shall (a) duly give notice of and (b) duly convene and promptly hold an annual meeting of its shareholders (the “</w:t>
      </w:r>
      <w:r>
        <w:rPr>
          <w:rFonts w:ascii="Times New Roman" w:cs="Times New Roman" w:eastAsia="Times New Roman" w:hAnsi="Times New Roman"/>
          <w:sz w:val="17"/>
          <w:szCs w:val="17"/>
          <w:u w:val="single" w:color="auto"/>
          <w:color w:val="auto"/>
        </w:rPr>
        <w:t>Armada Shareholders Meeting</w:t>
      </w:r>
      <w:r>
        <w:rPr>
          <w:rFonts w:ascii="Times New Roman" w:cs="Times New Roman" w:eastAsia="Times New Roman" w:hAnsi="Times New Roman"/>
          <w:sz w:val="17"/>
          <w:szCs w:val="17"/>
          <w:color w:val="auto"/>
        </w:rPr>
        <w:t xml:space="preserve">”) in accordance with the Governing Documents of Armada, for the purposes of obtaining the Armada Shareholder Approval and, if applicable, any approvals related thereto and providing its applicable shareholders with the opportunity to elect to effect an Armada Shareholder Redemption. Armada shall, through the Armada Board, recommend to its shareholders, (A) the adoption and approval of this Agreement and the transactions contemplated hereby (including the transactions contemplated by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and the Company Reorganization) (collectively, the “</w:t>
      </w:r>
      <w:r>
        <w:rPr>
          <w:rFonts w:ascii="Times New Roman" w:cs="Times New Roman" w:eastAsia="Times New Roman" w:hAnsi="Times New Roman"/>
          <w:sz w:val="17"/>
          <w:szCs w:val="17"/>
          <w:u w:val="single" w:color="auto"/>
          <w:color w:val="auto"/>
        </w:rPr>
        <w:t>Business Combination Proposal</w:t>
      </w:r>
      <w:r>
        <w:rPr>
          <w:rFonts w:ascii="Times New Roman" w:cs="Times New Roman" w:eastAsia="Times New Roman" w:hAnsi="Times New Roman"/>
          <w:sz w:val="17"/>
          <w:szCs w:val="17"/>
          <w:color w:val="auto"/>
        </w:rPr>
        <w:t>”); (B) the adoption and approval of the transactions contemplated by this Agreement, including the Pre-Closing Demerger, Company Reorganization, the PIPE Financing and to the extent applicable, the Merger (including any change of control in connection with the foregoing), in each case, as required by NASDAQ listing requirements (the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Proposal</w:t>
      </w:r>
      <w:r>
        <w:rPr>
          <w:rFonts w:ascii="Times New Roman" w:cs="Times New Roman" w:eastAsia="Times New Roman" w:hAnsi="Times New Roman"/>
          <w:sz w:val="17"/>
          <w:szCs w:val="17"/>
          <w:color w:val="auto"/>
        </w:rPr>
        <w:t>”); (C) the adoption and approval of the Company Incentive Equity Plan (the “</w:t>
      </w:r>
      <w:r>
        <w:rPr>
          <w:rFonts w:ascii="Times New Roman" w:cs="Times New Roman" w:eastAsia="Times New Roman" w:hAnsi="Times New Roman"/>
          <w:sz w:val="17"/>
          <w:szCs w:val="17"/>
          <w:u w:val="single" w:color="auto"/>
          <w:color w:val="auto"/>
        </w:rPr>
        <w:t>Incentive Equity Plan Proposal</w:t>
      </w:r>
      <w:r>
        <w:rPr>
          <w:rFonts w:ascii="Times New Roman" w:cs="Times New Roman" w:eastAsia="Times New Roman" w:hAnsi="Times New Roman"/>
          <w:sz w:val="17"/>
          <w:szCs w:val="17"/>
          <w:color w:val="auto"/>
        </w:rPr>
        <w:t>”); (D) the adoption and approval of each other proposal that either the SEC or NASDAQ (or the respective staff members thereof) indicates is necessary in its comments to the Registration Statement / Proxy Statement or in correspondence related thereto; (E) the adoption and approval of each other proposal reasonably agreed to by Armada and the Company as necessary or appropriate in connection with the consummation of the transactions contemplated by this Agreement or the Ancillary Documents; and (F) the adoption and approval of a proposal for the postponement or adjournment of the Armada Shareholders Meeting, if necessary, to permit further solicitation of proxies because there are not sufficient votes to approve and adopt any of the foregoing (such proposals in</w:t>
      </w:r>
    </w:p>
    <w:p>
      <w:pPr>
        <w:ind w:left="420" w:hanging="304"/>
        <w:spacing w:after="0"/>
        <w:tabs>
          <w:tab w:leader="none" w:pos="42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collectively, the “</w:t>
      </w:r>
      <w:r>
        <w:rPr>
          <w:rFonts w:ascii="Times New Roman" w:cs="Times New Roman" w:eastAsia="Times New Roman" w:hAnsi="Times New Roman"/>
          <w:sz w:val="18"/>
          <w:szCs w:val="18"/>
          <w:u w:val="single" w:color="auto"/>
          <w:color w:val="auto"/>
        </w:rPr>
        <w:t>Transaction Proposals</w:t>
      </w:r>
      <w:r>
        <w:rPr>
          <w:rFonts w:ascii="Times New Roman" w:cs="Times New Roman" w:eastAsia="Times New Roman" w:hAnsi="Times New Roman"/>
          <w:sz w:val="18"/>
          <w:szCs w:val="18"/>
          <w:color w:val="auto"/>
        </w:rPr>
        <w:t>”). The Armada Board recommendation contemplated by the preceding sentence shall be</w:t>
      </w:r>
    </w:p>
    <w:p>
      <w:pPr>
        <w:spacing w:after="0" w:line="9" w:lineRule="exact"/>
        <w:rPr>
          <w:rFonts w:ascii="Times New Roman" w:cs="Times New Roman" w:eastAsia="Times New Roman" w:hAnsi="Times New Roman"/>
          <w:sz w:val="18"/>
          <w:szCs w:val="18"/>
          <w:color w:val="auto"/>
        </w:rPr>
      </w:pPr>
    </w:p>
    <w:p>
      <w:pPr>
        <w:ind w:left="1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the Registration Statement / Proxy Statement. Notwithstanding the foregoing or anything to the contrary herein, Armada may postpone or adjourn the Armada Shareholders Meeting, after reasonable consultation with the Company (and after taking into account the Company’s input), (1) to solicit additional proxies for the purpose of obtaining the Armada Shareholder Approval, (2) for the absence of a quorum, (3) to allow reasonable additional time for the filing or mailing of any supplemental or amended disclosures that Armada has determined, based on the advice of outside legal counsel, is reasonably likely to be required under applicable Law and for such supplemental or amended disclosure to be disseminated and reviewed by the Pre-Closing Armada Shareholders prior to the Armada Shareholders Meeting or (4) if the holders of Armada Shares have elected to redeem a number of Armada Shares as of such time that would reasonably be expected to result in the condition set forth in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not being satisfied.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4" w:right="45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Conduct of Business of Armada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73" w:lineRule="auto"/>
        <w:tabs>
          <w:tab w:leader="none" w:pos="1356"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Original Date until the earlier of the Closing or the termination of this Agreement in accordance with its terms, Armada shall except as expressly contemplated by this Agreement or any Ancillary Document (including, for the avoidance of doubt, in connection with or as a result of the Pre-Closing Reorganization, the Armada Shareholder Redemption or the PIPE Financing), as required by applicable Law, as set forth on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of the Armada Disclosure Schedules, or as consented to in writing by the Company (such consent not to be unreasonably withheld, conditioned or delayed and in any event), (i) operate the business of Armada in the ordinary course in all material respects, (ii) use commercially reasonable efforts to maintain and preserve intact the business organization, assets, properties and material business relations of the Armada, taken as a whole, and (iii) not take any action with respect to itself that the Company and its Subsidiaries are prohibited from taking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NASDAQ Listing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460" w:firstLine="987"/>
        <w:spacing w:after="0" w:line="258" w:lineRule="auto"/>
        <w:tabs>
          <w:tab w:leader="none" w:pos="135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use its reasonable best efforts to (i) cause the Company Securities issuable in accordance with this Agreement to be approved for listing on NASDAQ, subject to official notice of issuance thereof, and (ii) to satisfy any applicable initial and continuing listing requirements of NASDAQ, in each case as promptly as reasonably practicable after the Original Date, and in any event prior to the Closing. The Company shall, and shall cause its Representatives to, reasonably cooperate with Armada and each of its Representatives in connection with the foregoing.</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Original Date through the Closing, Armada shall notify the Company of any communications or correspondence received from the NASDAQ with respect to (i) the listing of the Company Shares or other securities of Armada or the Company, (ii) compliance by Armada or the Company with the rules and regulations of the NASDAQ, and (iii) any potential suspension of listing or delisting action contemplated or threatened by the NASDAQ with respect to the Company Shares or other securities of Armada or the Company.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Upon satisfaction or, to the extent permitted by applicable Law, waiver in writing of the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provision of notice thereof to the Trustee, (a) at the Closing, Armada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Armada pursuant to the Armada Shareholder Redemption, (B) pay the amounts due to the underwriters of Armada’s initial public offering for their deferred underwriting commissions as set forth in the Trust Agreement and</w:t>
      </w:r>
    </w:p>
    <w:p>
      <w:pPr>
        <w:spacing w:after="0" w:line="3" w:lineRule="exact"/>
        <w:rPr>
          <w:sz w:val="20"/>
          <w:szCs w:val="20"/>
          <w:color w:val="auto"/>
        </w:rPr>
      </w:pPr>
    </w:p>
    <w:p>
      <w:pPr>
        <w:ind w:left="120" w:right="80" w:hanging="4"/>
        <w:spacing w:after="0" w:line="255" w:lineRule="auto"/>
        <w:tabs>
          <w:tab w:leader="none" w:pos="40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thereafter, pay all remaining amounts then available in the Trust Account to Armada, or as directed by Armada, in accordance with the Trust Agreement, and (D) cause the Promissory Note to be issued in accordance with this Agreement and (b) thereafter, the Trust Account shall terminate, except as otherwise provided therein.</w:t>
      </w:r>
    </w:p>
    <w:p>
      <w:pPr>
        <w:spacing w:after="0" w:line="18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Transaction Support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Original Date, Armada has received from each Key Company Shareholder an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Support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160" w:firstLine="987"/>
        <w:spacing w:after="0" w:line="255" w:lineRule="auto"/>
        <w:tabs>
          <w:tab w:leader="none" w:pos="135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Armada, as provided in Armada’s Governing Documents or otherwise in effect as of immediately prior to the Closing, in either case, solely with respect to any matters occurring on or prior to the Closing, shall survive the transactions contemplated by this Agreement and shall continue in full force and effect from and after the Closing for a period of six (6) years and (ii) the Company will perform and discharge, or cause to be performed and discharged, all obligations to provide such indemnity and exculpation during such six (6)-year period. To the maximum extent permitted by applicable Law, during such six (6)-year period, the Company shall advance, or caused to be advanced, expenses in connection with such indemnification as provided in Armada’s Governing Documents or other applicable agreements as in effect immediately prior to the Closing.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4"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indemnification and liability limitation or exculpation provisions of Armada’s Governing Documents shall not, during such six (6)-year period, be amended, repealed or otherwise modified by the Company or any other Person following the Closing in any manner that would materially and adversely affect the rights thereunder of individuals who, as of immediately prior to the Closing, or at any time prior to such time, were directors or officers of Armada (the “</w:t>
      </w:r>
      <w:r>
        <w:rPr>
          <w:rFonts w:ascii="Times New Roman" w:cs="Times New Roman" w:eastAsia="Times New Roman" w:hAnsi="Times New Roman"/>
          <w:sz w:val="18"/>
          <w:szCs w:val="18"/>
          <w:u w:val="single" w:color="auto"/>
          <w:color w:val="auto"/>
        </w:rPr>
        <w:t>Armada D&amp;O Persons</w:t>
      </w:r>
      <w:r>
        <w:rPr>
          <w:rFonts w:ascii="Times New Roman" w:cs="Times New Roman" w:eastAsia="Times New Roman" w:hAnsi="Times New Roman"/>
          <w:sz w:val="18"/>
          <w:szCs w:val="18"/>
          <w:color w:val="auto"/>
        </w:rPr>
        <w:t>”) entitled to be so indemnified, have their liability limited or be exculpated with respect to any matters occurring on or prior to the Closing and relating to the fact that such Armada D&amp;O Person was a director or officer of Armada on or prior to the Closing, unless such amendment, repeal or other modification is required by applicable Law.</w:t>
      </w:r>
    </w:p>
    <w:p>
      <w:pPr>
        <w:spacing w:after="0" w:line="187" w:lineRule="exact"/>
        <w:rPr>
          <w:sz w:val="20"/>
          <w:szCs w:val="20"/>
          <w:color w:val="auto"/>
        </w:rPr>
      </w:pPr>
    </w:p>
    <w:p>
      <w:pPr>
        <w:ind w:left="120" w:firstLine="987"/>
        <w:spacing w:after="0" w:line="256" w:lineRule="auto"/>
        <w:tabs>
          <w:tab w:leader="none" w:pos="136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Armada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Armada’s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400" w:firstLine="987"/>
        <w:spacing w:after="0" w:line="256" w:lineRule="auto"/>
        <w:tabs>
          <w:tab w:leader="none" w:pos="135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Armada shall purchase and maintain for such periods as the Company’s Board shall in good faith determine following Closing, at the Company’s expense, insurance reasonable for the Company, given its size and activities, on behalf of any person who is a director or officer of the Company, or is serving at the request of the Company as a director, officer, employee or agent of another corporation, partnership, joint venture, trust or other enterprise, including any direct or indirect subsidiary of the Company, against any expense, liability or loss asserted against such person and incurred by such person in any such capacity, or arising out of such person’s status as such, subject to customary exclusions.</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5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Armada and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Company 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0" w:firstLine="987"/>
        <w:spacing w:after="0" w:line="253" w:lineRule="auto"/>
        <w:tabs>
          <w:tab w:leader="none" w:pos="13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the directors and officers of the Group Companies, as provided in the Group Companies’ Governing Documents or otherwise in effect as of immediately prior to the Closing, in either case, solely with respect to any matters occurring on or prior to the Closing, shall survive the transactions contemplated by this Agreement and shall continue in full force and effect in accordance with their terms as in effect immediately prior to the Closing and (ii) the Company will cause the applicable Group Companies to perform and discharge all obligations to provide such indemnity and exculpation. To the maximum extent permitted by applicable Law, the Company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be 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Times New Roman" w:cs="Times New Roman" w:eastAsia="Times New Roman" w:hAnsi="Times New Roman"/>
          <w:sz w:val="18"/>
          <w:szCs w:val="18"/>
          <w:u w:val="single" w:color="auto"/>
          <w:color w:val="auto"/>
        </w:rPr>
        <w:t>Company D&amp;O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00"/>
          </w:cols>
          <w:pgMar w:left="320" w:top="454" w:right="47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76" w:lineRule="exact"/>
        <w:rPr>
          <w:sz w:val="20"/>
          <w:szCs w:val="20"/>
          <w:color w:val="auto"/>
        </w:rPr>
      </w:pPr>
    </w:p>
    <w:p>
      <w:pPr>
        <w:jc w:val="both"/>
        <w:ind w:left="120" w:right="100" w:firstLine="987"/>
        <w:spacing w:after="0" w:line="266"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Group Companies shall have any obligation under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the Group Companies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Original Date.</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66" w:lineRule="auto"/>
        <w:tabs>
          <w:tab w:leader="none" w:pos="135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Persons entitled to the indemnification, liability limitation, exculpation or insurance coverage set forth in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are intended to be third-party beneficiaries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survive the consummation of the transactions contemplated by this Agreement and shall be binding on all successors and assigns of the Company.</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certain individuals shall enter into on Closing an indemnification deed in substantially the same form as set out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Indemnification Deed</w:t>
      </w:r>
      <w:r>
        <w:rPr>
          <w:rFonts w:ascii="Times New Roman" w:cs="Times New Roman" w:eastAsia="Times New Roman" w:hAnsi="Times New Roman"/>
          <w:sz w:val="18"/>
          <w:szCs w:val="18"/>
          <w:color w:val="auto"/>
        </w:rPr>
        <w:t>”), pursuant to which the Company shall indemnify certain directors, officers and/or employees of the Company from certain liabilities as permitted by applicable Law.</w:t>
      </w:r>
    </w:p>
    <w:p>
      <w:pPr>
        <w:spacing w:after="0" w:line="172" w:lineRule="exact"/>
        <w:rPr>
          <w:sz w:val="20"/>
          <w:szCs w:val="20"/>
          <w:color w:val="auto"/>
        </w:rPr>
      </w:pPr>
    </w:p>
    <w:p>
      <w:pPr>
        <w:ind w:left="120"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5.15 </w:t>
      </w:r>
      <w:r>
        <w:rPr>
          <w:rFonts w:ascii="Times New Roman" w:cs="Times New Roman" w:eastAsia="Times New Roman" w:hAnsi="Times New Roman"/>
          <w:sz w:val="17"/>
          <w:szCs w:val="17"/>
          <w:b w:val="1"/>
          <w:bCs w:val="1"/>
          <w:u w:val="single" w:color="auto"/>
          <w:color w:val="auto"/>
        </w:rPr>
        <w:t>Post-Closing Directors, Name and Articles</w:t>
      </w:r>
      <w:r>
        <w:rPr>
          <w:rFonts w:ascii="Times New Roman" w:cs="Times New Roman" w:eastAsia="Times New Roman" w:hAnsi="Times New Roman"/>
          <w:sz w:val="17"/>
          <w:szCs w:val="17"/>
          <w:color w:val="auto"/>
        </w:rPr>
        <w:t>. Conditioned upon the occurrence of the Closing, subject to any limitation imposed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applicable Laws and NASDAQ listing requirements, Armada and the Company shall take all actions necessary or appropriate to cause (a) the ten</w:t>
      </w:r>
    </w:p>
    <w:p>
      <w:pPr>
        <w:spacing w:after="0" w:line="1" w:lineRule="exact"/>
        <w:rPr>
          <w:sz w:val="20"/>
          <w:szCs w:val="20"/>
          <w:color w:val="auto"/>
        </w:rPr>
      </w:pPr>
    </w:p>
    <w:p>
      <w:pPr>
        <w:ind w:left="120" w:right="80" w:hanging="4"/>
        <w:spacing w:after="0" w:line="253" w:lineRule="auto"/>
        <w:tabs>
          <w:tab w:leader="none" w:pos="46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individuals identified in accordance with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to be elected as members of the Board of Directors of the Company (the “the Company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effective as of the Closing; (b) the Company Pre-IPO Articles of Association to be effective immediately prior to the Company Reorganization; (c) the Company Articles of Association to be effective as of the Closing. In the event that the Aggregate Transaction Proceeds equal or exceed $150m, then John Wagner shall not be elected as a member of the Company Board which shall then consist of nine (9) individuals.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PCAOB Financials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380" w:firstLine="987"/>
        <w:spacing w:after="0" w:line="261" w:lineRule="auto"/>
        <w:tabs>
          <w:tab w:leader="none" w:pos="135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Armada, (i) as promptly as reasonably practicable (and in any event within 60 days) following the Original Date, the Closing Company Audited Financial Statements, and (ii) as promptly as reasonably practicable following the date of the relevant financial statement or other applicable period, the Other Closing Company Financial Statements, in each case, prepared in accordance with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PCAOB Financials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4" w:right="45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56" w:lineRule="auto"/>
        <w:tabs>
          <w:tab w:leader="none" w:pos="136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(i) to assist, upon advance written notice, during normal business hours and in a manner such as to not unreasonably interfere with the normal operation of the Group Companies, Armada in causing to be prepared in a timely manner any other financial information or statements (including customary pro forma financial statements) that are required to be included in the Registration Statement / Proxy Statement and any other filings to be made by Armada with the SEC in connection with the transactions contemplated by this Agreement or any Ancillary Document and (ii) to obtain the consents of its auditors with respect thereto as may be required by applicable Law or requested by the SEC.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5.17 </w:t>
      </w:r>
      <w:r>
        <w:rPr>
          <w:rFonts w:ascii="Times New Roman" w:cs="Times New Roman" w:eastAsia="Times New Roman" w:hAnsi="Times New Roman"/>
          <w:sz w:val="18"/>
          <w:szCs w:val="18"/>
          <w:b w:val="1"/>
          <w:bCs w:val="1"/>
          <w:u w:val="single" w:color="auto"/>
          <w:color w:val="auto"/>
        </w:rPr>
        <w:t>the Company Incentive Equity Plan; Further Dilution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firstLine="987"/>
        <w:spacing w:after="0" w:line="252" w:lineRule="auto"/>
        <w:tabs>
          <w:tab w:leader="none" w:pos="135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one day prior to the effectiveness of the Registration Statement / Proxy Statement, the board of directors of the Company and the Armada Board shall each separately approve, and in the case of the Company, adopt an equity incentive plan, with such terms and conditions as mutually agreed to by the Parties at least five (5) Business Days prior to the effectiveness of the Registration Statement / Proxy Statement (the “Company </w:t>
      </w:r>
      <w:r>
        <w:rPr>
          <w:rFonts w:ascii="Times New Roman" w:cs="Times New Roman" w:eastAsia="Times New Roman" w:hAnsi="Times New Roman"/>
          <w:sz w:val="18"/>
          <w:szCs w:val="18"/>
          <w:u w:val="single" w:color="auto"/>
          <w:color w:val="auto"/>
        </w:rPr>
        <w:t>Incentive Equity Plan</w:t>
      </w:r>
      <w:r>
        <w:rPr>
          <w:rFonts w:ascii="Times New Roman" w:cs="Times New Roman" w:eastAsia="Times New Roman" w:hAnsi="Times New Roman"/>
          <w:sz w:val="18"/>
          <w:szCs w:val="18"/>
          <w:color w:val="auto"/>
        </w:rPr>
        <w:t>”), in the manner prescribed under applicable Laws, with such the Company Incentive Equity Plan to be effective as of one day prior to the Closing Date. Notwithstanding the foregoing, the Parties agree and acknowledge that (A) the aggregate number of Company Shares authorized under the Company Incentive Equity Plan shall under no circumstances exceed the Total Pool Percentage, minus (y) the number of Company Shares issued or proposed to be issued in connection with the Additional Issuances (the “</w:t>
      </w:r>
      <w:r>
        <w:rPr>
          <w:rFonts w:ascii="Times New Roman" w:cs="Times New Roman" w:eastAsia="Times New Roman" w:hAnsi="Times New Roman"/>
          <w:sz w:val="18"/>
          <w:szCs w:val="18"/>
          <w:u w:val="single" w:color="auto"/>
          <w:color w:val="auto"/>
        </w:rPr>
        <w:t>Plan Authorized Shares</w:t>
      </w:r>
      <w:r>
        <w:rPr>
          <w:rFonts w:ascii="Times New Roman" w:cs="Times New Roman" w:eastAsia="Times New Roman" w:hAnsi="Times New Roman"/>
          <w:sz w:val="18"/>
          <w:szCs w:val="18"/>
          <w:color w:val="auto"/>
        </w:rPr>
        <w:t xml:space="preserve">”), (B) the Company Incentive Equity Plan will not include any “evergreen” provision or similar provision providing for any increase in the number of Company Shares to be authorized under such plan, (C) the Reissued Options shall be issued following the Closing out of the Plan Authorized Shares and shall not increase the Plan Authorized Shares contemplated pursuant to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under any circumstances (D) one half of the awards available to be made under the Company Incentive Equity Plan pursuant to (A) shall, during 2022 and 2023, be as determined by Daniel Wagner and the remainder by the Board (or the remuneration committee of the Board). The Company and the Key Company Shareholders covenant and agree that for the avoidance of doubt neither Armada nor any of its equity holders or any of their respective affiliates will as at Closing suffer any dilution of their Equity Interests in the Company as a result of any of the Additional Issuances beyond the Total Pool Percentage.</w:t>
      </w:r>
    </w:p>
    <w:p>
      <w:pPr>
        <w:spacing w:after="0" w:line="197"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following June 30, 2023 (and assuming Closing occurs), the Board shall have the right to increase the number of Company Shares reserved under the Company Incentive Plan by up to 5% per annum for each calendar year commencing in and including 2023, subject to appropriate shareholder approval if required by applicable law or the NASDAQ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-313055</wp:posOffset>
            </wp:positionV>
            <wp:extent cx="2857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Employment Agreements and Restrictive Covenant Agreements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use commercially reasonable efforts to enter into employment agreements with the Key Employees, on terms and conditions and in form and substance reasonably agreeable to Armada, provided, however, that such agreements shall contain an initial term of at least twelve (12) months following the Closing Date and other terms appropriate for a public company as determined by the Parties (collectively, the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500" w:firstLine="987"/>
        <w:spacing w:after="0" w:line="266" w:lineRule="auto"/>
        <w:tabs>
          <w:tab w:leader="none" w:pos="136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Original Date and prior to the Closing, the Company will enter into customary restrictive covenant agreements with each Key Company Shareholder, on terms and conditions and in form and substance reasonably agreeable to Armada (collectively, the “</w:t>
      </w:r>
      <w:r>
        <w:rPr>
          <w:rFonts w:ascii="Times New Roman" w:cs="Times New Roman" w:eastAsia="Times New Roman" w:hAnsi="Times New Roman"/>
          <w:sz w:val="18"/>
          <w:szCs w:val="18"/>
          <w:u w:val="single" w:color="auto"/>
          <w:color w:val="auto"/>
        </w:rPr>
        <w:t>Restrictive Covenant Agreements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4" w:right="45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5.19 </w:t>
      </w:r>
      <w:r>
        <w:rPr>
          <w:rFonts w:ascii="Times New Roman" w:cs="Times New Roman" w:eastAsia="Times New Roman" w:hAnsi="Times New Roman"/>
          <w:sz w:val="18"/>
          <w:szCs w:val="18"/>
          <w:b w:val="1"/>
          <w:bCs w:val="1"/>
          <w:u w:val="single" w:color="auto"/>
          <w:color w:val="auto"/>
        </w:rPr>
        <w:t>Acquisition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5.20 </w:t>
      </w:r>
      <w:r>
        <w:rPr>
          <w:rFonts w:ascii="Times New Roman" w:cs="Times New Roman" w:eastAsia="Times New Roman" w:hAnsi="Times New Roman"/>
          <w:sz w:val="18"/>
          <w:szCs w:val="18"/>
          <w:b w:val="1"/>
          <w:bCs w:val="1"/>
          <w:u w:val="single" w:color="auto"/>
          <w:color w:val="auto"/>
        </w:rPr>
        <w:t>Transaction Consents</w:t>
      </w:r>
      <w:r>
        <w:rPr>
          <w:rFonts w:ascii="Times New Roman" w:cs="Times New Roman" w:eastAsia="Times New Roman" w:hAnsi="Times New Roman"/>
          <w:sz w:val="18"/>
          <w:szCs w:val="18"/>
          <w:color w:val="auto"/>
        </w:rPr>
        <w:t>. As soon as reasonably practicable following the Original Date and prior to the Closing,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obtain the consents, approvals, filings and/or waivers set forth on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of the Company Disclosure Schedules, in form and substance reasonably acceptable to Armada (the “</w:t>
      </w:r>
      <w:r>
        <w:rPr>
          <w:rFonts w:ascii="Times New Roman" w:cs="Times New Roman" w:eastAsia="Times New Roman" w:hAnsi="Times New Roman"/>
          <w:sz w:val="18"/>
          <w:szCs w:val="18"/>
          <w:u w:val="single" w:color="auto"/>
          <w:color w:val="auto"/>
        </w:rPr>
        <w:t>Pre-Closing Consents</w:t>
      </w:r>
      <w:r>
        <w:rPr>
          <w:rFonts w:ascii="Times New Roman" w:cs="Times New Roman" w:eastAsia="Times New Roman" w:hAnsi="Times New Roman"/>
          <w:sz w:val="18"/>
          <w:szCs w:val="18"/>
          <w:color w:val="auto"/>
        </w:rPr>
        <w:t xml:space="preserve">”). The Company shall promptly inform Armada upon receipt of any such consent, approval, filing or waiver as contemplated by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together with a copy of such consent or waiver.</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5.21 </w:t>
      </w:r>
      <w:r>
        <w:rPr>
          <w:rFonts w:ascii="Times New Roman" w:cs="Times New Roman" w:eastAsia="Times New Roman" w:hAnsi="Times New Roman"/>
          <w:sz w:val="18"/>
          <w:szCs w:val="18"/>
          <w:b w:val="1"/>
          <w:bCs w:val="1"/>
          <w:u w:val="single" w:color="auto"/>
          <w:color w:val="auto"/>
        </w:rPr>
        <w:t>Company Stockholders’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set forth in this Agreement, the Company shall seek the irrevocable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in form and substance reasonably acceptable to Armada, of holders of the Requisite Approval, as applicable, in favor of the approval and adoption of this Agreement and the Pre-Closing Reorganization and all other transactions contemplated by this Agreement (other than the Pre-Closing Demerger) (the “</w:t>
      </w:r>
      <w:r>
        <w:rPr>
          <w:rFonts w:ascii="Times New Roman" w:cs="Times New Roman" w:eastAsia="Times New Roman" w:hAnsi="Times New Roman"/>
          <w:sz w:val="18"/>
          <w:szCs w:val="18"/>
          <w:u w:val="single" w:color="auto"/>
          <w:color w:val="auto"/>
        </w:rPr>
        <w:t>Written Consent</w:t>
      </w:r>
      <w:r>
        <w:rPr>
          <w:rFonts w:ascii="Times New Roman" w:cs="Times New Roman" w:eastAsia="Times New Roman" w:hAnsi="Times New Roman"/>
          <w:sz w:val="18"/>
          <w:szCs w:val="18"/>
          <w:color w:val="auto"/>
        </w:rPr>
        <w:t>”) as soon as reasonably practicable after the date on which the Registration Statement/Proxy Statement is declared effective and in any event within twenty-four (24) hours after Armada notifies the Company of the effectiveness of the Registration Statement/Proxy Statement.</w:t>
      </w:r>
    </w:p>
    <w:p>
      <w:pPr>
        <w:spacing w:after="0" w:line="18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5.22 </w:t>
      </w:r>
      <w:r>
        <w:rPr>
          <w:rFonts w:ascii="Times New Roman" w:cs="Times New Roman" w:eastAsia="Times New Roman" w:hAnsi="Times New Roman"/>
          <w:sz w:val="18"/>
          <w:szCs w:val="18"/>
          <w:b w:val="1"/>
          <w:bCs w:val="1"/>
          <w:u w:val="single" w:color="auto"/>
          <w:color w:val="auto"/>
        </w:rPr>
        <w:t>Post-Closing Transfer of Rezolve USA and Cancellation of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Closing, the Parties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reasonably best efforts to effect the acquisition of Rezolve Mobile Commerce Inc., a Delaware corporation and subsidiary of the Company, by the Surviving Company, in exchange for capital stock of the Surviving Company (the “</w:t>
      </w:r>
      <w:r>
        <w:rPr>
          <w:rFonts w:ascii="Times New Roman" w:cs="Times New Roman" w:eastAsia="Times New Roman" w:hAnsi="Times New Roman"/>
          <w:sz w:val="18"/>
          <w:szCs w:val="18"/>
          <w:u w:val="single" w:color="auto"/>
          <w:color w:val="auto"/>
        </w:rPr>
        <w:t>Rezolve USA Consideration</w:t>
      </w:r>
      <w:r>
        <w:rPr>
          <w:rFonts w:ascii="Times New Roman" w:cs="Times New Roman" w:eastAsia="Times New Roman" w:hAnsi="Times New Roman"/>
          <w:sz w:val="18"/>
          <w:szCs w:val="18"/>
          <w:color w:val="auto"/>
        </w:rPr>
        <w:t>”), pursuant to documentation reasonably acceptable to the Parties (the “</w:t>
      </w:r>
      <w:r>
        <w:rPr>
          <w:rFonts w:ascii="Times New Roman" w:cs="Times New Roman" w:eastAsia="Times New Roman" w:hAnsi="Times New Roman"/>
          <w:sz w:val="18"/>
          <w:szCs w:val="18"/>
          <w:u w:val="single" w:color="auto"/>
          <w:color w:val="auto"/>
        </w:rPr>
        <w:t>Rezolve USA Acquisition</w:t>
      </w:r>
      <w:r>
        <w:rPr>
          <w:rFonts w:ascii="Times New Roman" w:cs="Times New Roman" w:eastAsia="Times New Roman" w:hAnsi="Times New Roman"/>
          <w:sz w:val="18"/>
          <w:szCs w:val="18"/>
          <w:color w:val="auto"/>
        </w:rPr>
        <w:t>”). Immediately following the effectiveness of the Rezolve USA Acquisition, the Surviving Company will distribute the Promissory Note to the Company in exchange for the Rezolve USA Consideration, thereby extinguishing it.</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5.23 </w:t>
      </w:r>
      <w:r>
        <w:rPr>
          <w:rFonts w:ascii="Times New Roman" w:cs="Times New Roman" w:eastAsia="Times New Roman" w:hAnsi="Times New Roman"/>
          <w:sz w:val="18"/>
          <w:szCs w:val="18"/>
          <w:b w:val="1"/>
          <w:bCs w:val="1"/>
          <w:u w:val="single" w:color="auto"/>
          <w:color w:val="auto"/>
        </w:rPr>
        <w:t>Transfer of Ownership in Rezolve Technology S.L.U.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effect the transfer of all of the issued and outstanding Equity Securities of Rezolve Technology S.L.U. (registered in Spain with tax company number B01869775) from the current holder(s) thereof to the Company, so that following such transfer and prior to the Closing, the Spain Subsidiary is wholly owned by the Company pursuant to documentation reasonably acceptable to Armada (the “</w:t>
      </w:r>
      <w:r>
        <w:rPr>
          <w:rFonts w:ascii="Times New Roman" w:cs="Times New Roman" w:eastAsia="Times New Roman" w:hAnsi="Times New Roman"/>
          <w:sz w:val="18"/>
          <w:szCs w:val="18"/>
          <w:u w:val="single" w:color="auto"/>
          <w:color w:val="auto"/>
        </w:rPr>
        <w:t>Spain Subsidiary Transfer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5.24 </w:t>
      </w:r>
      <w:r>
        <w:rPr>
          <w:rFonts w:ascii="Times New Roman" w:cs="Times New Roman" w:eastAsia="Times New Roman" w:hAnsi="Times New Roman"/>
          <w:sz w:val="18"/>
          <w:szCs w:val="18"/>
          <w:b w:val="1"/>
          <w:bCs w:val="1"/>
          <w:u w:val="single" w:color="auto"/>
          <w:color w:val="auto"/>
        </w:rPr>
        <w:t>Transfer of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Intellectual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domain names set forth on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xml:space="preserve"> of the Company Disclosure Schedules shall be transferred to the applicable member of the Group Companies, pursuant to documentation reasonably acceptable to Armada (the “</w:t>
      </w:r>
      <w:r>
        <w:rPr>
          <w:rFonts w:ascii="Times New Roman" w:cs="Times New Roman" w:eastAsia="Times New Roman" w:hAnsi="Times New Roman"/>
          <w:sz w:val="18"/>
          <w:szCs w:val="18"/>
          <w:u w:val="single" w:color="auto"/>
          <w:color w:val="auto"/>
        </w:rPr>
        <w:t>Pre-Closing IP Transfer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5.25 </w:t>
      </w:r>
      <w:r>
        <w:rPr>
          <w:rFonts w:ascii="Times New Roman" w:cs="Times New Roman" w:eastAsia="Times New Roman" w:hAnsi="Times New Roman"/>
          <w:sz w:val="18"/>
          <w:szCs w:val="18"/>
          <w:b w:val="1"/>
          <w:bCs w:val="1"/>
          <w:u w:val="single" w:color="auto"/>
          <w:color w:val="auto"/>
        </w:rPr>
        <w:t>Transfer of Certain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following the Original Date and prior to the Closing, the Company shall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commercially reasonable efforts to transfer the employment of (i) all employees who are currently residing in India from the Company to Rezolve Technology Pvt. Ltd. prior to the Closing, in form and substance reasonably acceptable to Armada, prior to the Closing, in form and substance reasonably acceptable to Armada. The Parties agree and acknowledge that to the extent any such employee’s employment is not transferred pursuant to this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prior to the Closing, the Company shall ensure that such transfers are completed within sixty (60) days following the Closing Date.</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5.26 </w:t>
      </w:r>
      <w:r>
        <w:rPr>
          <w:rFonts w:ascii="Times New Roman" w:cs="Times New Roman" w:eastAsia="Times New Roman" w:hAnsi="Times New Roman"/>
          <w:sz w:val="18"/>
          <w:szCs w:val="18"/>
          <w:b w:val="1"/>
          <w:bCs w:val="1"/>
          <w:u w:val="single" w:color="auto"/>
          <w:color w:val="auto"/>
        </w:rPr>
        <w:t>PIPE Subscription Agreements</w:t>
      </w:r>
      <w:r>
        <w:rPr>
          <w:rFonts w:ascii="Times New Roman" w:cs="Times New Roman" w:eastAsia="Times New Roman" w:hAnsi="Times New Roman"/>
          <w:sz w:val="18"/>
          <w:szCs w:val="18"/>
          <w:color w:val="auto"/>
        </w:rPr>
        <w:t>. Armada and the Company shall each use its reasonable efforts to satisfy the conditions of the PIPE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closing obligations contained in the PIPE Subscription Agreement (if any), and consummate the transactions contemplated thereby. Armada and the Company shall not permit any amendment or modification to be made to, or any waiver of any provision or remedy under, or any replacements or terminations of, the PIPE Subscription Agreement (if any) in any manner other than (a) as expressly provided for by the terms of the PIPE Subscription Agreement, or (b) to reflect any permitted assignments or transfers of the PIPE Subscription Agreement by the PIPE Investors pursuant to the PIPE Subscription Agreement, without the prior written consent of the Company (such consent not to be unreasonably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4" w:right="45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withheld, conditioned or delayed). The Company and Armada shall use their respective reasonable efforts prior to the Closing to procure one or more further investors to enter into PIPE Subscription Agreement(s) with Armada and the Company for the PIPE Financing in form and substance reasonably satisfactory to the Parties.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CLOSING</w:t>
      </w:r>
    </w:p>
    <w:p>
      <w:pPr>
        <w:spacing w:after="0" w:line="203"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Conditions to the Obligations of the Parties</w:t>
      </w:r>
      <w:r>
        <w:rPr>
          <w:rFonts w:ascii="Times New Roman" w:cs="Times New Roman" w:eastAsia="Times New Roman" w:hAnsi="Times New Roman"/>
          <w:sz w:val="18"/>
          <w:szCs w:val="18"/>
          <w:color w:val="auto"/>
        </w:rPr>
        <w:t>. The obligations of the Parties to consummate the Closing are subject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permitted by applicable Law, waiver in writing by the Party for whose benefit such condition exists of the following conditions:</w:t>
      </w:r>
    </w:p>
    <w:p>
      <w:pPr>
        <w:spacing w:after="0" w:line="159" w:lineRule="exact"/>
        <w:rPr>
          <w:sz w:val="20"/>
          <w:szCs w:val="20"/>
          <w:color w:val="auto"/>
        </w:rPr>
      </w:pPr>
    </w:p>
    <w:p>
      <w:pPr>
        <w:ind w:left="120" w:right="420" w:firstLine="987"/>
        <w:spacing w:after="0" w:line="282" w:lineRule="auto"/>
        <w:tabs>
          <w:tab w:leader="none" w:pos="135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 Proxy Statement shall have been filed and will be effective in accordance with the provisions of the Securities Act as of the Closing, no stop order shall have been issued by the SEC and shall remain in effect with respect to the Registration Statement / Proxy Statement, and no Proceeding seeking such a stop order shall have been threatened in writing or initiated by the SEC and remain pending;</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Armada Shareholder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 Closing Demerger, Company Reorganization and the Merger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Incentive Equity Plan shall be effective at Closing;</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3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set forth on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of the Armada Disclosure Schedules shall have been obtained (or deemed, by applicable Law, to have been obtained), as applicable;</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filings under any Antitrust Law shall have been completed and any applicable waiting period (and any extension thereof) applicable to the consummation of the transactions contemplated by this Agreement under any applicable Antitrust Law shall have expired or been terminated, and any pre-Closing reviews, approvals or clearances reasonably required thereunder, or by the NASDAQ or any other Governmental Authority shall have been completed or obtained;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Company Securities to be issued pursuant to this Agreement shall have been approved for listing on NASDAQ, subject to official notice of the issuance thereof;</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2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contemplated hereby (including the Company Reorganization, the PIPE Financing, the Merger and the Promissory Note), the Company shall have at least $5,000,001 of net tangible assets (as determined in accordance with Rule 3a51-1(g)(1) of the Exchange Act) immediately after the Closing;</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Fundamental Representations shall be true and correct in all material respects as of the Original Date and as of the Second Amendment Date in relation to the Original Company and as of the Closing Date in relation to the New Company (without giving effect to any limitation as to “materiality” or “Company Material Adverse Effect” or any similar limitation set forth herein), as though (in the latter case)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Company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shall be true and correct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4" w:right="45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(without giving effect to any limitation as to “materiality” or “Company Material Adverse Effect” or any similar limitation set forth herein) in all respects as of the Original Date and as of the Second Amendment Date in relation to the Original Company and as of the Closing Date in relation to the New Company as though (in the latter case)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83" w:lineRule="exact"/>
        <w:rPr>
          <w:sz w:val="20"/>
          <w:szCs w:val="20"/>
          <w:color w:val="auto"/>
        </w:rPr>
      </w:pPr>
    </w:p>
    <w:p>
      <w:pPr>
        <w:ind w:left="120" w:right="120" w:firstLine="987"/>
        <w:spacing w:after="0" w:line="282" w:lineRule="auto"/>
        <w:tabs>
          <w:tab w:leader="none" w:pos="136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56" w:lineRule="auto"/>
        <w:tabs>
          <w:tab w:leader="none" w:pos="132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have not been called-in for review by the Government under the National Security and Investment Act 2021 (“NSI Act”) indicating that the Transaction may rise national security issues (the “</w:t>
      </w:r>
      <w:r>
        <w:rPr>
          <w:rFonts w:ascii="Times New Roman" w:cs="Times New Roman" w:eastAsia="Times New Roman" w:hAnsi="Times New Roman"/>
          <w:sz w:val="18"/>
          <w:szCs w:val="18"/>
          <w:b w:val="1"/>
          <w:bCs w:val="1"/>
          <w:color w:val="auto"/>
        </w:rPr>
        <w:t>call-in notice</w:t>
      </w:r>
      <w:r>
        <w:rPr>
          <w:rFonts w:ascii="Times New Roman" w:cs="Times New Roman" w:eastAsia="Times New Roman" w:hAnsi="Times New Roman"/>
          <w:sz w:val="18"/>
          <w:szCs w:val="18"/>
          <w:color w:val="auto"/>
        </w:rPr>
        <w:t>”). For the avoidance of doubt, in the event a call-in notice is served on the Company by the UK Secretary of State in the period prior to Closing, this condition shall nonetheless be satisfied if the Secretary of State either: (a) gives a final notification confirming that no further action will be taken in relation to Transaction under the NSI Act; or (b) makes a final order permitting the Transactions to proceed subject only to such remedies or requirements that are in all respects acceptable to Armada and the Company, and such order not being revoked or varied before Closing;</w:t>
      </w:r>
    </w:p>
    <w:p>
      <w:pPr>
        <w:spacing w:after="0" w:line="187"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Original Date, no Company Material Adverse Effect shall have occurred;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the following documents to Armada:</w:t>
      </w:r>
    </w:p>
    <w:p>
      <w:pPr>
        <w:spacing w:after="0" w:line="225" w:lineRule="exact"/>
        <w:rPr>
          <w:rFonts w:ascii="Times New Roman" w:cs="Times New Roman" w:eastAsia="Times New Roman" w:hAnsi="Times New Roman"/>
          <w:sz w:val="18"/>
          <w:szCs w:val="18"/>
          <w:color w:val="auto"/>
        </w:rPr>
      </w:pPr>
    </w:p>
    <w:p>
      <w:pPr>
        <w:ind w:left="1100" w:right="60" w:firstLine="910"/>
        <w:spacing w:after="0" w:line="266" w:lineRule="auto"/>
        <w:tabs>
          <w:tab w:leader="none" w:pos="2217"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the Company, dated as of the Closing Date, to the effect that the conditions specified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and 6.1(m) are satisfied, in a form and substance reasonably satisfactory to the Company; and</w:t>
      </w:r>
    </w:p>
    <w:p>
      <w:pPr>
        <w:spacing w:after="0" w:line="17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the Company, Armada and the Sponsor.</w:t>
      </w:r>
    </w:p>
    <w:p>
      <w:pPr>
        <w:spacing w:after="0" w:line="221"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Other Conditions to the Obligations of Armada</w:t>
      </w:r>
      <w:r>
        <w:rPr>
          <w:rFonts w:ascii="Times New Roman" w:cs="Times New Roman" w:eastAsia="Times New Roman" w:hAnsi="Times New Roman"/>
          <w:sz w:val="18"/>
          <w:szCs w:val="18"/>
          <w:color w:val="auto"/>
        </w:rPr>
        <w:t>. The obligations of Armada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if permitted by applicable Law, waiver in writing by Armada of the following further conditions:</w:t>
      </w:r>
    </w:p>
    <w:p>
      <w:pPr>
        <w:spacing w:after="0" w:line="159" w:lineRule="exact"/>
        <w:rPr>
          <w:sz w:val="20"/>
          <w:szCs w:val="20"/>
          <w:color w:val="auto"/>
        </w:rPr>
      </w:pPr>
    </w:p>
    <w:p>
      <w:pPr>
        <w:ind w:left="1360" w:hanging="253"/>
        <w:spacing w:after="0"/>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have delivered, or caused to be delivered, to Armada the following documents:</w:t>
      </w:r>
    </w:p>
    <w:p>
      <w:pPr>
        <w:spacing w:after="0" w:line="225" w:lineRule="exact"/>
        <w:rPr>
          <w:rFonts w:ascii="Times New Roman" w:cs="Times New Roman" w:eastAsia="Times New Roman" w:hAnsi="Times New Roman"/>
          <w:sz w:val="18"/>
          <w:szCs w:val="18"/>
          <w:color w:val="auto"/>
        </w:rPr>
      </w:pPr>
    </w:p>
    <w:p>
      <w:pPr>
        <w:ind w:left="2220" w:hanging="210"/>
        <w:spacing w:after="0"/>
        <w:tabs>
          <w:tab w:leader="none" w:pos="222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applicable parties thereto;</w:t>
      </w:r>
    </w:p>
    <w:p>
      <w:pPr>
        <w:spacing w:after="0" w:line="225"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the Company.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 Agreements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Promissory Note shall have been duly executed by the applicable parties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timely delivered to Armada the PCAOB Financials;</w:t>
      </w:r>
    </w:p>
    <w:p>
      <w:pPr>
        <w:spacing w:after="0" w:line="225"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Contracts listed on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of the Company Disclosure Schedules shall have been terminated, including for the avoidance of doubt, the Company Shareholder Agreement, in form and substance reasonably acceptable to Armada;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4" w:right="47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40" w:hanging="233"/>
        <w:spacing w:after="0"/>
        <w:tabs>
          <w:tab w:leader="none" w:pos="13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Consent shall have been received by Armada in accordance with the provisions of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those persons identified as continuing directors and officers on </w:t>
      </w:r>
      <w:r>
        <w:rPr>
          <w:rFonts w:ascii="Times New Roman" w:cs="Times New Roman" w:eastAsia="Times New Roman" w:hAnsi="Times New Roman"/>
          <w:sz w:val="18"/>
          <w:szCs w:val="18"/>
          <w:u w:val="single" w:color="auto"/>
          <w:color w:val="auto"/>
        </w:rPr>
        <w:t>Schedule 6.2(g)</w:t>
      </w:r>
      <w:r>
        <w:rPr>
          <w:rFonts w:ascii="Times New Roman" w:cs="Times New Roman" w:eastAsia="Times New Roman" w:hAnsi="Times New Roman"/>
          <w:sz w:val="18"/>
          <w:szCs w:val="18"/>
          <w:color w:val="auto"/>
        </w:rPr>
        <w:t xml:space="preserve"> of the Company Disclosure Schedules, all members of the board of directors, board of managers or similar governing body of each member of the Group Companies shall have executed written resignations in form and substance reasonably acceptable to Armada, effective as of the Closing Date.</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have caused the Company Board to consist of those individuals set forth on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of the Company Disclosure Schedules, effective as of the Closing;</w:t>
      </w:r>
    </w:p>
    <w:p>
      <w:pPr>
        <w:spacing w:after="0" w:line="161" w:lineRule="exact"/>
        <w:rPr>
          <w:rFonts w:ascii="Times New Roman" w:cs="Times New Roman" w:eastAsia="Times New Roman" w:hAnsi="Times New Roman"/>
          <w:sz w:val="18"/>
          <w:szCs w:val="18"/>
          <w:color w:val="auto"/>
        </w:rPr>
      </w:pPr>
    </w:p>
    <w:p>
      <w:pPr>
        <w:ind w:left="120" w:firstLine="987"/>
        <w:spacing w:after="0" w:line="261" w:lineRule="auto"/>
        <w:tabs>
          <w:tab w:leader="none" w:pos="132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Pre-IPO Articles of Association shall be adopted on or immediately prior to the Company Reorganization, and (B) the Company Articles of Association in a form that is in all material respects the same as those appended at Exhibit F to this Agreement.(which supersede and replace the form of articles of association set out at Appendix 1 of the amendment deed on the First Amendment Deed) shall be filed and adopted effective as of the Closing.</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Consents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Spain Subsidiary Transfer shall have occurred;</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2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Rezolve Technology S.L.U. (registered in Spain with tax company number B01869775), Rezolve Technology India) Privte Ltd (registered in India with company number CIN – U72900PN2021PTC199649), Rezolve Mobile Commerce Inc. (registered in the United States with company number 20162420380, previously known as Mobizar, Inc.), shall be wholly-owned subsidiaries of the Company after completion of the Pre Closing Demerger, pursuant to documentation and evidence reasonably acceptable to Armada; and</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41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Confirmation and evidence that all options to purchase Equity Securities of the Company or rights to receive such options as listed </w:t>
      </w:r>
      <w:r>
        <w:rPr>
          <w:rFonts w:ascii="Times New Roman" w:cs="Times New Roman" w:eastAsia="Times New Roman" w:hAnsi="Times New Roman"/>
          <w:sz w:val="18"/>
          <w:szCs w:val="18"/>
          <w:u w:val="single" w:color="auto"/>
          <w:color w:val="auto"/>
        </w:rPr>
        <w:t>Schedule 3.2</w:t>
      </w:r>
      <w:r>
        <w:rPr>
          <w:rFonts w:ascii="Times New Roman" w:cs="Times New Roman" w:eastAsia="Times New Roman" w:hAnsi="Times New Roman"/>
          <w:sz w:val="18"/>
          <w:szCs w:val="18"/>
          <w:color w:val="auto"/>
        </w:rPr>
        <w:t xml:space="preserve"> of the Company Disclosure Schedule or otherwise (collectively, the “</w:t>
      </w:r>
      <w:r>
        <w:rPr>
          <w:rFonts w:ascii="Times New Roman" w:cs="Times New Roman" w:eastAsia="Times New Roman" w:hAnsi="Times New Roman"/>
          <w:sz w:val="18"/>
          <w:szCs w:val="18"/>
          <w:u w:val="single" w:color="auto"/>
          <w:color w:val="auto"/>
        </w:rPr>
        <w:t>Promised Options</w:t>
      </w:r>
      <w:r>
        <w:rPr>
          <w:rFonts w:ascii="Times New Roman" w:cs="Times New Roman" w:eastAsia="Times New Roman" w:hAnsi="Times New Roman"/>
          <w:sz w:val="18"/>
          <w:szCs w:val="18"/>
          <w:color w:val="auto"/>
        </w:rPr>
        <w:t>”) have been rescinded and terminated in full and each such recipient of Promised Options shall have signed a customary release relating to such termination, pursuant to documentation and in form and substance reasonably acceptable to Armada; and</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IP Transfer should have occurred.</w:t>
      </w:r>
    </w:p>
    <w:p>
      <w:pPr>
        <w:spacing w:after="0" w:line="221"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Other Conditions to the Obligations of the Company</w:t>
      </w:r>
      <w:r>
        <w:rPr>
          <w:rFonts w:ascii="Times New Roman" w:cs="Times New Roman" w:eastAsia="Times New Roman" w:hAnsi="Times New Roman"/>
          <w:sz w:val="18"/>
          <w:szCs w:val="18"/>
          <w:color w:val="auto"/>
        </w:rPr>
        <w:t>. The obligations of the Company to consummate the Closing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satisfaction or, if permitted by applicable Law, waiver in writing by the Company of the following further conditions:</w:t>
      </w:r>
    </w:p>
    <w:p>
      <w:pPr>
        <w:spacing w:after="0" w:line="159" w:lineRule="exact"/>
        <w:rPr>
          <w:sz w:val="20"/>
          <w:szCs w:val="20"/>
          <w:color w:val="auto"/>
        </w:rPr>
      </w:pPr>
    </w:p>
    <w:p>
      <w:pPr>
        <w:ind w:left="120" w:right="20" w:firstLine="987"/>
        <w:spacing w:after="0" w:line="254" w:lineRule="auto"/>
        <w:tabs>
          <w:tab w:leader="none" w:pos="135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Armada Fundamental Representations shall be true and correct in all material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Armada (other than the representations and warranties contemplated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(without giving effect to any limitation as to “materiality” or “Armada Material Adverse Effect” or any similar limitation set forth herein) in all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Armada Material Adverse Effect;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4" w:right="45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987"/>
        <w:spacing w:after="0" w:line="282"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 shall have performed and complied in all material respects with the covenants and agreements required to be performed or complied with by it under this Agreement at or prior to the Closing;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Armada shall have delivered, or caused to be delivered, the following documents to the Company:</w:t>
      </w:r>
    </w:p>
    <w:p>
      <w:pPr>
        <w:spacing w:after="0" w:line="225" w:lineRule="exact"/>
        <w:rPr>
          <w:rFonts w:ascii="Times New Roman" w:cs="Times New Roman" w:eastAsia="Times New Roman" w:hAnsi="Times New Roman"/>
          <w:sz w:val="18"/>
          <w:szCs w:val="18"/>
          <w:color w:val="auto"/>
        </w:rPr>
      </w:pPr>
    </w:p>
    <w:p>
      <w:pPr>
        <w:ind w:left="1100" w:right="280" w:firstLine="910"/>
        <w:spacing w:after="0" w:line="282" w:lineRule="auto"/>
        <w:tabs>
          <w:tab w:leader="none" w:pos="2217"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duly executed by an authorized officer of Armada, dated as of the Closing Date, to the effect that the conditions specified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are satisfied, in a form and substance reasonably satisfactory to the Company;</w:t>
      </w:r>
    </w:p>
    <w:p>
      <w:pPr>
        <w:spacing w:after="0" w:line="161" w:lineRule="exact"/>
        <w:rPr>
          <w:rFonts w:ascii="Times New Roman" w:cs="Times New Roman" w:eastAsia="Times New Roman" w:hAnsi="Times New Roman"/>
          <w:sz w:val="18"/>
          <w:szCs w:val="18"/>
          <w:color w:val="auto"/>
        </w:rPr>
      </w:pPr>
    </w:p>
    <w:p>
      <w:pPr>
        <w:ind w:left="2280" w:hanging="270"/>
        <w:spacing w:after="0"/>
        <w:tabs>
          <w:tab w:leader="none" w:pos="228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Agreement, duly executed by Armada and the Exchange Agent;</w:t>
      </w:r>
    </w:p>
    <w:p>
      <w:pPr>
        <w:spacing w:after="0" w:line="225" w:lineRule="exact"/>
        <w:rPr>
          <w:rFonts w:ascii="Times New Roman" w:cs="Times New Roman" w:eastAsia="Times New Roman" w:hAnsi="Times New Roman"/>
          <w:sz w:val="18"/>
          <w:szCs w:val="18"/>
          <w:color w:val="auto"/>
        </w:rPr>
      </w:pPr>
    </w:p>
    <w:p>
      <w:pPr>
        <w:ind w:left="2320" w:hanging="310"/>
        <w:spacing w:after="0"/>
        <w:tabs>
          <w:tab w:leader="none" w:pos="23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Rights Agreement duly executed by Armada and the Sponsor; and</w:t>
      </w:r>
    </w:p>
    <w:p>
      <w:pPr>
        <w:spacing w:after="0" w:line="225" w:lineRule="exact"/>
        <w:rPr>
          <w:rFonts w:ascii="Times New Roman" w:cs="Times New Roman" w:eastAsia="Times New Roman" w:hAnsi="Times New Roman"/>
          <w:sz w:val="18"/>
          <w:szCs w:val="18"/>
          <w:color w:val="auto"/>
        </w:rPr>
      </w:pPr>
    </w:p>
    <w:p>
      <w:pPr>
        <w:ind w:left="1100" w:firstLine="910"/>
        <w:spacing w:after="0" w:line="266" w:lineRule="auto"/>
        <w:tabs>
          <w:tab w:leader="none" w:pos="2307"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certification that Armada Shares are not “U.S. real property interests” in accordance with the Treasury Regulations under Sections 897 and 1445 of the Code, together with a notice to the IRS (which shall be filed by Armada with the IRS following the Closing) in accordance with the provisions of Section 1.897-2(h)(2) of the Treasury Regulations.</w:t>
      </w:r>
    </w:p>
    <w:p>
      <w:pPr>
        <w:spacing w:after="0" w:line="17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6.4 Frustration of Closing Conditions</w:t>
      </w:r>
      <w:r>
        <w:rPr>
          <w:rFonts w:ascii="Times New Roman" w:cs="Times New Roman" w:eastAsia="Times New Roman" w:hAnsi="Times New Roman"/>
          <w:sz w:val="18"/>
          <w:szCs w:val="18"/>
          <w:color w:val="auto"/>
        </w:rPr>
        <w:t>. The Company may not rely on the failure of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satisfied if such failure was proximately caused by the Company’s failure to comply with or perform any of its covenants or obligations set forth in this Agreement. Armada may not rely on the failure of any condition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be satisfied if such failure was proximately caused by Armada’s failure to comply with or perform any of its covenants or obligations set forth in this Agreement.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may be abandoned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prior to the Closing:</w:t>
      </w:r>
    </w:p>
    <w:p>
      <w:pPr>
        <w:spacing w:after="0" w:line="159" w:lineRule="exact"/>
        <w:rPr>
          <w:sz w:val="20"/>
          <w:szCs w:val="20"/>
          <w:color w:val="auto"/>
        </w:rPr>
      </w:pPr>
    </w:p>
    <w:p>
      <w:pPr>
        <w:ind w:left="1360" w:hanging="253"/>
        <w:spacing w:after="0"/>
        <w:tabs>
          <w:tab w:leader="none" w:pos="136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Armada and the Company;</w:t>
      </w:r>
    </w:p>
    <w:p>
      <w:pPr>
        <w:spacing w:after="0" w:line="22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any of the representations or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not be true and correct or if the Original Company in respect of the period up to and including the date of completion of the Pre Closing Demerger and/or the New Company in respect of the period after completion of the Pre Closing Demerger (as applicable) has failed to perform any covenant or agreement on the part of the Original Company and/or the Company (as applicable)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Armada,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Armada may not exercise its right to terminate this Agreement pursuant to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if Armada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from being satisfied;</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5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representations or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be true and correct or if Armada has failed to perform any covenant or agreement on the part of Armada set forth in this Agreement (including an obligation to consummate the Closing when required by this Agreement), in each case, such that the condition to Closing set forth in either </w:t>
      </w:r>
      <w:r>
        <w:rPr>
          <w:rFonts w:ascii="Times New Roman" w:cs="Times New Roman" w:eastAsia="Times New Roman" w:hAnsi="Times New Roman"/>
          <w:sz w:val="18"/>
          <w:szCs w:val="18"/>
          <w:u w:val="single" w:color="auto"/>
          <w:color w:val="auto"/>
        </w:rPr>
        <w:t>Section 6.3(a) or Section 6.3(b)</w:t>
      </w:r>
      <w:r>
        <w:rPr>
          <w:rFonts w:ascii="Times New Roman" w:cs="Times New Roman" w:eastAsia="Times New Roman" w:hAnsi="Times New Roman"/>
          <w:sz w:val="18"/>
          <w:szCs w:val="18"/>
          <w:color w:val="auto"/>
        </w:rPr>
        <w:t xml:space="preserve"> would not be satisfied and the breach or breaches causing such representations or warranties not to be true and correct, or the failures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00"/>
          </w:cols>
          <w:pgMar w:left="320" w:top="454" w:right="47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perform any covenant or agreement, as applicable, is (or are) not cured or cannot be cured within the earlier of (i) thirty (30) days after written notice thereof is delivered to Armada by the Company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may not exercise its rights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it is then in breach of this Agreement so as to prevent the condition to Closing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Section 6.1(k)</w:t>
      </w:r>
      <w:r>
        <w:rPr>
          <w:rFonts w:ascii="Times New Roman" w:cs="Times New Roman" w:eastAsia="Times New Roman" w:hAnsi="Times New Roman"/>
          <w:sz w:val="18"/>
          <w:szCs w:val="18"/>
          <w:color w:val="auto"/>
        </w:rPr>
        <w:t xml:space="preserve"> from being satisfied;</w:t>
      </w:r>
    </w:p>
    <w:p>
      <w:pPr>
        <w:spacing w:after="0" w:line="180" w:lineRule="exact"/>
        <w:rPr>
          <w:sz w:val="20"/>
          <w:szCs w:val="20"/>
          <w:color w:val="auto"/>
        </w:rPr>
      </w:pPr>
    </w:p>
    <w:p>
      <w:pPr>
        <w:ind w:left="120" w:right="60" w:firstLine="987"/>
        <w:spacing w:after="0" w:line="254"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transactions contemplated by this Agreement shall not have been consummated on or prior to fifteen (15) days prior to the last date on which Armada may consummate a Business Combination, as defined in and pursuant to the Second Amended and Restated Certificate of Incorporation of Armada, as approved or extended by the stockholders of Armada from time to time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Armada if Armada’s breach of any of its covenants or obligations under this Agreement shall have primarily caused the failure to consummate the transactions contemplated by this Agreement on or before the Termination Date, and (ii) the right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shall not be available to the Company if the Company’s breach of its covenants or obligations under this Agreement shall have primarily caused the failure to consummate the transactions contemplated by this Agreement on or before the Termination Date;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any Governmental Entity having competent jurisdiction shall have issued an Order or taken any other action permanently enjoining, restraining or otherwise prohibiting the transactions contemplated by this Agreement and such Order or action shall have become final and non-appealable;</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3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Armada or the Company if the Armada Shareholders Meeting has been held (including any adjournment or postponement thereof), has concluded, Armada’s shareholders have duly voted and the Armada Shareholder Approval was not obtained;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Armada if the Company shall have failed to deliver the Written Consent to Armada in accordance with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of this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Armada if the PCAOB Financial Statements shall not have been delivered to Armada by the Company on or before the date that is sixty (60) days from the Original Date; or</w:t>
      </w:r>
    </w:p>
    <w:p>
      <w:pPr>
        <w:spacing w:after="0" w:line="16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Armada after service of a Determination Notice.</w:t>
      </w:r>
    </w:p>
    <w:p>
      <w:pPr>
        <w:spacing w:after="0" w:line="2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this entire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forthwith become void (and there shall be no Liability or obligation on the part of the Parties and their respective Representatives) with the exception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affect any Liability on the part of any Party for its willful and material breach of any covenant or agreement set forth in this Agreement prior to such termination or its fraud.</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Non-Survival</w:t>
      </w:r>
      <w:r>
        <w:rPr>
          <w:rFonts w:ascii="Times New Roman" w:cs="Times New Roman" w:eastAsia="Times New Roman" w:hAnsi="Times New Roman"/>
          <w:sz w:val="18"/>
          <w:szCs w:val="18"/>
          <w:color w:val="auto"/>
        </w:rPr>
        <w:t>. The representations, warranties, agreements and covenants in this Agreement of the Parties and in the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pursuant to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6.1(n)(i)</w:t>
      </w:r>
      <w:r>
        <w:rPr>
          <w:rFonts w:ascii="Times New Roman" w:cs="Times New Roman" w:eastAsia="Times New Roman" w:hAnsi="Times New Roman"/>
          <w:sz w:val="18"/>
          <w:szCs w:val="18"/>
          <w:color w:val="auto"/>
        </w:rPr>
        <w:t xml:space="preserve">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4" w:right="47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6.3(c)(i)</w:t>
      </w:r>
      <w:r>
        <w:rPr>
          <w:rFonts w:ascii="Times New Roman" w:cs="Times New Roman" w:eastAsia="Times New Roman" w:hAnsi="Times New Roman"/>
          <w:sz w:val="18"/>
          <w:szCs w:val="18"/>
          <w:color w:val="auto"/>
        </w:rPr>
        <w:t xml:space="preserve"> shall terminate at the Closing, except for (a) those covenants and agreements that, by their terms, expressly contemplate performance in whole or in part after the Closing and (b)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which shall terminate other than to the extent related to a surviving provision of this Agreement) and any corresponding definitions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which shall survive the Closing until they have been performed or satisfied.</w:t>
      </w:r>
    </w:p>
    <w:p>
      <w:pPr>
        <w:spacing w:after="0" w:line="17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Section 8.2 </w:t>
      </w:r>
      <w:r>
        <w:rPr>
          <w:rFonts w:ascii="Times New Roman" w:cs="Times New Roman" w:eastAsia="Times New Roman" w:hAnsi="Times New Roman"/>
          <w:sz w:val="17"/>
          <w:szCs w:val="17"/>
          <w:b w:val="1"/>
          <w:bCs w:val="1"/>
          <w:u w:val="single" w:color="auto"/>
          <w:color w:val="auto"/>
        </w:rPr>
        <w:t>Entire Agreement; Assignment</w:t>
      </w:r>
      <w:r>
        <w:rPr>
          <w:rFonts w:ascii="Times New Roman" w:cs="Times New Roman" w:eastAsia="Times New Roman" w:hAnsi="Times New Roman"/>
          <w:sz w:val="17"/>
          <w:szCs w:val="17"/>
          <w:color w:val="auto"/>
        </w:rPr>
        <w:t>. This Agreement (together with the Ancillary Documents including any exhibits and schedules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attached hereto or thereto)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Armada and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following the Closing, the prior written consent of the Sponsor shall be required for any assignment with respect to any continuing rights or obligations of the Sponsor under the Agreement. Any attempted assignment of this Agreement not in accordance with the terms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be void.</w:t>
      </w:r>
    </w:p>
    <w:p>
      <w:pPr>
        <w:spacing w:after="0" w:line="16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or modified only by a written agreement executed and delivered by Armada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provided, however, that following the Closing, the written agreement of the Sponsor shall be required for any amendment with respect to any continuing rights or obligations of the Sponsor or the Armada D&amp;O Persons under this Agreement.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8.4 </w:t>
      </w: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All notices, requests, claims, demands and other communications hereunder shall be in writing and shall be given (and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92" w:lineRule="exact"/>
        <w:rPr>
          <w:sz w:val="20"/>
          <w:szCs w:val="20"/>
          <w:color w:val="auto"/>
        </w:rPr>
      </w:pPr>
    </w:p>
    <w:p>
      <w:pPr>
        <w:ind w:left="1540" w:hanging="439"/>
        <w:spacing w:after="0"/>
        <w:tabs>
          <w:tab w:leader="none" w:pos="15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Armada, to:</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Armada Acquisition Corp. I</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1760 Market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Suite 612</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Doug Lurio and Stephen Herbert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dlurio@luriolaw.com; sherbert@suncvllc.com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1201 W Peachtree St NE #2800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Gerry Williams</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gerry.williams@dlapiper.com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00"/>
          </w:cols>
          <w:pgMar w:left="320" w:top="454" w:right="47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Original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Ltd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234" w:lineRule="exact"/>
        <w:rPr>
          <w:sz w:val="20"/>
          <w:szCs w:val="20"/>
          <w:color w:val="auto"/>
        </w:rPr>
      </w:pPr>
    </w:p>
    <w:p>
      <w:pPr>
        <w:ind w:left="1540" w:hanging="439"/>
        <w:spacing w:after="0"/>
        <w:tabs>
          <w:tab w:leader="none" w:pos="15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Rezolve AI Ltd (to be renamed Rezolve AI PLC)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Taylor Wessing</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221"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any choice of law or conflict of law provision or rule (whether of the State of Delaware or any other jurisdiction) that would cause the application of the law of any jurisdiction other than the State of Delaware (except that the Companies Act 2006 and related and other applicable UK legislation shall also apply to the Company Reorganization and to the Pre-Closing Demerger and to the extent applicable to actions taken by the Company hereunder).</w:t>
      </w:r>
    </w:p>
    <w:p>
      <w:pPr>
        <w:spacing w:after="0" w:line="179"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8.6 </w:t>
      </w:r>
      <w:r>
        <w:rPr>
          <w:rFonts w:ascii="Times New Roman" w:cs="Times New Roman" w:eastAsia="Times New Roman" w:hAnsi="Times New Roman"/>
          <w:sz w:val="17"/>
          <w:szCs w:val="17"/>
          <w:b w:val="1"/>
          <w:bCs w:val="1"/>
          <w:u w:val="single" w:color="auto"/>
          <w:color w:val="auto"/>
        </w:rPr>
        <w:t>Fees and Expenses</w:t>
      </w:r>
      <w:r>
        <w:rPr>
          <w:rFonts w:ascii="Times New Roman" w:cs="Times New Roman" w:eastAsia="Times New Roman" w:hAnsi="Times New Roman"/>
          <w:sz w:val="17"/>
          <w:szCs w:val="17"/>
          <w:color w:val="auto"/>
        </w:rPr>
        <w:t>. Except as otherwise set forth in this Agreement, all fees and expenses incurred in connection with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(a) if this Agreement is</w:t>
      </w:r>
    </w:p>
    <w:p>
      <w:pPr>
        <w:spacing w:after="0" w:line="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0980"/>
          </w:cols>
          <w:pgMar w:left="320" w:top="454" w:right="59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terminated in accordance with its terms, the Company shall pay, or cause to be paid, all Unpaid Company Expenses and Armada shall pay, or cause to be paid, all Unpaid Armada Expenses, and (b) if the Closing occurs, then the Company shall pay, or cause to be paid, all Unpaid Company Expenses and Unpaid Armada Expenses.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b w:val="1"/>
          <w:bCs w:val="1"/>
          <w:u w:val="single" w:color="auto"/>
          <w:color w:val="auto"/>
        </w:rPr>
        <w:t>Construction; Interpretation</w:t>
      </w:r>
      <w:r>
        <w:rPr>
          <w:rFonts w:ascii="Times New Roman" w:cs="Times New Roman" w:eastAsia="Times New Roman" w:hAnsi="Times New Roman"/>
          <w:sz w:val="18"/>
          <w:szCs w:val="18"/>
          <w:color w:val="auto"/>
        </w:rPr>
        <w:t>. The term “this Agreement” means this Business Combination Agreement together with the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w:t>
      </w:r>
    </w:p>
    <w:p>
      <w:pPr>
        <w:spacing w:after="0" w:line="1" w:lineRule="exact"/>
        <w:rPr>
          <w:sz w:val="20"/>
          <w:szCs w:val="20"/>
          <w:color w:val="auto"/>
        </w:rPr>
      </w:pPr>
    </w:p>
    <w:p>
      <w:pPr>
        <w:ind w:left="120" w:right="20" w:hanging="4"/>
        <w:spacing w:after="0" w:line="265" w:lineRule="auto"/>
        <w:tabs>
          <w:tab w:leader="none" w:pos="375"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w:t>
      </w:r>
    </w:p>
    <w:p>
      <w:pPr>
        <w:ind w:left="120" w:right="20" w:hanging="4"/>
        <w:spacing w:after="0" w:line="251" w:lineRule="auto"/>
        <w:tabs>
          <w:tab w:leader="none" w:pos="37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“delivered” or “made available” or words of similar import (regardless of whether capitalized or not) shall mean, when used with reference to documents or other materials required to be provided or made available to Armada, any documents or other materials posted to the electronic data room located at datasite.com under the project name “Volante” as of 5:00 p.m., Eastern Time, at least one (1) Business Day prior to the Original Date;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b w:val="1"/>
          <w:bCs w:val="1"/>
          <w:u w:val="single" w:color="auto"/>
          <w:color w:val="auto"/>
        </w:rPr>
        <w:t>Exhibits and Schedules</w:t>
      </w:r>
      <w:r>
        <w:rPr>
          <w:rFonts w:ascii="Times New Roman" w:cs="Times New Roman" w:eastAsia="Times New Roman" w:hAnsi="Times New Roman"/>
          <w:sz w:val="18"/>
          <w:szCs w:val="18"/>
          <w:color w:val="auto"/>
        </w:rPr>
        <w:t>. All Exhibits and Schedules, or documents expressly incorporated into this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in the Armada Disclosure Schedules, corresponding to any Section or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shall be deemed to have been disclosed with respect to every other section and subsection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(in the case of the Company Disclosure Schedules)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the case of the Armada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may not be limited to matters required to be disclosed in the Schedules, and any such additional information or disclosure is for informational purposes only and does not necessarily include other matters of a similar nature. The specification of any dollar amount in the representations and warranties contained in this Agreement or the inclusion of any specific item in the Exhibits or Schedules does not imply that such amount (or higher or lower amounts) are or are not material, and no party hereto shall use the fact of the setting of such amounts or the fact of the inclusion of any such item in the Exhibits or Schedules in any dispute or controversy between the parties hereto as to whether any obligation, item, or matter not described herein or included in the Exhibits or Schedules is or is not material for purposes of this Agreement.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4"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and, except as provided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the last sentence of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limit the rights or obligations of any person under any Transaction Support Agreement and the Shareholder Transfer and Exchange Agreement.</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color w:val="auto"/>
        </w:rPr>
        <w:t>. This Agreement and each Ancillary Document (including any of the closing 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scanned pages, photographic, facsimile, electronic or similar reproduction of such signed writing (including by pdf or any electronic signature complying with the U.S. federal ESIGN Act of 2000, e.g., www.docusign.com) shall be effective as delivery of a manually executed counterpart to this Agreement or any such Ancillary Document.</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Knowledge of Company; Knowledge of Armada</w:t>
      </w:r>
      <w:r>
        <w:rPr>
          <w:rFonts w:ascii="Times New Roman" w:cs="Times New Roman" w:eastAsia="Times New Roman" w:hAnsi="Times New Roman"/>
          <w:sz w:val="18"/>
          <w:szCs w:val="18"/>
          <w:color w:val="auto"/>
        </w:rPr>
        <w:t>. For all purposes of this Agreement, the phrase “to the Company’s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“known by the Company”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For all purposes of this Agreement, the phrase “to Armada’s knowledge” and “to the knowledge of Armada” and any derivations thereof shall mean as of the applicable date, the actual knowledge of the individuals set forth on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For the avoidance of doubt, none of the individuals set forth on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xml:space="preserve"> of the Company Disclosure Schedules or </w:t>
      </w:r>
      <w:r>
        <w:rPr>
          <w:rFonts w:ascii="Times New Roman" w:cs="Times New Roman" w:eastAsia="Times New Roman" w:hAnsi="Times New Roman"/>
          <w:sz w:val="18"/>
          <w:szCs w:val="18"/>
          <w:u w:val="single" w:color="auto"/>
          <w:color w:val="auto"/>
        </w:rPr>
        <w:t>Section 8.12(b)</w:t>
      </w:r>
      <w:r>
        <w:rPr>
          <w:rFonts w:ascii="Times New Roman" w:cs="Times New Roman" w:eastAsia="Times New Roman" w:hAnsi="Times New Roman"/>
          <w:sz w:val="18"/>
          <w:szCs w:val="18"/>
          <w:color w:val="auto"/>
        </w:rPr>
        <w:t xml:space="preserve"> of the Armada Disclosure Schedules shall have any personal Liability or obligations regarding such knowledge.</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Except for claims pursuant to any Ancillary Document by any party(ies) thereto against any Company Non-Party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or any Armada Non-Party Affiliate (each, a “</w:t>
      </w:r>
      <w:r>
        <w:rPr>
          <w:rFonts w:ascii="Times New Roman" w:cs="Times New Roman" w:eastAsia="Times New Roman" w:hAnsi="Times New Roman"/>
          <w:sz w:val="18"/>
          <w:szCs w:val="18"/>
          <w:u w:val="single" w:color="auto"/>
          <w:color w:val="auto"/>
        </w:rPr>
        <w:t>Non-Party Affiliate</w:t>
      </w:r>
      <w:r>
        <w:rPr>
          <w:rFonts w:ascii="Times New Roman" w:cs="Times New Roman" w:eastAsia="Times New Roman" w:hAnsi="Times New Roman"/>
          <w:sz w:val="18"/>
          <w:szCs w:val="18"/>
          <w:color w:val="auto"/>
        </w:rPr>
        <w:t>”), and then solely with respect to claims against the Non-Party Affiliates that are party to the applicable Ancillary Document, each Party agrees on behalf of itself and on behalf of the Company Non-Party Affiliates, in the case of the Company, and the Armada Non-Party Affiliates, in the case of Armada,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w:t>
      </w:r>
    </w:p>
    <w:p>
      <w:pPr>
        <w:spacing w:after="0" w:line="188" w:lineRule="exact"/>
        <w:rPr>
          <w:sz w:val="20"/>
          <w:szCs w:val="20"/>
          <w:color w:val="auto"/>
        </w:rPr>
      </w:pPr>
    </w:p>
    <w:p>
      <w:pPr>
        <w:ind w:left="120" w:right="6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b w:val="1"/>
          <w:bCs w:val="1"/>
          <w:u w:val="single" w:color="auto"/>
          <w:color w:val="auto"/>
        </w:rPr>
        <w:t>Extension; Waiver</w:t>
      </w:r>
      <w:r>
        <w:rPr>
          <w:rFonts w:ascii="Times New Roman" w:cs="Times New Roman" w:eastAsia="Times New Roman" w:hAnsi="Times New Roman"/>
          <w:sz w:val="18"/>
          <w:szCs w:val="18"/>
          <w:color w:val="auto"/>
        </w:rPr>
        <w:t>. At any time (prior to the Closing and in the case of Armada, prior to receipt of the Armada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 the Company may (i) extend the time for the performance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4"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any of the obligations or other acts of Armada set forth herein, (ii) waive any inaccuracies in the representations and warranties of Armada set forth herein or in any document delivered by Armada or (iii) waive compliance by Armada with any of the agreements or conditions set forth herein and</w:t>
      </w:r>
    </w:p>
    <w:p>
      <w:pPr>
        <w:spacing w:after="0" w:line="1" w:lineRule="exact"/>
        <w:rPr>
          <w:sz w:val="20"/>
          <w:szCs w:val="20"/>
          <w:color w:val="auto"/>
        </w:rPr>
      </w:pPr>
    </w:p>
    <w:p>
      <w:pPr>
        <w:ind w:left="120" w:right="120" w:hanging="4"/>
        <w:spacing w:after="0" w:line="252" w:lineRule="auto"/>
        <w:tabs>
          <w:tab w:leader="none" w:pos="36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Armada may (i) extend the time for the performance of any of the obligations or other acts of the Company set forth herein, (ii) waive any inaccuracies in the representations and warranties of the Company set forth herein or in any document delivered by the Company or (iii) waive compliance by the Company with any of the agreements or conditions set forth herein. Any such extension or waiver shall be valid only if set forth in a written instrument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the rights or obligations of any person under any Transaction Support Agreement.</w:t>
      </w:r>
    </w:p>
    <w:p>
      <w:pPr>
        <w:spacing w:after="0" w:line="184"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EACH HEREBY WAIVES, TO THE FULLEST EXTENT PERMITTED BY LAW,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TO TRIAL BY JURY OF ANY PROCEEDING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b w:val="1"/>
          <w:bCs w:val="1"/>
          <w:u w:val="single" w:color="auto"/>
          <w:color w:val="auto"/>
        </w:rPr>
        <w:t>Submission to Jurisdiction</w:t>
      </w:r>
      <w:r>
        <w:rPr>
          <w:rFonts w:ascii="Times New Roman" w:cs="Times New Roman" w:eastAsia="Times New Roman" w:hAnsi="Times New Roman"/>
          <w:sz w:val="18"/>
          <w:szCs w:val="18"/>
          <w:color w:val="auto"/>
        </w:rPr>
        <w:t>. Each of the Parties irrevocably and unconditionally submits to the exclusive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Chancery Court of the State of Delaware (or, if the Chancery Court of the State of Delaware declines to accept jurisdiction, any state or federal court within State of Delaware), for the purposes of any Proceeding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in any such court is brought against such Party in an inconvenient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4" w:right="45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 xml:space="preserve">forum, (y) the venue of such Proceeding against such Party is improper or (z) this Agreement, or the subject matter hereof, may not be enforced against such Party in or by such courts. Each Party agrees that service of any process, summons, notice or document by registered mail or internationally recognized courier service to such party’s respective address set forth in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shall be effective service of process for any such Proceeding.</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20" w:right="20" w:firstLine="987"/>
        <w:spacing w:after="0" w:line="266" w:lineRule="auto"/>
        <w:tabs>
          <w:tab w:leader="none" w:pos="135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8.18 </w:t>
      </w:r>
      <w:r>
        <w:rPr>
          <w:rFonts w:ascii="Times New Roman" w:cs="Times New Roman" w:eastAsia="Times New Roman" w:hAnsi="Times New Roman"/>
          <w:sz w:val="18"/>
          <w:szCs w:val="18"/>
          <w:b w:val="1"/>
          <w:bCs w:val="1"/>
          <w:u w:val="single" w:color="auto"/>
          <w:color w:val="auto"/>
        </w:rPr>
        <w:t>Trust Account Waiver</w:t>
      </w:r>
      <w:r>
        <w:rPr>
          <w:rFonts w:ascii="Times New Roman" w:cs="Times New Roman" w:eastAsia="Times New Roman" w:hAnsi="Times New Roman"/>
          <w:sz w:val="18"/>
          <w:szCs w:val="18"/>
          <w:color w:val="auto"/>
        </w:rPr>
        <w:t>. Reference is made to the final prospectus of Armada, filed with the SEC (File No. 333-257692)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16, 2021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acknowledges and agrees and understands that Armada has established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Armada’s public shareholders (including overallotment shares acquired by Armada’s underwriters, the “</w:t>
      </w:r>
      <w:r>
        <w:rPr>
          <w:rFonts w:ascii="Times New Roman" w:cs="Times New Roman" w:eastAsia="Times New Roman" w:hAnsi="Times New Roman"/>
          <w:sz w:val="18"/>
          <w:szCs w:val="18"/>
          <w:u w:val="single" w:color="auto"/>
          <w:color w:val="auto"/>
        </w:rPr>
        <w:t>Public Shareholders</w:t>
      </w:r>
      <w:r>
        <w:rPr>
          <w:rFonts w:ascii="Times New Roman" w:cs="Times New Roman" w:eastAsia="Times New Roman" w:hAnsi="Times New Roman"/>
          <w:sz w:val="18"/>
          <w:szCs w:val="18"/>
          <w:color w:val="auto"/>
        </w:rPr>
        <w:t>”), and Armada may disburse monies from the Trust Account only in the express circumstances described in the Prospectus. For and in consideration of Armada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none of the Company nor any of its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Armada or any of its Representatives, on the one hand, and, the Company and its Representatives, on the other hand,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Trust Account Released Claims</w:t>
      </w:r>
      <w:r>
        <w:rPr>
          <w:rFonts w:ascii="Times New Roman" w:cs="Times New Roman" w:eastAsia="Times New Roman" w:hAnsi="Times New Roman"/>
          <w:sz w:val="18"/>
          <w:szCs w:val="18"/>
          <w:color w:val="auto"/>
        </w:rPr>
        <w:t>”). The Company on its own behalf and on behalf of its Representatives, hereby irrevocably waives any Trust Account Released Claims that it or any of its Representatives may have against the Trust Account (including any distributions therefrom) now or in the future as a result of, or arising out of, any negotiations, or Contracts with Armada or its Representatives and will not seek recourse against the Trust Account (including any distributions therefrom) for any reason whatsoever (including for an alleged breach of any agreement with Armada or its Affiliates).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Section 8.19 </w:t>
      </w:r>
      <w:r>
        <w:rPr>
          <w:rFonts w:ascii="Times New Roman" w:cs="Times New Roman" w:eastAsia="Times New Roman" w:hAnsi="Times New Roman"/>
          <w:sz w:val="18"/>
          <w:szCs w:val="18"/>
          <w:b w:val="1"/>
          <w:bCs w:val="1"/>
          <w:u w:val="single" w:color="auto"/>
          <w:color w:val="auto"/>
        </w:rPr>
        <w:t>Legal Representation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0" w:right="260" w:firstLine="987"/>
        <w:spacing w:after="0" w:line="266" w:lineRule="auto"/>
        <w:tabs>
          <w:tab w:leader="none" w:pos="135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on its own behalf and on behalf of its directors, managers, officers, owners, employees and Affiliates and each of their successors and assigns (all such parties,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hereby agrees that DLA Piper LLP (US) (or any successor thereto) may represent the Sponsor or any direct or indirect director,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4"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manager, officer, owner, employee or Affiliate of the Sponsor, in connection with any dispute, claim, Proceeding or Liability arising out of or relating to this Agreement, any Ancillary Document the transactions contemplated hereby or thereby (any such representation, the “</w:t>
      </w:r>
      <w:r>
        <w:rPr>
          <w:rFonts w:ascii="Times New Roman" w:cs="Times New Roman" w:eastAsia="Times New Roman" w:hAnsi="Times New Roman"/>
          <w:sz w:val="18"/>
          <w:szCs w:val="18"/>
          <w:u w:val="single" w:color="auto"/>
          <w:color w:val="auto"/>
        </w:rPr>
        <w:t>Armada Post-Closing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w:t>
      </w:r>
      <w:r>
        <w:rPr>
          <w:rFonts w:ascii="Times New Roman" w:cs="Times New Roman" w:eastAsia="Times New Roman" w:hAnsi="Times New Roman"/>
          <w:sz w:val="18"/>
          <w:szCs w:val="18"/>
          <w:color w:val="auto"/>
        </w:rPr>
        <w:t>”) notwithstanding its representation (or any continued representation) of the Sponsor or any of their respective Affiliates in connection with the transactions contemplated by this Agreement, and the Company, on behalf of itself and the Waiving Parties, hereby consents thereto and irrevocably waives (and will not assert) any conflict of interest or any objection arising therefrom or relating thereto, even though the interests of the Armada Post-Closing Representation may be directly adverse to the Waiving Parties.</w:t>
      </w:r>
    </w:p>
    <w:p>
      <w:pPr>
        <w:spacing w:after="0" w:line="187" w:lineRule="exact"/>
        <w:rPr>
          <w:sz w:val="20"/>
          <w:szCs w:val="20"/>
          <w:color w:val="auto"/>
        </w:rPr>
      </w:pPr>
    </w:p>
    <w:p>
      <w:pPr>
        <w:ind w:left="120" w:right="40" w:firstLine="987"/>
        <w:spacing w:after="0" w:line="255" w:lineRule="auto"/>
        <w:tabs>
          <w:tab w:leader="none" w:pos="136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Wilson Sonsini Goodrich &amp; Rosati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5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Waiving Party hereby agrees that Taylor Wessing LLP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Times New Roman" w:cs="Times New Roman" w:eastAsia="Times New Roman" w:hAnsi="Times New Roman"/>
          <w:sz w:val="18"/>
          <w:szCs w:val="18"/>
          <w:u w:val="single" w:color="auto"/>
          <w:color w:val="auto"/>
        </w:rPr>
        <w:t>Company Post-Closing Representation</w:t>
      </w:r>
      <w:r>
        <w:rPr>
          <w:rFonts w:ascii="Times New Roman" w:cs="Times New Roman" w:eastAsia="Times New Roman" w:hAnsi="Times New Roman"/>
          <w:sz w:val="18"/>
          <w:szCs w:val="18"/>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88"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157"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A-73</w:t>
      </w:r>
    </w:p>
    <w:p>
      <w:pPr>
        <w:sectPr>
          <w:pgSz w:w="11900" w:h="16838" w:orient="portrait"/>
          <w:cols w:equalWidth="0" w:num="1">
            <w:col w:w="11060"/>
          </w:cols>
          <w:pgMar w:left="320" w:top="454" w:right="51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caused this Business Combination Agreement to be duly executed on its behalf as of the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year first above written.</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000"/>
          </w:cols>
          <w:pgMar w:left="320" w:top="454" w:right="57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has been executed and delivered as a deed on the date shown at the beginning of this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66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Lurio</w:t>
            </w:r>
          </w:p>
        </w:tc>
        <w:tc>
          <w:tcPr>
            <w:tcW w:w="0" w:type="dxa"/>
            <w:vAlign w:val="bottom"/>
          </w:tcPr>
          <w:p>
            <w:pPr>
              <w:spacing w:after="0"/>
              <w:rPr>
                <w:sz w:val="1"/>
                <w:szCs w:val="1"/>
                <w:color w:val="auto"/>
              </w:rPr>
            </w:pPr>
          </w:p>
        </w:tc>
      </w:tr>
      <w:tr>
        <w:trPr>
          <w:trHeight w:val="178"/>
        </w:trPr>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Armada Acquisition Corp. I</w:t>
            </w:r>
          </w:p>
        </w:tc>
        <w:tc>
          <w:tcPr>
            <w:tcW w:w="6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spacing w:after="0"/>
              <w:rPr>
                <w:sz w:val="20"/>
                <w:szCs w:val="20"/>
                <w:color w:val="auto"/>
              </w:rPr>
            </w:pPr>
          </w:p>
        </w:tc>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360"/>
        </w:trPr>
        <w:tc>
          <w:tcPr>
            <w:tcW w:w="5180" w:type="dxa"/>
            <w:vAlign w:val="bottom"/>
          </w:tcPr>
          <w:p>
            <w:pPr>
              <w:spacing w:after="0"/>
              <w:rPr>
                <w:sz w:val="24"/>
                <w:szCs w:val="24"/>
                <w:color w:val="auto"/>
              </w:rPr>
            </w:pPr>
          </w:p>
        </w:tc>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A-75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4" w:right="439" w:bottom="1440" w:gutter="0" w:footer="0" w:header="0"/>
        </w:sectPr>
      </w:pPr>
    </w:p>
    <w:bookmarkStart w:id="508" w:name="page509"/>
    <w:bookmarkEnd w:id="5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Limited </w:t>
            </w:r>
            <w:r>
              <w:rPr>
                <w:rFonts w:ascii="Times New Roman" w:cs="Times New Roman" w:eastAsia="Times New Roman" w:hAnsi="Times New Roman"/>
                <w:sz w:val="18"/>
                <w:szCs w:val="18"/>
                <w:color w:val="auto"/>
              </w:rPr>
              <w:t>an English incorporated company</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acting by Daniel Wagner a director in the presence of:</w:t>
            </w:r>
          </w:p>
        </w:tc>
        <w:tc>
          <w:tcPr>
            <w:tcW w:w="760" w:type="dxa"/>
            <w:vAlign w:val="bottom"/>
          </w:tcPr>
          <w:p>
            <w:pPr>
              <w:jc w:val="right"/>
              <w:ind w:right="49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76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1"/>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Rezolve AI Limited, </w:t>
            </w:r>
            <w:r>
              <w:rPr>
                <w:rFonts w:ascii="Times New Roman" w:cs="Times New Roman" w:eastAsia="Times New Roman" w:hAnsi="Times New Roman"/>
                <w:sz w:val="18"/>
                <w:szCs w:val="18"/>
                <w:color w:val="auto"/>
              </w:rPr>
              <w:t>an English incorporated</w:t>
            </w: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company acting by Daniel Wagner a director in the presence of:</w:t>
            </w:r>
          </w:p>
        </w:tc>
        <w:tc>
          <w:tcPr>
            <w:tcW w:w="760" w:type="dxa"/>
            <w:vAlign w:val="bottom"/>
          </w:tcPr>
          <w:p>
            <w:pPr>
              <w:jc w:val="right"/>
              <w:ind w:right="490"/>
              <w:spacing w:after="0" w:line="177" w:lineRule="exact"/>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518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7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76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40"/>
          </w:cols>
          <w:pgMar w:left="320" w:top="445" w:right="43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EXECUTED </w:t>
            </w:r>
            <w:r>
              <w:rPr>
                <w:rFonts w:ascii="Times New Roman" w:cs="Times New Roman" w:eastAsia="Times New Roman" w:hAnsi="Times New Roman"/>
                <w:sz w:val="18"/>
                <w:szCs w:val="18"/>
                <w:color w:val="auto"/>
                <w:w w:val="99"/>
              </w:rPr>
              <w:t>by</w:t>
            </w:r>
          </w:p>
        </w:tc>
        <w:tc>
          <w:tcPr>
            <w:tcW w:w="38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Wagner</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 xml:space="preserve">Rezolve Group Limited </w:t>
            </w:r>
            <w:r>
              <w:rPr>
                <w:rFonts w:ascii="Times New Roman" w:cs="Times New Roman" w:eastAsia="Times New Roman" w:hAnsi="Times New Roman"/>
                <w:sz w:val="18"/>
                <w:szCs w:val="18"/>
                <w:color w:val="auto"/>
              </w:rPr>
              <w:t>a Cayman Company</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Anthony Sharp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20" w:type="dxa"/>
            <w:vAlign w:val="bottom"/>
          </w:tcPr>
          <w:p>
            <w:pPr>
              <w:spacing w:after="0"/>
              <w:rPr>
                <w:sz w:val="24"/>
                <w:szCs w:val="24"/>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name</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Witness address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Herbert</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5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Rezolve Merger Sub, Inc.</w:t>
            </w: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5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Authorised signatory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acting by the under-mentioned person(s) acting on the authority of the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said company in accordance with the laws of the territory of 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BUSINESS COMBINATION AGREEMENT</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First Amendment to the Amended and Restated Business Combination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4, 2023, is made and entered into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Merger Sub, Inc., a Delaware corporation, Rezolve AI Limited, a private limited liability company registered under the laws of England and Wales with registration number 14573691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w:t>
      </w:r>
    </w:p>
    <w:p>
      <w:pPr>
        <w:spacing w:after="0" w:line="179" w:lineRule="exact"/>
        <w:rPr>
          <w:sz w:val="20"/>
          <w:szCs w:val="20"/>
          <w:color w:val="auto"/>
        </w:rPr>
      </w:pPr>
    </w:p>
    <w:p>
      <w:pPr>
        <w:jc w:val="both"/>
        <w:ind w:left="120" w:right="3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Armada, the Company, Rezolve Limited, Rezolve Merger Sub, Inc., a Delaware corporation, previously entered into that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December 17, 2021, as amended on November 10, 2022 and further amended and restated on June 16, 2023; capitalized terms used herein but not defined herein shall have the meanings ascribed thereto in the Agreement; and</w:t>
      </w:r>
    </w:p>
    <w:p>
      <w:pPr>
        <w:spacing w:after="0" w:line="153"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8.3 of the Agreement provides that the Agreement may not be amended or modified except by an instrument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each of Armada and the Company; and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wish to amend the Agreement as set forth herein.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hereinafter set forth, the parties hereto agree as follows: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Section 6.1(i) of the Agreement is hereby deleted in its entirety and replaced with the word “RESERVED”.</w:t>
      </w:r>
    </w:p>
    <w:p>
      <w:pPr>
        <w:spacing w:after="0" w:line="22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u w:val="single" w:color="auto"/>
          <w:color w:val="auto"/>
        </w:rPr>
        <w:t>Effect on Agreement</w:t>
      </w:r>
      <w:r>
        <w:rPr>
          <w:rFonts w:ascii="Times New Roman" w:cs="Times New Roman" w:eastAsia="Times New Roman" w:hAnsi="Times New Roman"/>
          <w:sz w:val="18"/>
          <w:szCs w:val="18"/>
          <w:color w:val="auto"/>
        </w:rPr>
        <w:t>. Other than as specifically set forth herein, all other terms and provisions of the Agreement shall remain unaffected by the terms of this Amendment, and shall continue in full force and effect in accordance with their respective terms. Each reference in the Agreement to “this Agreement” shall mean the Agreement as amended by this Amendment, and as hereinafter amended or restated.</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xml:space="preserve"> This Amendment may be executed and delivered in one or more counterparts, any one of which need not contain the signatures of more than one party, but all such counterparts taken together will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Amendment shall be binding upon and inure solely to the benefit of the parties hereto and their respective successors and permitted assigns.</w:t>
      </w:r>
    </w:p>
    <w:p>
      <w:pPr>
        <w:spacing w:after="0" w:line="155"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Amendment may not be amended or modified except by an instrument in writing signed by, or on behalf of, all of the parties hereto.</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AA-1</w:t>
      </w:r>
    </w:p>
    <w:p>
      <w:pPr>
        <w:sectPr>
          <w:pgSz w:w="11900" w:h="16838" w:orient="portrait"/>
          <w:cols w:equalWidth="0" w:num="1">
            <w:col w:w="11140"/>
          </w:cols>
          <w:pgMar w:left="320" w:top="454" w:right="43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 of Delaware applicable to contracts executed in and to be performed in that State.</w:t>
      </w:r>
    </w:p>
    <w:p>
      <w:pPr>
        <w:spacing w:after="0" w:line="15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Amendment, the Agreement and the Ancillary Agreements constitute the entire agreement among the parties hereto with respect to the subject matter hereof, and supersede all prior and contemporaneous understandings and agreements, both written and oral, with respect to such subject matter.</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AA-2</w:t>
      </w:r>
    </w:p>
    <w:p>
      <w:pPr>
        <w:sectPr>
          <w:pgSz w:w="11900" w:h="16838" w:orient="portrait"/>
          <w:cols w:equalWidth="0" w:num="1">
            <w:col w:w="11040"/>
          </w:cols>
          <w:pgMar w:left="320" w:top="454" w:right="53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duly executed and delivered this Amendment as of the date first written above.</w:t>
      </w: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Stephen P. Herbert</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 Lurio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Doug Lurio</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REZOLVE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Dan Wagner</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AA-3</w:t>
      </w:r>
    </w:p>
    <w:p>
      <w:pPr>
        <w:sectPr>
          <w:pgSz w:w="11900" w:h="16838" w:orient="portrait"/>
          <w:cols w:equalWidth="0" w:num="1">
            <w:col w:w="10139"/>
          </w:cols>
          <w:pgMar w:left="320" w:top="454" w:right="1440"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354330</wp:posOffset>
            </wp:positionV>
            <wp:extent cx="14744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(Company number: 14573691)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680" w:type="dxa"/>
        <w:tblCellMar>
          <w:top w:w="0" w:type="dxa"/>
          <w:left w:w="0" w:type="dxa"/>
          <w:bottom w:w="0" w:type="dxa"/>
          <w:right w:w="0" w:type="dxa"/>
        </w:tblCellMar>
      </w:tblPr>
      <w:tr>
        <w:trPr>
          <w:trHeight w:val="207"/>
        </w:trPr>
        <w:tc>
          <w:tcPr>
            <w:tcW w:w="44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 xml:space="preserve">(Adopted by special resolution passed on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7"/>
              </w:rPr>
              <w:t>and in accordance with such special resolution effective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Pr>
          <w:p>
            <w:pPr>
              <w:spacing w:after="0"/>
              <w:rPr>
                <w:sz w:val="17"/>
                <w:szCs w:val="17"/>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3"/>
              </w:rPr>
              <w:t xml:space="preserve">  </w:t>
            </w:r>
          </w:p>
        </w:tc>
        <w:tc>
          <w:tcPr>
            <w:tcW w:w="10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         2024)</w:t>
            </w:r>
          </w:p>
        </w:tc>
      </w:tr>
      <w:tr>
        <w:trPr>
          <w:trHeight w:val="20"/>
        </w:trPr>
        <w:tc>
          <w:tcPr>
            <w:tcW w:w="3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ectPr>
          <w:pgSz w:w="11900" w:h="16838" w:orient="portrait"/>
          <w:cols w:equalWidth="0" w:num="1">
            <w:col w:w="11140"/>
          </w:cols>
          <w:pgMar w:left="320" w:top="454" w:right="4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12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contents</w:t>
            </w:r>
          </w:p>
        </w:tc>
        <w:tc>
          <w:tcPr>
            <w:tcW w:w="2320" w:type="dxa"/>
            <w:vAlign w:val="bottom"/>
          </w:tcPr>
          <w:p>
            <w:pPr>
              <w:spacing w:after="0"/>
              <w:rPr>
                <w:sz w:val="20"/>
                <w:szCs w:val="20"/>
                <w:color w:val="auto"/>
              </w:rPr>
            </w:pPr>
          </w:p>
        </w:tc>
      </w:tr>
      <w:tr>
        <w:trPr>
          <w:trHeight w:val="3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w:t>
            </w:r>
          </w:p>
        </w:tc>
        <w:tc>
          <w:tcPr>
            <w:tcW w:w="81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Exclusion of default or model articles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Limited liability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 and rights attached to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attaching to Founder’s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attaching to the Deferred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to Deferred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to allot shares and grant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pay commission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alter share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issue redeemable shares and conversion of existing non-redeemable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purchase own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to reduce capital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Trusts not recognised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Redemption, Purchase and Surrender.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Uncertificated shares – general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Variation of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to transfer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uncertificated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provisions relating to transfers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refusal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B-12</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on death</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person entitled by transmission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of person entitled by transmission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OF INTERESTS IN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Disenfranchisement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B-13</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 of notices on non-members and Depositaries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B-14</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Cessation of disenfranchisement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uncertificated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794 and 795 of the 2006 Act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B-15</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 at more than one place or in more than one format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Hybrid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B-16</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Convening of general meetings other than annual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Separate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Length, form and content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B-17</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Omission or non-receipt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B-18</w:t>
            </w:r>
          </w:p>
        </w:tc>
      </w:tr>
    </w:tbl>
    <w:p>
      <w:pPr>
        <w:sectPr>
          <w:pgSz w:w="11900" w:h="16838" w:orient="portrait"/>
          <w:cols w:equalWidth="0" w:num="1">
            <w:col w:w="11080"/>
          </w:cols>
          <w:pgMar w:left="320" w:top="454" w:right="499" w:bottom="1440" w:gutter="0" w:footer="0" w:header="0"/>
        </w:sectPr>
      </w:pPr>
    </w:p>
    <w:bookmarkStart w:id="515" w:name="page516"/>
    <w:bookmarkEnd w:id="5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40" w:type="dxa"/>
            <w:vAlign w:val="bottom"/>
          </w:tcPr>
          <w:p>
            <w:pPr>
              <w:spacing w:after="0"/>
              <w:rPr>
                <w:sz w:val="17"/>
                <w:szCs w:val="17"/>
                <w:color w:val="auto"/>
              </w:rPr>
            </w:pPr>
          </w:p>
        </w:tc>
      </w:tr>
      <w:tr>
        <w:trPr>
          <w:trHeight w:val="529"/>
        </w:trPr>
        <w:tc>
          <w:tcPr>
            <w:tcW w:w="44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Chair</w:t>
            </w:r>
          </w:p>
        </w:tc>
        <w:tc>
          <w:tcPr>
            <w:tcW w:w="7280" w:type="dxa"/>
            <w:vAlign w:val="bottom"/>
          </w:tcPr>
          <w:p>
            <w:pPr>
              <w:spacing w:after="0"/>
              <w:rPr>
                <w:sz w:val="24"/>
                <w:szCs w:val="24"/>
                <w:color w:val="auto"/>
              </w:rPr>
            </w:pP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 to attend and speak</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Resolutions and amendments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B-19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Adjournment</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 of voting</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 poll is to be taken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Validity of meeting</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VOTES OF MEMBERS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 of corporations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of joint holders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of members incapable of managing their affairs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Voting rights suspended where sums overdue</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B-22</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Appointment of proxy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Receipt of proxy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B-23</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of revocation of authority etc.</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and class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B-24</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need not be members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ELECTION, RETIREMENT AND REMOVAL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Election of directors by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Separate resolutions for election of each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Board’s power to appoint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Retirement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B-25</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 of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B-26</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Vacation of office of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B-26</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Disqualification of a director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B-27</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B-27</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Alternate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appoint alternate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Formalities for appointment and termination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to receive notices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may be paid expenses but not remuneration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Alternate not an agent of appointor</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B-28</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REMUNERATION, EXPENSES, PENSIONS AND OTHER BENEFITS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Special remuneration</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Pensions and other benefits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POWERS OF THE BOARD</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powers of the Board to manage the Company’s business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B-29</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act notwithstanding vacancy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Provisions for employees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80.</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borrow money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to change the name of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DELEGATION OF BOARD’S POWERS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Delegation to individual directors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83.</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B-30</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84.</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boards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16"/>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of attorney and agents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16"/>
        </w:trPr>
        <w:tc>
          <w:tcPr>
            <w:tcW w:w="8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DIRECTORS’ INTERESTS</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r>
        <w:trPr>
          <w:trHeight w:val="234"/>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86.</w:t>
            </w: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Declaration of interests in a proposed transaction or arrangement with the Company</w:t>
            </w:r>
          </w:p>
        </w:tc>
        <w:tc>
          <w:tcPr>
            <w:tcW w:w="244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4"/>
              </w:rPr>
              <w:t>B-31</w:t>
            </w:r>
          </w:p>
        </w:tc>
      </w:tr>
    </w:tbl>
    <w:p>
      <w:pPr>
        <w:sectPr>
          <w:pgSz w:w="11900" w:h="16838" w:orient="portrait"/>
          <w:cols w:equalWidth="0" w:num="1">
            <w:col w:w="11080"/>
          </w:cols>
          <w:pgMar w:left="320" w:top="445" w:right="499" w:bottom="1440" w:gutter="0" w:footer="0" w:header="0"/>
        </w:sectPr>
      </w:pPr>
    </w:p>
    <w:bookmarkStart w:id="516" w:name="page517"/>
    <w:bookmarkEnd w:id="5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320" w:type="dxa"/>
            <w:vAlign w:val="bottom"/>
          </w:tcPr>
          <w:p>
            <w:pPr>
              <w:spacing w:after="0"/>
              <w:rPr>
                <w:sz w:val="17"/>
                <w:szCs w:val="17"/>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29"/>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Provisions applicable to declarations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of the Board to authorise conflicts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 interests and voting</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Avoiding conflicts of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PROCEEDINGS OF THE BOARD</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Quorum</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of directors if number falls below minimum</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 or deputy chair to preside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Competence of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Telephone/electronic board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Resolutions without meetings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Minutes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Secretary</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B-37</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Charges for and replacement of certificates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LIEN ON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Lien on partly paid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Enforcement of lien</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B-38</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CALLS ON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on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Sums treated as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differentiate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 of calls in advance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B-39</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FORFEITURE OF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Notice of unpaid calls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Forfeiture on non-compliance with notice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Power to annul forfeiture or surrender</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Disposal of forfeited or surrendered shares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B-40</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Arrears to be paid notwithstanding forfeiture or surrender</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SEAL</w:t>
            </w:r>
          </w:p>
        </w:tc>
        <w:tc>
          <w:tcPr>
            <w:tcW w:w="7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Seal</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Declaration of dividends by the Company</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and interim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B-41</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Calculation and currency of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Method of payment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B-42</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not to bear interest</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123.</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Calls or debts may be deducted from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124.</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Unclaimed dividends etc.</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125.</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Uncashed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B-43</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126.</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Dividends in specie</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B-44</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127.</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Scrip dividends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B-44</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CAPITALISATION OF Profits and RESERVES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B-45</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128.</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Capitalisation of reserves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B-45</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RECORD DATES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129.</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Fixing of record dates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7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34"/>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130.</w:t>
            </w:r>
          </w:p>
        </w:tc>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Accounting records</w:t>
            </w:r>
          </w:p>
        </w:tc>
        <w:tc>
          <w:tcPr>
            <w:tcW w:w="3320" w:type="dxa"/>
            <w:vAlign w:val="bottom"/>
          </w:tcPr>
          <w:p>
            <w:pPr>
              <w:ind w:left="2960"/>
              <w:spacing w:after="0"/>
              <w:rPr>
                <w:sz w:val="20"/>
                <w:szCs w:val="20"/>
                <w:color w:val="auto"/>
              </w:rPr>
            </w:pPr>
            <w:r>
              <w:rPr>
                <w:rFonts w:ascii="Times New Roman" w:cs="Times New Roman" w:eastAsia="Times New Roman" w:hAnsi="Times New Roman"/>
                <w:sz w:val="18"/>
                <w:szCs w:val="18"/>
                <w:color w:val="auto"/>
                <w:w w:val="94"/>
              </w:rPr>
              <w:t>B-46</w:t>
            </w:r>
          </w:p>
        </w:tc>
      </w:tr>
    </w:tbl>
    <w:p>
      <w:pPr>
        <w:sectPr>
          <w:pgSz w:w="11900" w:h="16838" w:orient="portrait"/>
          <w:cols w:equalWidth="0" w:num="1">
            <w:col w:w="11080"/>
          </w:cols>
          <w:pgMar w:left="320" w:top="445" w:right="499" w:bottom="1440" w:gutter="0" w:footer="0" w:header="0"/>
        </w:sectPr>
      </w:pPr>
    </w:p>
    <w:bookmarkStart w:id="517" w:name="page518"/>
    <w:bookmarkEnd w:id="5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0" w:type="dxa"/>
            <w:vAlign w:val="bottom"/>
          </w:tcPr>
          <w:p>
            <w:pPr>
              <w:spacing w:after="0"/>
              <w:rPr>
                <w:sz w:val="17"/>
                <w:szCs w:val="17"/>
                <w:color w:val="auto"/>
              </w:rPr>
            </w:pPr>
          </w:p>
        </w:tc>
      </w:tr>
      <w:tr>
        <w:trPr>
          <w:trHeight w:val="529"/>
        </w:trPr>
        <w:tc>
          <w:tcPr>
            <w:tcW w:w="1360" w:type="dxa"/>
            <w:vAlign w:val="bottom"/>
            <w:tcBorders>
              <w:top w:val="single" w:sz="8" w:color="0000EE"/>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Auditors</w:t>
            </w:r>
          </w:p>
        </w:tc>
        <w:tc>
          <w:tcPr>
            <w:tcW w:w="6120" w:type="dxa"/>
            <w:vAlign w:val="bottom"/>
          </w:tcPr>
          <w:p>
            <w:pPr>
              <w:spacing w:after="0"/>
              <w:rPr>
                <w:sz w:val="24"/>
                <w:szCs w:val="24"/>
                <w:color w:val="auto"/>
              </w:rPr>
            </w:pP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Validity of acts of Auditor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B-46</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service of notices and other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Notices in writing</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133.</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Method of giving notice to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B-47</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134.</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by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135.</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to joint holders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136.</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Notice to persons entitled by transmission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137.</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Disruption of postal services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138.</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Deemed notice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139.</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Successors in title bound by notice to predecessor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B-49</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140.</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Reference to notices are to notifications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Statutory requirements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Record date for delivery</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REGISTER</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143.</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Register Requirements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UNTRACED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144.</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Sale of shares of untraced members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B-50</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145.</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146.</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Destruction of documents</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B-51</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WINDING UP</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B-52</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147.</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Powers to distribute in specie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B-52</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INDEMNITY AND INSURANCE, ETC.</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148.</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indemnity, insurance and defence</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16"/>
        </w:trPr>
        <w:tc>
          <w:tcPr>
            <w:tcW w:w="7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FORUM SELECTION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r>
        <w:trPr>
          <w:trHeight w:val="234"/>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149.</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Forum Selection</w:t>
            </w:r>
          </w:p>
        </w:tc>
        <w:tc>
          <w:tcPr>
            <w:tcW w:w="36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4"/>
              </w:rPr>
              <w:t>B-53</w:t>
            </w:r>
          </w:p>
        </w:tc>
      </w:tr>
    </w:tbl>
    <w:p>
      <w:pPr>
        <w:sectPr>
          <w:pgSz w:w="11900" w:h="16838" w:orient="portrait"/>
          <w:cols w:equalWidth="0" w:num="1">
            <w:col w:w="11080"/>
          </w:cols>
          <w:pgMar w:left="320" w:top="445" w:right="49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ARTICLES OF ASSOCIATION</w:t>
      </w:r>
    </w:p>
    <w:p>
      <w:pPr>
        <w:spacing w:after="0" w:line="225" w:lineRule="exact"/>
        <w:rPr>
          <w:sz w:val="20"/>
          <w:szCs w:val="20"/>
          <w:color w:val="auto"/>
        </w:rPr>
      </w:pPr>
    </w:p>
    <w:tbl>
      <w:tblPr>
        <w:tblLayout w:type="fixed"/>
        <w:tblInd w:w="336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11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3180" w:type="dxa"/>
            <w:vAlign w:val="bottom"/>
            <w:gridSpan w:val="5"/>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REZOLVE AI PLC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1"/>
        </w:trPr>
        <w:tc>
          <w:tcPr>
            <w:tcW w:w="31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 xml:space="preserve">(adopted by special resolution passed on </w:t>
            </w:r>
            <w:r>
              <w:rPr>
                <w:rFonts w:ascii="Times New Roman" w:cs="Times New Roman" w:eastAsia="Times New Roman" w:hAnsi="Times New Roman"/>
                <w:sz w:val="18"/>
                <w:szCs w:val="18"/>
                <w:b w:val="1"/>
                <w:bCs w:val="1"/>
                <w:color w:val="auto"/>
              </w:rPr>
              <w:t xml:space="preserve"> </w:t>
            </w: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i w:val="1"/>
                <w:iCs w:val="1"/>
                <w:color w:val="auto"/>
                <w:w w:val="97"/>
              </w:rPr>
              <w:t>2023</w:t>
            </w:r>
          </w:p>
        </w:tc>
      </w:tr>
      <w:tr>
        <w:trPr>
          <w:trHeight w:val="20"/>
        </w:trPr>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180" w:type="dxa"/>
            <w:vAlign w:val="bottom"/>
            <w:gridSpan w:val="5"/>
          </w:tcPr>
          <w:p>
            <w:pPr>
              <w:ind w:left="880"/>
              <w:spacing w:after="0" w:line="196" w:lineRule="exact"/>
              <w:rPr>
                <w:sz w:val="20"/>
                <w:szCs w:val="20"/>
                <w:color w:val="auto"/>
              </w:rPr>
            </w:pPr>
            <w:r>
              <w:rPr>
                <w:rFonts w:ascii="Times New Roman" w:cs="Times New Roman" w:eastAsia="Times New Roman" w:hAnsi="Times New Roman"/>
                <w:sz w:val="18"/>
                <w:szCs w:val="18"/>
                <w:i w:val="1"/>
                <w:iCs w:val="1"/>
                <w:color w:val="auto"/>
              </w:rPr>
              <w:t>and effective on</w:t>
            </w:r>
            <w:r>
              <w:rPr>
                <w:rFonts w:ascii="Times New Roman" w:cs="Times New Roman" w:eastAsia="Times New Roman" w:hAnsi="Times New Roman"/>
                <w:sz w:val="18"/>
                <w:szCs w:val="18"/>
                <w:b w:val="1"/>
                <w:bCs w:val="1"/>
                <w:color w:val="auto"/>
              </w:rPr>
              <w:t xml:space="preserve">                  </w:t>
            </w:r>
          </w:p>
        </w:tc>
        <w:tc>
          <w:tcPr>
            <w:tcW w:w="940" w:type="dxa"/>
            <w:vAlign w:val="bottom"/>
            <w:gridSpan w:val="3"/>
          </w:tcPr>
          <w:p>
            <w:pPr>
              <w:jc w:val="right"/>
              <w:ind w:right="460"/>
              <w:spacing w:after="0" w:line="196" w:lineRule="exact"/>
              <w:rPr>
                <w:sz w:val="20"/>
                <w:szCs w:val="20"/>
                <w:color w:val="auto"/>
              </w:rPr>
            </w:pPr>
            <w:r>
              <w:rPr>
                <w:rFonts w:ascii="Times New Roman" w:cs="Times New Roman" w:eastAsia="Times New Roman" w:hAnsi="Times New Roman"/>
                <w:sz w:val="18"/>
                <w:szCs w:val="18"/>
                <w:i w:val="1"/>
                <w:iCs w:val="1"/>
                <w:color w:val="auto"/>
              </w:rPr>
              <w:t>2023)</w:t>
            </w:r>
          </w:p>
        </w:tc>
        <w:tc>
          <w:tcPr>
            <w:tcW w:w="400" w:type="dxa"/>
            <w:vAlign w:val="bottom"/>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52" w:lineRule="exact"/>
        <w:rPr>
          <w:sz w:val="20"/>
          <w:szCs w:val="20"/>
          <w:color w:val="auto"/>
        </w:rPr>
      </w:pPr>
    </w:p>
    <w:p>
      <w:pPr>
        <w:ind w:left="660" w:hanging="544"/>
        <w:spacing w:after="0"/>
        <w:tabs>
          <w:tab w:leader="none" w:pos="66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Exclusion of default or model articles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model articles or regulations which may apply to companies under the Statutes (including, without limitation, the regulations in Table A in the Companies (Tables A to F) Regulations 1985 (as amended) and the model articles in the Companies (Model Articles) Regulations 2008) shall apply to the Company unless expressly included in these articles.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unless the contrary intention appears:</w:t>
      </w:r>
    </w:p>
    <w:p>
      <w:pPr>
        <w:spacing w:after="0" w:line="131" w:lineRule="exact"/>
        <w:rPr>
          <w:sz w:val="20"/>
          <w:szCs w:val="20"/>
          <w:color w:val="auto"/>
        </w:rPr>
      </w:pPr>
    </w:p>
    <w:p>
      <w:pPr>
        <w:ind w:left="1860" w:hanging="543"/>
        <w:spacing w:after="0"/>
        <w:tabs>
          <w:tab w:leader="none" w:pos="186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apply:</w:t>
      </w:r>
    </w:p>
    <w:p>
      <w:pPr>
        <w:spacing w:after="0" w:line="1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2006 Act </w:t>
      </w:r>
      <w:r>
        <w:rPr>
          <w:rFonts w:ascii="Times New Roman" w:cs="Times New Roman" w:eastAsia="Times New Roman" w:hAnsi="Times New Roman"/>
          <w:sz w:val="18"/>
          <w:szCs w:val="18"/>
          <w:color w:val="auto"/>
        </w:rPr>
        <w:t>means the Companies Act 2006;</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these articles </w:t>
      </w:r>
      <w:r>
        <w:rPr>
          <w:rFonts w:ascii="Times New Roman" w:cs="Times New Roman" w:eastAsia="Times New Roman" w:hAnsi="Times New Roman"/>
          <w:sz w:val="18"/>
          <w:szCs w:val="18"/>
          <w:color w:val="auto"/>
        </w:rPr>
        <w:t>means these articles of association, as amended from time to time;</w:t>
      </w:r>
    </w:p>
    <w:p>
      <w:pPr>
        <w:spacing w:after="0" w:line="117" w:lineRule="exact"/>
        <w:rPr>
          <w:sz w:val="20"/>
          <w:szCs w:val="20"/>
          <w:color w:val="auto"/>
        </w:rPr>
      </w:pPr>
    </w:p>
    <w:p>
      <w:pPr>
        <w:ind w:left="18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of any Person means any other Person which (i) directly, or indirectly through one or more intermediaries,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or is controlled by, or is under common control with, such Person, and (ii) as to any individual, in addition to any Person in clause (i), (a) any member of the immediate family of an individual, including parents, siblings, spouse and children (including those by adoption), the parents, siblings, spouse, or children (including those by adoption) of such immediate family member, and, in any such case, any trust whose primary beneficiary is such individual or one or more members of such immediate family and/or such individual’s lineal descendants, and (b) the legal representative or guardian of such individual or of any such immediate family member in the event such individual or any such immediate family member becomes mentally incompetent; provided, however, that in no event shall the Company or any of its subsidiaries be deemed an Affiliate of any Relevant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7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Auditor </w:t>
      </w:r>
      <w:r>
        <w:rPr>
          <w:rFonts w:ascii="Times New Roman" w:cs="Times New Roman" w:eastAsia="Times New Roman" w:hAnsi="Times New Roman"/>
          <w:sz w:val="18"/>
          <w:szCs w:val="18"/>
          <w:color w:val="auto"/>
        </w:rPr>
        <w:t>means the auditor for the time being of the Company;</w:t>
      </w:r>
    </w:p>
    <w:p>
      <w:pPr>
        <w:spacing w:after="0" w:line="117" w:lineRule="exact"/>
        <w:rPr>
          <w:sz w:val="20"/>
          <w:szCs w:val="20"/>
          <w:color w:val="auto"/>
        </w:rPr>
      </w:pPr>
    </w:p>
    <w:p>
      <w:pPr>
        <w:jc w:val="both"/>
        <w:ind w:left="1880"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Beneficially Own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Beneficial Owner </w:t>
      </w:r>
      <w:r>
        <w:rPr>
          <w:rFonts w:ascii="Times New Roman" w:cs="Times New Roman" w:eastAsia="Times New Roman" w:hAnsi="Times New Roman"/>
          <w:sz w:val="18"/>
          <w:szCs w:val="18"/>
          <w:color w:val="auto"/>
        </w:rPr>
        <w:t>includes without limitation a person who is a Beneficial Owner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such term in Rule 13d-3 under the US Securities Exchange Act 1934 (irrespective of whether or not such Rule is actually applicable in such circumstance)</w:t>
      </w:r>
    </w:p>
    <w:p>
      <w:pPr>
        <w:spacing w:after="0" w:line="63"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for the time being of the Company or the directors present or deemed to be present at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convened meeting of the directors at which a quorum is present;</w:t>
      </w:r>
    </w:p>
    <w:p>
      <w:pPr>
        <w:spacing w:after="0" w:line="47" w:lineRule="exact"/>
        <w:rPr>
          <w:sz w:val="20"/>
          <w:szCs w:val="20"/>
          <w:color w:val="auto"/>
        </w:rPr>
      </w:pPr>
    </w:p>
    <w:p>
      <w:pPr>
        <w:ind w:left="188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clear days </w:t>
      </w:r>
      <w:r>
        <w:rPr>
          <w:rFonts w:ascii="Times New Roman" w:cs="Times New Roman" w:eastAsia="Times New Roman" w:hAnsi="Times New Roman"/>
          <w:sz w:val="18"/>
          <w:szCs w:val="18"/>
          <w:color w:val="auto"/>
        </w:rPr>
        <w:t>means, in relation to the period of a notice, that period excluding the day when the notice is given or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and the day for which it is given or on which it is to take effect;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4" w:right="45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means a committee of the Board;</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Rezolve AI Plc (company no. </w:t>
      </w:r>
      <w:r>
        <w:rPr>
          <w:rFonts w:ascii="Times New Roman" w:cs="Times New Roman" w:eastAsia="Times New Roman" w:hAnsi="Times New Roman"/>
          <w:sz w:val="18"/>
          <w:szCs w:val="18"/>
          <w:b w:val="1"/>
          <w:bCs w:val="1"/>
          <w:color w:val="auto"/>
        </w:rPr>
        <w:t>14573691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8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Deferred Shares </w:t>
      </w:r>
      <w:r>
        <w:rPr>
          <w:rFonts w:ascii="Times New Roman" w:cs="Times New Roman" w:eastAsia="Times New Roman" w:hAnsi="Times New Roman"/>
          <w:sz w:val="18"/>
          <w:szCs w:val="18"/>
          <w:color w:val="auto"/>
        </w:rPr>
        <w:t>means the redeemable deferred shares in the capital of the Company from time to time, referred to in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4(b) and with the rights set out therein and in these articles generally;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director for the time being of the Company;</w:t>
      </w:r>
    </w:p>
    <w:p>
      <w:pPr>
        <w:spacing w:after="0" w:line="117" w:lineRule="exact"/>
        <w:rPr>
          <w:sz w:val="20"/>
          <w:szCs w:val="20"/>
          <w:color w:val="auto"/>
        </w:rPr>
      </w:pPr>
    </w:p>
    <w:p>
      <w:pPr>
        <w:ind w:left="1880"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address </w:t>
      </w:r>
      <w:r>
        <w:rPr>
          <w:rFonts w:ascii="Times New Roman" w:cs="Times New Roman" w:eastAsia="Times New Roman" w:hAnsi="Times New Roman"/>
          <w:sz w:val="18"/>
          <w:szCs w:val="18"/>
          <w:color w:val="auto"/>
        </w:rPr>
        <w:t>means any number or address used for the purposes of sending or receiving notices, documents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by electronic means;</w:t>
      </w:r>
    </w:p>
    <w:p>
      <w:pPr>
        <w:spacing w:after="0" w:line="47" w:lineRule="exact"/>
        <w:rPr>
          <w:sz w:val="20"/>
          <w:szCs w:val="20"/>
          <w:color w:val="auto"/>
        </w:rPr>
      </w:pPr>
    </w:p>
    <w:p>
      <w:pPr>
        <w:ind w:left="188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electronic form </w:t>
      </w:r>
      <w:r>
        <w:rPr>
          <w:rFonts w:ascii="Times New Roman" w:cs="Times New Roman" w:eastAsia="Times New Roman" w:hAnsi="Times New Roman"/>
          <w:sz w:val="18"/>
          <w:szCs w:val="18"/>
          <w:color w:val="auto"/>
        </w:rPr>
        <w:t>means a document sent or supplied by electronic means (for example, by e-mail or fax, or by any other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in an electronic form);</w:t>
      </w:r>
    </w:p>
    <w:p>
      <w:pPr>
        <w:spacing w:after="0" w:line="47" w:lineRule="exact"/>
        <w:rPr>
          <w:sz w:val="20"/>
          <w:szCs w:val="20"/>
          <w:color w:val="auto"/>
        </w:rPr>
      </w:pPr>
    </w:p>
    <w:p>
      <w:pPr>
        <w:ind w:left="1880" w:right="80"/>
        <w:spacing w:after="0" w:line="259" w:lineRule="auto"/>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electronic general meeting</w:t>
      </w:r>
      <w:r>
        <w:rPr>
          <w:rFonts w:ascii="Times New Roman" w:cs="Times New Roman" w:eastAsia="Times New Roman" w:hAnsi="Times New Roman"/>
          <w:sz w:val="18"/>
          <w:szCs w:val="18"/>
          <w:color w:val="auto"/>
        </w:rPr>
        <w:t xml:space="preserve"> means, subject to the Statutes, a general meeting held or conducted in such a way that allows persons who may not be physically present together to participate in the general meeting and communicate with each other any information or opinions they may have on any particular item of business of the meeting, and for the avoidance of doubt, such participation and communication requires that each member participating and communicating at the meeting can both hear any other of them or be heard by any other of them;</w:t>
      </w:r>
    </w:p>
    <w:p>
      <w:pPr>
        <w:spacing w:after="0" w:line="71" w:lineRule="exact"/>
        <w:rPr>
          <w:sz w:val="20"/>
          <w:szCs w:val="20"/>
          <w:color w:val="auto"/>
        </w:rPr>
      </w:pPr>
    </w:p>
    <w:p>
      <w:pPr>
        <w:ind w:left="1880"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means sent initially and received at its destination by means of electronic equipment for the processing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includes digital compression) or storage of data, and entirely transmitted, conveyed and received by wire, by radio, by optical means or by other electromagnetic means;</w:t>
      </w:r>
    </w:p>
    <w:p>
      <w:pPr>
        <w:spacing w:after="0" w:line="63" w:lineRule="exact"/>
        <w:rPr>
          <w:sz w:val="20"/>
          <w:szCs w:val="20"/>
          <w:color w:val="auto"/>
        </w:rPr>
      </w:pPr>
    </w:p>
    <w:p>
      <w:pPr>
        <w:ind w:left="188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as the same may be amended from time to time;</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xml:space="preserve"> means Daniel Wagner;</w:t>
      </w:r>
    </w:p>
    <w:p>
      <w:pPr>
        <w:spacing w:after="0" w:line="117" w:lineRule="exact"/>
        <w:rPr>
          <w:sz w:val="20"/>
          <w:szCs w:val="20"/>
          <w:color w:val="auto"/>
        </w:rPr>
      </w:pPr>
    </w:p>
    <w:p>
      <w:pPr>
        <w:ind w:left="18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Governmental Authority </w:t>
      </w:r>
      <w:r>
        <w:rPr>
          <w:rFonts w:ascii="Times New Roman" w:cs="Times New Roman" w:eastAsia="Times New Roman" w:hAnsi="Times New Roman"/>
          <w:sz w:val="18"/>
          <w:szCs w:val="18"/>
          <w:color w:val="auto"/>
        </w:rPr>
        <w:t>means any federal, state, provincial, municipal, local or foreign government,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or administrative agency, governmental commission, department, board, bureau, agency or instrumentality, court or tribunal;</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hard copy form </w:t>
      </w:r>
      <w:r>
        <w:rPr>
          <w:rFonts w:ascii="Times New Roman" w:cs="Times New Roman" w:eastAsia="Times New Roman" w:hAnsi="Times New Roman"/>
          <w:sz w:val="18"/>
          <w:szCs w:val="18"/>
          <w:color w:val="auto"/>
        </w:rPr>
        <w:t>means a document sent or supplied by paper copy or a similar form capable of being read;</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Relevant Holder </w:t>
      </w:r>
      <w:r>
        <w:rPr>
          <w:rFonts w:ascii="Times New Roman" w:cs="Times New Roman" w:eastAsia="Times New Roman" w:hAnsi="Times New Roman"/>
          <w:sz w:val="18"/>
          <w:szCs w:val="18"/>
          <w:color w:val="auto"/>
        </w:rPr>
        <w:t>means each of [●], [●];</w:t>
      </w:r>
      <w:r>
        <w:rPr>
          <w:rFonts w:ascii="Times New Roman" w:cs="Times New Roman" w:eastAsia="Times New Roman" w:hAnsi="Times New Roman"/>
          <w:sz w:val="26"/>
          <w:szCs w:val="26"/>
          <w:color w:val="auto"/>
          <w:vertAlign w:val="superscript"/>
        </w:rPr>
        <w:t>1</w:t>
      </w:r>
    </w:p>
    <w:p>
      <w:pPr>
        <w:spacing w:after="0" w:line="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in relation to any share means the member whose name is entered in the register as the holder of that share;</w:t>
      </w:r>
    </w:p>
    <w:p>
      <w:pPr>
        <w:spacing w:after="0" w:line="93" w:lineRule="exact"/>
        <w:rPr>
          <w:sz w:val="20"/>
          <w:szCs w:val="20"/>
          <w:color w:val="auto"/>
        </w:rPr>
      </w:pPr>
    </w:p>
    <w:p>
      <w:pPr>
        <w:ind w:left="1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hybrid meeting </w:t>
      </w:r>
      <w:r>
        <w:rPr>
          <w:rFonts w:ascii="Times New Roman" w:cs="Times New Roman" w:eastAsia="Times New Roman" w:hAnsi="Times New Roman"/>
          <w:sz w:val="18"/>
          <w:szCs w:val="18"/>
          <w:color w:val="auto"/>
        </w:rPr>
        <w:t>means a general meeting hosted on an electronic platform, where that meeting is physically hosted at a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simultaneously;</w:t>
      </w:r>
    </w:p>
    <w:p>
      <w:pPr>
        <w:spacing w:after="0" w:line="47" w:lineRule="exact"/>
        <w:rPr>
          <w:sz w:val="20"/>
          <w:szCs w:val="20"/>
          <w:color w:val="auto"/>
        </w:rPr>
      </w:pPr>
    </w:p>
    <w:p>
      <w:pPr>
        <w:ind w:left="188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mutually determined by the nomination committee of the Board, and the Sponsor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who shall satisfy the independence criteria of NASDAQ or otherwise the applicable national exchange on which the Ordinary Shares are then listed;</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Initial Sponsor Director </w:t>
      </w:r>
      <w:r>
        <w:rPr>
          <w:rFonts w:ascii="Times New Roman" w:cs="Times New Roman" w:eastAsia="Times New Roman" w:hAnsi="Times New Roman"/>
          <w:sz w:val="18"/>
          <w:szCs w:val="18"/>
          <w:color w:val="auto"/>
        </w:rPr>
        <w:t>means a maximum of two (2) directors nominated in writing by the Sponsor;</w:t>
      </w:r>
    </w:p>
    <w:p>
      <w:pPr>
        <w:spacing w:after="0" w:line="117" w:lineRule="exact"/>
        <w:rPr>
          <w:sz w:val="20"/>
          <w:szCs w:val="20"/>
          <w:color w:val="auto"/>
        </w:rPr>
      </w:pPr>
    </w:p>
    <w:p>
      <w:pPr>
        <w:ind w:left="188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nominee </w:t>
      </w:r>
      <w:r>
        <w:rPr>
          <w:rFonts w:ascii="Times New Roman" w:cs="Times New Roman" w:eastAsia="Times New Roman" w:hAnsi="Times New Roman"/>
          <w:sz w:val="18"/>
          <w:szCs w:val="18"/>
          <w:color w:val="auto"/>
        </w:rPr>
        <w:t>means a recognised clearing house or a nominee of a recognised clearing house or of a recognised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within the meaning of section 769(2), 776(3) and 778(1) of the 2006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 w:lineRule="exact"/>
        <w:rPr>
          <w:sz w:val="20"/>
          <w:szCs w:val="20"/>
          <w:color w:val="auto"/>
        </w:rPr>
      </w:pPr>
    </w:p>
    <w:p>
      <w:pPr>
        <w:ind w:left="540" w:hanging="424"/>
        <w:spacing w:after="0"/>
        <w:tabs>
          <w:tab w:leader="none" w:pos="540" w:val="left"/>
        </w:tabs>
        <w:numPr>
          <w:ilvl w:val="0"/>
          <w:numId w:val="4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please complete. DLA to confirm</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4" w:right="47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8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Agreement </w:t>
      </w:r>
      <w:r>
        <w:rPr>
          <w:rFonts w:ascii="Times New Roman" w:cs="Times New Roman" w:eastAsia="Times New Roman" w:hAnsi="Times New Roman"/>
          <w:sz w:val="18"/>
          <w:szCs w:val="18"/>
          <w:color w:val="auto"/>
        </w:rPr>
        <w:t>means the Business Combination Agreement, dated as of December 17 2021, as amended on November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and further amended and restated on 16 June 2023, by and among Armada Acquisition Corp. I, a Delaware corporation, Rezolve Limited, a private limited company organized under the laws of England and Wales, the Company and Rezolve Merger Sub, Inc., a Delaware corporation;</w:t>
      </w:r>
    </w:p>
    <w:p>
      <w:pPr>
        <w:spacing w:after="0" w:line="6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calendar month;</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NASDAQ </w:t>
      </w:r>
      <w:r>
        <w:rPr>
          <w:rFonts w:ascii="Times New Roman" w:cs="Times New Roman" w:eastAsia="Times New Roman" w:hAnsi="Times New Roman"/>
          <w:sz w:val="18"/>
          <w:szCs w:val="18"/>
          <w:color w:val="auto"/>
        </w:rPr>
        <w:t>means the market known as NASDAQ operated by the NASDAQ OMX Group, Inc.;</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NASDAQ Rules </w:t>
      </w:r>
      <w:r>
        <w:rPr>
          <w:rFonts w:ascii="Times New Roman" w:cs="Times New Roman" w:eastAsia="Times New Roman" w:hAnsi="Times New Roman"/>
          <w:sz w:val="18"/>
          <w:szCs w:val="18"/>
          <w:color w:val="auto"/>
        </w:rPr>
        <w:t>means the rules of NASDAQ;</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means the registered office for the time being of the Company;</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Operator </w:t>
      </w:r>
      <w:r>
        <w:rPr>
          <w:rFonts w:ascii="Times New Roman" w:cs="Times New Roman" w:eastAsia="Times New Roman" w:hAnsi="Times New Roman"/>
          <w:sz w:val="18"/>
          <w:szCs w:val="18"/>
          <w:color w:val="auto"/>
        </w:rPr>
        <w:t>has the meaning given in the Regulations;</w:t>
      </w:r>
    </w:p>
    <w:p>
      <w:pPr>
        <w:spacing w:after="0" w:line="117" w:lineRule="exact"/>
        <w:rPr>
          <w:sz w:val="20"/>
          <w:szCs w:val="20"/>
          <w:color w:val="auto"/>
        </w:rPr>
      </w:pPr>
    </w:p>
    <w:p>
      <w:pPr>
        <w:ind w:left="188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means the ordinary shares in the capital of the Company from time to time, identified in article 4(a) and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set out therein and in these articles generally;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paid up </w:t>
      </w:r>
      <w:r>
        <w:rPr>
          <w:rFonts w:ascii="Times New Roman" w:cs="Times New Roman" w:eastAsia="Times New Roman" w:hAnsi="Times New Roman"/>
          <w:sz w:val="18"/>
          <w:szCs w:val="18"/>
          <w:color w:val="auto"/>
        </w:rPr>
        <w:t>means paid up or credited as paid up;</w:t>
      </w:r>
    </w:p>
    <w:p>
      <w:pPr>
        <w:spacing w:after="0" w:line="117" w:lineRule="exact"/>
        <w:rPr>
          <w:sz w:val="20"/>
          <w:szCs w:val="20"/>
          <w:color w:val="auto"/>
        </w:rPr>
      </w:pPr>
    </w:p>
    <w:p>
      <w:pPr>
        <w:jc w:val="both"/>
        <w:ind w:left="1880" w:right="2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Permitted Transferee </w:t>
      </w:r>
      <w:r>
        <w:rPr>
          <w:rFonts w:ascii="Times New Roman" w:cs="Times New Roman" w:eastAsia="Times New Roman" w:hAnsi="Times New Roman"/>
          <w:sz w:val="17"/>
          <w:szCs w:val="17"/>
          <w:color w:val="auto"/>
        </w:rPr>
        <w:t>means, with respect to a Relevant Holder, (a) any of its Affiliates or any related or controlled fund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sub-fund, partnership or investment vehicle or any general partner, managing limited partner or management company who holds or manages any business of, or whose business is held or managed by, that Relevant Holder or any of its Affiliates or</w:t>
      </w:r>
    </w:p>
    <w:p>
      <w:pPr>
        <w:spacing w:after="0" w:line="1" w:lineRule="exact"/>
        <w:rPr>
          <w:sz w:val="20"/>
          <w:szCs w:val="20"/>
          <w:color w:val="auto"/>
        </w:rPr>
      </w:pPr>
    </w:p>
    <w:p>
      <w:pPr>
        <w:ind w:left="1880" w:hanging="2"/>
        <w:spacing w:after="0" w:line="252" w:lineRule="auto"/>
        <w:tabs>
          <w:tab w:leader="none" w:pos="2135"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with the prior written consent of the Company (not to be unreasonably withheld, delayed or conditioned). With respect to a Relevant Holder that is an individual, a “Permitted Transferee” shall also include, and for the purposes of Article 7(d)(i) a “Permitted Transferee” shall be, (x) any member of such holder’s immediate family, or a trust for the benefit of the holder or any member of the holder’s immediate family the sole trustees of which are such holder or any member of such holders’s immediate family or (y) a person who becomes entitled to such shares by will, other testamentary document, under the laws of intestacy or by virtue of laws of descent and distribution upon the death of the holder.</w:t>
      </w:r>
    </w:p>
    <w:p>
      <w:pPr>
        <w:spacing w:after="0" w:line="78" w:lineRule="exact"/>
        <w:rPr>
          <w:sz w:val="20"/>
          <w:szCs w:val="20"/>
          <w:color w:val="auto"/>
        </w:rPr>
      </w:pPr>
    </w:p>
    <w:p>
      <w:pPr>
        <w:jc w:val="both"/>
        <w:ind w:left="1880" w:right="4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any individual, sole proprietorship, partnership, limited liability company, joint venture, trust, 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association, corporation, institution, public benefit corporation, Governmental Authority or any other entity;</w:t>
      </w:r>
    </w:p>
    <w:p>
      <w:pPr>
        <w:spacing w:after="0" w:line="24" w:lineRule="exact"/>
        <w:rPr>
          <w:sz w:val="20"/>
          <w:szCs w:val="20"/>
          <w:color w:val="auto"/>
        </w:rPr>
      </w:pPr>
    </w:p>
    <w:p>
      <w:pPr>
        <w:ind w:left="188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 entitled by transmission </w:t>
      </w:r>
      <w:r>
        <w:rPr>
          <w:rFonts w:ascii="Times New Roman" w:cs="Times New Roman" w:eastAsia="Times New Roman" w:hAnsi="Times New Roman"/>
          <w:sz w:val="18"/>
          <w:szCs w:val="18"/>
          <w:color w:val="auto"/>
        </w:rPr>
        <w:t>means a person whose entitlement to a share in consequence of the death or bankruptcy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or of any other event giving rise to its transmission by operation of law has been noted in the register;</w:t>
      </w:r>
    </w:p>
    <w:p>
      <w:pPr>
        <w:spacing w:after="0" w:line="47" w:lineRule="exact"/>
        <w:rPr>
          <w:sz w:val="20"/>
          <w:szCs w:val="20"/>
          <w:color w:val="auto"/>
        </w:rPr>
      </w:pPr>
    </w:p>
    <w:p>
      <w:pPr>
        <w:ind w:left="1880" w:right="100"/>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physical general meeting</w:t>
      </w:r>
      <w:r>
        <w:rPr>
          <w:rFonts w:ascii="Times New Roman" w:cs="Times New Roman" w:eastAsia="Times New Roman" w:hAnsi="Times New Roman"/>
          <w:sz w:val="18"/>
          <w:szCs w:val="18"/>
          <w:color w:val="auto"/>
        </w:rPr>
        <w:t xml:space="preserve"> means a general meeting held or conducted at one or more physical venues (at which facilities are not available to allow for persons who are not at such physical venue to attend or participate in the meeting electronically);</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principal register </w:t>
      </w:r>
      <w:r>
        <w:rPr>
          <w:rFonts w:ascii="Times New Roman" w:cs="Times New Roman" w:eastAsia="Times New Roman" w:hAnsi="Times New Roman"/>
          <w:sz w:val="18"/>
          <w:szCs w:val="18"/>
          <w:color w:val="auto"/>
        </w:rPr>
        <w:t>means the register maintained in England;</w:t>
      </w:r>
    </w:p>
    <w:p>
      <w:pPr>
        <w:spacing w:after="0" w:line="117" w:lineRule="exact"/>
        <w:rPr>
          <w:sz w:val="20"/>
          <w:szCs w:val="20"/>
          <w:color w:val="auto"/>
        </w:rPr>
      </w:pPr>
    </w:p>
    <w:p>
      <w:pPr>
        <w:ind w:left="1880"/>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proxy notification address</w:t>
      </w:r>
      <w:r>
        <w:rPr>
          <w:rFonts w:ascii="Times New Roman" w:cs="Times New Roman" w:eastAsia="Times New Roman" w:hAnsi="Times New Roman"/>
          <w:sz w:val="18"/>
          <w:szCs w:val="18"/>
          <w:color w:val="auto"/>
        </w:rPr>
        <w:t xml:space="preserve"> means the address or addresses (including any electronic address) specified in a notice of a meeting or in any other information issued by the Company in relation to a meeting (or, as the case may be, an adjourned meeting or a poll) for the receipt of proxy notices relating to that meeting (or adjourned meeting or poll) or, if no such address is specified, the office;</w:t>
      </w:r>
    </w:p>
    <w:p>
      <w:pPr>
        <w:spacing w:after="0" w:line="68" w:lineRule="exact"/>
        <w:rPr>
          <w:sz w:val="20"/>
          <w:szCs w:val="20"/>
          <w:color w:val="auto"/>
        </w:rPr>
      </w:pPr>
    </w:p>
    <w:p>
      <w:pPr>
        <w:ind w:left="188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means the register of members of the Company to be kept and maintained under section 113 of the 2006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20 of the Regulations;</w:t>
      </w:r>
    </w:p>
    <w:p>
      <w:pPr>
        <w:spacing w:after="0" w:line="47" w:lineRule="exact"/>
        <w:rPr>
          <w:sz w:val="20"/>
          <w:szCs w:val="20"/>
          <w:color w:val="auto"/>
        </w:rPr>
      </w:pPr>
    </w:p>
    <w:p>
      <w:pPr>
        <w:ind w:left="1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Regulations </w:t>
      </w:r>
      <w:r>
        <w:rPr>
          <w:rFonts w:ascii="Times New Roman" w:cs="Times New Roman" w:eastAsia="Times New Roman" w:hAnsi="Times New Roman"/>
          <w:sz w:val="18"/>
          <w:szCs w:val="18"/>
          <w:color w:val="auto"/>
        </w:rPr>
        <w:t>means the Uncertificated Securities Regulations 2001 (SI 2001 no. 3755) including any rules made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regulations made in substitution for them for the time being in force;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4" w:right="47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88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relevant system </w:t>
      </w:r>
      <w:r>
        <w:rPr>
          <w:rFonts w:ascii="Times New Roman" w:cs="Times New Roman" w:eastAsia="Times New Roman" w:hAnsi="Times New Roman"/>
          <w:sz w:val="18"/>
          <w:szCs w:val="18"/>
          <w:color w:val="auto"/>
        </w:rPr>
        <w:t>means a computer-based system, and procedures, which enable title to units of a security to be evidenced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without a written instrument;</w:t>
      </w:r>
    </w:p>
    <w:p>
      <w:pPr>
        <w:spacing w:after="0" w:line="47" w:lineRule="exact"/>
        <w:rPr>
          <w:sz w:val="20"/>
          <w:szCs w:val="20"/>
          <w:color w:val="auto"/>
        </w:rPr>
      </w:pPr>
    </w:p>
    <w:p>
      <w:pPr>
        <w:ind w:left="188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means any common seal of the Company (if any) or any official seal or securities seal which the Company may have or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have under the Statutes;</w:t>
      </w:r>
    </w:p>
    <w:p>
      <w:pPr>
        <w:spacing w:after="0" w:line="47" w:lineRule="exact"/>
        <w:rPr>
          <w:sz w:val="20"/>
          <w:szCs w:val="20"/>
          <w:color w:val="auto"/>
        </w:rPr>
      </w:pPr>
    </w:p>
    <w:p>
      <w:pPr>
        <w:ind w:left="1880"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the secretary of the Company or, if there are joint secretaries, any of the joint secretaries and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or deputy secretary and any person appointed by the Board to perform any of the duties of the secretary of the Company;</w:t>
      </w:r>
    </w:p>
    <w:p>
      <w:pPr>
        <w:spacing w:after="0" w:line="6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Sponsor </w:t>
      </w:r>
      <w:r>
        <w:rPr>
          <w:rFonts w:ascii="Times New Roman" w:cs="Times New Roman" w:eastAsia="Times New Roman" w:hAnsi="Times New Roman"/>
          <w:sz w:val="18"/>
          <w:szCs w:val="18"/>
          <w:color w:val="auto"/>
        </w:rPr>
        <w:t>means Armada Sponsor LLC</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1880" w:right="8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Sponsor Group </w:t>
      </w:r>
      <w:r>
        <w:rPr>
          <w:rFonts w:ascii="Times New Roman" w:cs="Times New Roman" w:eastAsia="Times New Roman" w:hAnsi="Times New Roman"/>
          <w:sz w:val="18"/>
          <w:szCs w:val="18"/>
          <w:color w:val="auto"/>
        </w:rPr>
        <w:t>means the Sponsor, any of its Permitted Transferees or any other Relevant Holder that has received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(as agreed with the Company) from the Sponsor or any of its Permitted Transferees;</w:t>
      </w:r>
    </w:p>
    <w:p>
      <w:pPr>
        <w:spacing w:after="0" w:line="71" w:lineRule="exact"/>
        <w:rPr>
          <w:sz w:val="20"/>
          <w:szCs w:val="20"/>
          <w:color w:val="auto"/>
        </w:rPr>
      </w:pPr>
    </w:p>
    <w:p>
      <w:pPr>
        <w:ind w:left="1880"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Statutes </w:t>
      </w:r>
      <w:r>
        <w:rPr>
          <w:rFonts w:ascii="Times New Roman" w:cs="Times New Roman" w:eastAsia="Times New Roman" w:hAnsi="Times New Roman"/>
          <w:sz w:val="18"/>
          <w:szCs w:val="18"/>
          <w:color w:val="auto"/>
        </w:rPr>
        <w:t>means the 2006 Act, the Uncertificated Securities Regulations and every other act, statute, statutory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 order for the time being in force concerning companies in so far as they concern the Company;</w:t>
      </w:r>
    </w:p>
    <w:p>
      <w:pPr>
        <w:spacing w:after="0" w:line="47" w:lineRule="exact"/>
        <w:rPr>
          <w:sz w:val="20"/>
          <w:szCs w:val="20"/>
          <w:color w:val="auto"/>
        </w:rPr>
      </w:pPr>
    </w:p>
    <w:p>
      <w:pPr>
        <w:ind w:left="188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transfer office </w:t>
      </w:r>
      <w:r>
        <w:rPr>
          <w:rFonts w:ascii="Times New Roman" w:cs="Times New Roman" w:eastAsia="Times New Roman" w:hAnsi="Times New Roman"/>
          <w:sz w:val="17"/>
          <w:szCs w:val="17"/>
          <w:color w:val="auto"/>
        </w:rPr>
        <w:t>means: (i) in relation to the principal register, the location in England where the principal register is kept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maintained; and (ii) where the Company keeps an overseas branch register in respect of any country, territory or place outside of the United Kingdom the location in that country, territory or place where that overseas branch register is kept and maintained];</w:t>
      </w:r>
    </w:p>
    <w:p>
      <w:pPr>
        <w:spacing w:after="0" w:line="45" w:lineRule="exact"/>
        <w:rPr>
          <w:sz w:val="20"/>
          <w:szCs w:val="20"/>
          <w:color w:val="auto"/>
        </w:rPr>
      </w:pPr>
    </w:p>
    <w:p>
      <w:pPr>
        <w:ind w:left="18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transmission event </w:t>
      </w:r>
      <w:r>
        <w:rPr>
          <w:rFonts w:ascii="Times New Roman" w:cs="Times New Roman" w:eastAsia="Times New Roman" w:hAnsi="Times New Roman"/>
          <w:sz w:val="18"/>
          <w:szCs w:val="18"/>
          <w:color w:val="auto"/>
        </w:rPr>
        <w:t>means death, bankruptcy or any other event giving rise to the transmission of a person’s entitlement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by operation of law;</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those shares held by the Company in treasury in accordance with section 724(1) of the 2006 Act;</w:t>
      </w:r>
    </w:p>
    <w:p>
      <w:pPr>
        <w:spacing w:after="0" w:line="117" w:lineRule="exact"/>
        <w:rPr>
          <w:sz w:val="20"/>
          <w:szCs w:val="20"/>
          <w:color w:val="auto"/>
        </w:rPr>
      </w:pPr>
    </w:p>
    <w:p>
      <w:pPr>
        <w:ind w:left="188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Uncertificated Securities Regulations </w:t>
      </w:r>
      <w:r>
        <w:rPr>
          <w:rFonts w:ascii="Times New Roman" w:cs="Times New Roman" w:eastAsia="Times New Roman" w:hAnsi="Times New Roman"/>
          <w:sz w:val="18"/>
          <w:szCs w:val="18"/>
          <w:color w:val="auto"/>
        </w:rPr>
        <w:t>means the Uncertificated Securities Regulations 2001 as amended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Statutes which supplement or replace such Regulations;</w:t>
      </w:r>
    </w:p>
    <w:p>
      <w:pPr>
        <w:spacing w:after="0" w:line="4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undertaking </w:t>
      </w:r>
      <w:r>
        <w:rPr>
          <w:rFonts w:ascii="Times New Roman" w:cs="Times New Roman" w:eastAsia="Times New Roman" w:hAnsi="Times New Roman"/>
          <w:sz w:val="18"/>
          <w:szCs w:val="18"/>
          <w:color w:val="auto"/>
        </w:rPr>
        <w:t>means undertaking as defined in section 1161 of the 2006 Act;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 xml:space="preserve">the United Kingdom </w:t>
      </w:r>
      <w:r>
        <w:rPr>
          <w:rFonts w:ascii="Times New Roman" w:cs="Times New Roman" w:eastAsia="Times New Roman" w:hAnsi="Times New Roman"/>
          <w:sz w:val="18"/>
          <w:szCs w:val="18"/>
          <w:color w:val="auto"/>
        </w:rPr>
        <w:t>means Great Britain and Northern Ireland;</w:t>
      </w:r>
    </w:p>
    <w:p>
      <w:pPr>
        <w:spacing w:after="0" w:line="117" w:lineRule="exact"/>
        <w:rPr>
          <w:sz w:val="20"/>
          <w:szCs w:val="20"/>
          <w:color w:val="auto"/>
        </w:rPr>
      </w:pPr>
    </w:p>
    <w:p>
      <w:pPr>
        <w:ind w:left="188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United States of America </w:t>
      </w:r>
      <w:r>
        <w:rPr>
          <w:rFonts w:ascii="Times New Roman" w:cs="Times New Roman" w:eastAsia="Times New Roman" w:hAnsi="Times New Roman"/>
          <w:sz w:val="18"/>
          <w:szCs w:val="18"/>
          <w:color w:val="auto"/>
        </w:rPr>
        <w:t>means the United States of America and its territories and possessions, including the District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Columbia;</w:t>
      </w:r>
    </w:p>
    <w:p>
      <w:pPr>
        <w:spacing w:after="0" w:line="47" w:lineRule="exact"/>
        <w:rPr>
          <w:sz w:val="20"/>
          <w:szCs w:val="20"/>
          <w:color w:val="auto"/>
        </w:rPr>
      </w:pPr>
    </w:p>
    <w:p>
      <w:pPr>
        <w:ind w:left="1880" w:right="2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US branch register </w:t>
      </w:r>
      <w:r>
        <w:rPr>
          <w:rFonts w:ascii="Times New Roman" w:cs="Times New Roman" w:eastAsia="Times New Roman" w:hAnsi="Times New Roman"/>
          <w:sz w:val="18"/>
          <w:szCs w:val="18"/>
          <w:color w:val="auto"/>
        </w:rPr>
        <w:t>means the overseas branch register of the Company, if any, maintained in the United States of America;</w:t>
      </w:r>
      <w:r>
        <w:rPr>
          <w:rFonts w:ascii="Times New Roman" w:cs="Times New Roman" w:eastAsia="Times New Roman" w:hAnsi="Times New Roman"/>
          <w:sz w:val="18"/>
          <w:szCs w:val="18"/>
          <w:b w:val="1"/>
          <w:bCs w:val="1"/>
          <w:color w:val="auto"/>
        </w:rPr>
        <w:t xml:space="preserve"> working day </w:t>
      </w:r>
      <w:r>
        <w:rPr>
          <w:rFonts w:ascii="Times New Roman" w:cs="Times New Roman" w:eastAsia="Times New Roman" w:hAnsi="Times New Roman"/>
          <w:sz w:val="18"/>
          <w:szCs w:val="18"/>
          <w:color w:val="auto"/>
        </w:rPr>
        <w:t>means working day as defined in section 1173 of the 2006 Act; and</w:t>
      </w:r>
      <w:r>
        <w:rPr>
          <w:rFonts w:ascii="Times New Roman" w:cs="Times New Roman" w:eastAsia="Times New Roman" w:hAnsi="Times New Roman"/>
          <w:sz w:val="18"/>
          <w:szCs w:val="18"/>
          <w:b w:val="1"/>
          <w:bCs w:val="1"/>
          <w:color w:val="auto"/>
        </w:rPr>
        <w:t xml:space="preserve"> year </w:t>
      </w:r>
      <w:r>
        <w:rPr>
          <w:rFonts w:ascii="Times New Roman" w:cs="Times New Roman" w:eastAsia="Times New Roman" w:hAnsi="Times New Roman"/>
          <w:sz w:val="18"/>
          <w:szCs w:val="18"/>
          <w:color w:val="auto"/>
        </w:rPr>
        <w:t>means calendar year;</w:t>
      </w:r>
    </w:p>
    <w:p>
      <w:pPr>
        <w:spacing w:after="0" w:line="222" w:lineRule="exact"/>
        <w:rPr>
          <w:sz w:val="20"/>
          <w:szCs w:val="20"/>
          <w:color w:val="auto"/>
        </w:rPr>
      </w:pPr>
    </w:p>
    <w:p>
      <w:pPr>
        <w:ind w:left="1860" w:right="120" w:hanging="543"/>
        <w:spacing w:after="0" w:line="261" w:lineRule="auto"/>
        <w:tabs>
          <w:tab w:leader="none" w:pos="18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uncertificated share, or to a share being held in uncertificated form, shall (subject to regulation 42(11)(a) of the Uncertificated Securities Regulations) mean a share in the capital of the Company which is for the time being recorded on the Operator Register of Members (as defined in regulation 20(1) of the Uncertificated Securities Regulations), and any reference to a certificated share means any share other than an uncertificated share;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6" w:lineRule="auto"/>
        <w:tabs>
          <w:tab w:leader="none" w:pos="18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expression </w:t>
      </w:r>
      <w:r>
        <w:rPr>
          <w:rFonts w:ascii="Times New Roman" w:cs="Times New Roman" w:eastAsia="Times New Roman" w:hAnsi="Times New Roman"/>
          <w:sz w:val="18"/>
          <w:szCs w:val="18"/>
          <w:b w:val="1"/>
          <w:bCs w:val="1"/>
          <w:color w:val="auto"/>
        </w:rPr>
        <w:t>member present in person</w:t>
      </w:r>
      <w:r>
        <w:rPr>
          <w:rFonts w:ascii="Times New Roman" w:cs="Times New Roman" w:eastAsia="Times New Roman" w:hAnsi="Times New Roman"/>
          <w:sz w:val="18"/>
          <w:szCs w:val="18"/>
          <w:color w:val="auto"/>
        </w:rPr>
        <w:t xml:space="preserve"> shall be deemed to include a member present by proxy or, in the case of a corporate member, by a duly authorised representative and cognate expressions shall be construed accordingly;</w:t>
      </w:r>
    </w:p>
    <w:p>
      <w:pPr>
        <w:spacing w:after="0" w:line="6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to </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xml:space="preserve"> of notice shall be construed as meaning clear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77152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4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Please complete. DLA to confirm</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4"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line="266" w:lineRule="auto"/>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words or expressions defined in the 2006 Act or the Uncertificated Securities Regulations or, if not defined in that Act or those Regulations, in any other of the Statutes (in each case as in force on the date these articles take effect) have the same meaning in these articles or that part (as the case may be) except that the word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includes any body corporate;</w:t>
      </w:r>
    </w:p>
    <w:p>
      <w:pPr>
        <w:spacing w:after="0" w:line="81" w:lineRule="exact"/>
        <w:rPr>
          <w:rFonts w:ascii="Times New Roman" w:cs="Times New Roman" w:eastAsia="Times New Roman" w:hAnsi="Times New Roman"/>
          <w:sz w:val="18"/>
          <w:szCs w:val="18"/>
          <w:color w:val="auto"/>
        </w:rPr>
      </w:pPr>
    </w:p>
    <w:p>
      <w:pPr>
        <w:ind w:left="1860" w:right="20" w:hanging="543"/>
        <w:spacing w:after="0" w:line="282" w:lineRule="auto"/>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any statute or statutory provision includes a reference to any modification or re-enactment of it for the time being in force;</w:t>
      </w:r>
    </w:p>
    <w:p>
      <w:pPr>
        <w:spacing w:after="0" w:line="67"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 words importing one gender include the other gender and words importing persons include bodies corporate and unincorporated associations;</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includes a reference to any method of reproducing words in a legible form;</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w:t>
      </w:r>
    </w:p>
    <w:p>
      <w:pPr>
        <w:spacing w:after="0" w:line="126"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xml:space="preserve"> includes reference to an electronic communication;</w:t>
      </w:r>
    </w:p>
    <w:p>
      <w:pPr>
        <w:spacing w:after="0" w:line="134"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document being sealed or executed under seal or under the common seal of any body corporate (including the Company) or any similar expression includes a reference to its being executed in any other manner which has the same effect as if it were executed under seal;</w:t>
      </w:r>
    </w:p>
    <w:p>
      <w:pPr>
        <w:spacing w:after="0" w:line="77" w:lineRule="exact"/>
        <w:rPr>
          <w:rFonts w:ascii="Times New Roman" w:cs="Times New Roman" w:eastAsia="Times New Roman" w:hAnsi="Times New Roman"/>
          <w:sz w:val="18"/>
          <w:szCs w:val="18"/>
          <w:color w:val="auto"/>
        </w:rPr>
      </w:pPr>
    </w:p>
    <w:p>
      <w:pPr>
        <w:ind w:left="2520" w:right="380" w:hanging="649"/>
        <w:spacing w:after="0" w:line="286" w:lineRule="auto"/>
        <w:tabs>
          <w:tab w:leader="none" w:pos="25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ml:space="preserve"> means a written document having tangible form (e.g. on paper) and not comprised in an electronic communication;</w:t>
      </w:r>
    </w:p>
    <w:p>
      <w:pPr>
        <w:spacing w:after="0" w:line="60" w:lineRule="exact"/>
        <w:rPr>
          <w:rFonts w:ascii="Times New Roman" w:cs="Times New Roman" w:eastAsia="Times New Roman" w:hAnsi="Times New Roman"/>
          <w:sz w:val="18"/>
          <w:szCs w:val="18"/>
          <w:color w:val="auto"/>
        </w:rPr>
      </w:pPr>
    </w:p>
    <w:p>
      <w:pPr>
        <w:ind w:left="2520" w:right="120" w:hanging="649"/>
        <w:spacing w:after="0" w:line="268" w:lineRule="auto"/>
        <w:tabs>
          <w:tab w:leader="none" w:pos="25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writing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means the representation or reproduction of words, numbers or symbols in a legible and non-transitory form by any method or combination of methods whether comprised in an electronic communication or otherwise and including (without limitation) by e-mail;</w:t>
      </w:r>
    </w:p>
    <w:p>
      <w:pPr>
        <w:spacing w:after="0" w:line="76" w:lineRule="exact"/>
        <w:rPr>
          <w:rFonts w:ascii="Times New Roman" w:cs="Times New Roman" w:eastAsia="Times New Roman" w:hAnsi="Times New Roman"/>
          <w:sz w:val="18"/>
          <w:szCs w:val="18"/>
          <w:color w:val="auto"/>
        </w:rPr>
      </w:pPr>
    </w:p>
    <w:p>
      <w:pPr>
        <w:jc w:val="both"/>
        <w:ind w:left="2520" w:right="480" w:hanging="649"/>
        <w:spacing w:after="0" w:line="268" w:lineRule="auto"/>
        <w:tabs>
          <w:tab w:leader="none" w:pos="25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in relation to electronic communications, includes any number or address (including, in the case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Uncertificated Proxy Instruction permitted by article 56, an identification number or a participant in the relevant system concerned) used for the purposes of such communications;</w:t>
      </w:r>
    </w:p>
    <w:p>
      <w:pPr>
        <w:spacing w:after="0" w:line="76" w:lineRule="exact"/>
        <w:rPr>
          <w:rFonts w:ascii="Times New Roman" w:cs="Times New Roman" w:eastAsia="Times New Roman" w:hAnsi="Times New Roman"/>
          <w:sz w:val="18"/>
          <w:szCs w:val="18"/>
          <w:color w:val="auto"/>
        </w:rPr>
      </w:pPr>
    </w:p>
    <w:p>
      <w:pPr>
        <w:ind w:left="2520" w:right="100" w:hanging="649"/>
        <w:spacing w:after="0" w:line="268" w:lineRule="auto"/>
        <w:tabs>
          <w:tab w:leader="none" w:pos="25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 </w:t>
      </w:r>
      <w:r>
        <w:rPr>
          <w:rFonts w:ascii="Times New Roman" w:cs="Times New Roman" w:eastAsia="Times New Roman" w:hAnsi="Times New Roman"/>
          <w:sz w:val="18"/>
          <w:szCs w:val="18"/>
          <w:color w:val="auto"/>
        </w:rPr>
        <w:t>means, for the purposes of physical general meetings, present in person, or, for the purposes of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general meetings, present by electronic means (and references to persons attending </w:t>
      </w:r>
      <w:r>
        <w:rPr>
          <w:rFonts w:ascii="Times New Roman" w:cs="Times New Roman" w:eastAsia="Times New Roman" w:hAnsi="Times New Roman"/>
          <w:sz w:val="18"/>
          <w:szCs w:val="18"/>
          <w:b w:val="1"/>
          <w:bCs w:val="1"/>
          <w:color w:val="auto"/>
        </w:rPr>
        <w:t>by electronic means</w:t>
      </w:r>
      <w:r>
        <w:rPr>
          <w:rFonts w:ascii="Times New Roman" w:cs="Times New Roman" w:eastAsia="Times New Roman" w:hAnsi="Times New Roman"/>
          <w:sz w:val="18"/>
          <w:szCs w:val="18"/>
          <w:color w:val="auto"/>
        </w:rPr>
        <w:t xml:space="preserve"> is defined as attendance at electronic general meetings via the electronic platform(s) stated in the notice of such meeting);</w:t>
      </w:r>
    </w:p>
    <w:p>
      <w:pPr>
        <w:spacing w:after="0" w:line="80" w:lineRule="exact"/>
        <w:rPr>
          <w:rFonts w:ascii="Times New Roman" w:cs="Times New Roman" w:eastAsia="Times New Roman" w:hAnsi="Times New Roman"/>
          <w:sz w:val="18"/>
          <w:szCs w:val="18"/>
          <w:color w:val="auto"/>
        </w:rPr>
      </w:pPr>
    </w:p>
    <w:p>
      <w:pPr>
        <w:ind w:left="1860" w:right="760" w:hanging="543"/>
        <w:spacing w:after="0" w:line="282" w:lineRule="auto"/>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meeting shall not be taken as requiring more than one person to be present in person if any quorum requirement can be satisfied by one person;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show of hands includes such other method of casting votes as the Board may from time to time approve;</w:t>
      </w:r>
    </w:p>
    <w:p>
      <w:pPr>
        <w:spacing w:after="0" w:line="130"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person who is attending or participating in a meeting electronically is a reference to a person whose attendance or participation at that meeting is enabled by a facility or facilities (whether electronic or otherwise), other than physical presence at a general meeting, which allows persons who may not be physically present together to communicate with each other any information or opinions they may have on any particular item of business of the meeting; electronic attendance and participation shall be construed accordingly;</w:t>
      </w:r>
    </w:p>
    <w:p>
      <w:pPr>
        <w:spacing w:after="0" w:line="88" w:lineRule="exact"/>
        <w:rPr>
          <w:rFonts w:ascii="Times New Roman" w:cs="Times New Roman" w:eastAsia="Times New Roman" w:hAnsi="Times New Roman"/>
          <w:sz w:val="18"/>
          <w:szCs w:val="18"/>
          <w:color w:val="auto"/>
        </w:rPr>
      </w:pPr>
    </w:p>
    <w:p>
      <w:pPr>
        <w:ind w:left="1860" w:right="260" w:hanging="543"/>
        <w:spacing w:after="0" w:line="266" w:lineRule="auto"/>
        <w:tabs>
          <w:tab w:leader="none" w:pos="18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a power of sale or other right of disposal in relation to any share, any reference to the power of the Company or the Board to authorise a person to transfer that share to or as directed by the person to whom the share has been sold or disposed of shall, in the case of an uncertificated share, be deemed to include a reference to such other action as may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080"/>
          </w:cols>
          <w:pgMar w:left="320" w:top="454" w:right="49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be necessary to enable that share to be registered in the name of that person or as directed by that person; and</w:t>
      </w:r>
    </w:p>
    <w:p>
      <w:pPr>
        <w:spacing w:after="0" w:line="131" w:lineRule="exact"/>
        <w:rPr>
          <w:sz w:val="20"/>
          <w:szCs w:val="20"/>
          <w:color w:val="auto"/>
        </w:rPr>
      </w:pPr>
    </w:p>
    <w:p>
      <w:pPr>
        <w:ind w:left="1860" w:hanging="543"/>
        <w:spacing w:after="0"/>
        <w:tabs>
          <w:tab w:leader="none" w:pos="186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attaching to any share;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having a right to attend and vote at general meetings of the Company;</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being paid, or any other distribution of the Company’s assets being made, to members;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 certain proportion or percentage of the issued share capital, or any class of share capital,</w:t>
      </w:r>
    </w:p>
    <w:p>
      <w:pPr>
        <w:spacing w:after="0" w:line="117"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shall, unless otherwise expressly provided by the Statutes, be construed as though any treasury shares held by the Company had been cancelled.</w:t>
      </w:r>
    </w:p>
    <w:p>
      <w:pPr>
        <w:spacing w:after="0" w:line="67" w:lineRule="exact"/>
        <w:rPr>
          <w:sz w:val="20"/>
          <w:szCs w:val="20"/>
          <w:color w:val="auto"/>
        </w:rPr>
      </w:pPr>
    </w:p>
    <w:p>
      <w:pPr>
        <w:ind w:left="1860" w:right="20" w:hanging="543"/>
        <w:spacing w:after="0" w:line="282" w:lineRule="auto"/>
        <w:tabs>
          <w:tab w:leader="none" w:pos="186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special resolution shall be effective for any purpose for which an ordinary resolution is expressed to be required under these articles.</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these articles are inserted for convenience only and shall not affect construction.</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liability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members is limited to the amount, if any, unpaid on the shares in the Company respectively held by them.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52" w:lineRule="exact"/>
        <w:rPr>
          <w:sz w:val="20"/>
          <w:szCs w:val="20"/>
          <w:color w:val="auto"/>
        </w:rPr>
      </w:pPr>
    </w:p>
    <w:p>
      <w:pPr>
        <w:ind w:left="660" w:hanging="544"/>
        <w:spacing w:after="0"/>
        <w:tabs>
          <w:tab w:leader="none" w:pos="660" w:val="left"/>
        </w:tabs>
        <w:numPr>
          <w:ilvl w:val="0"/>
          <w:numId w:val="4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and rights attached to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issue the following shares in the capital of the Company with rights attaching to them as follows:</w:t>
      </w:r>
    </w:p>
    <w:p>
      <w:pPr>
        <w:spacing w:after="0" w:line="126" w:lineRule="exact"/>
        <w:rPr>
          <w:rFonts w:ascii="Times New Roman" w:cs="Times New Roman" w:eastAsia="Times New Roman" w:hAnsi="Times New Roman"/>
          <w:sz w:val="18"/>
          <w:szCs w:val="18"/>
          <w:b w:val="1"/>
          <w:bCs w:val="1"/>
          <w:color w:val="auto"/>
        </w:rPr>
      </w:pPr>
    </w:p>
    <w:p>
      <w:pPr>
        <w:ind w:left="1860" w:hanging="543"/>
        <w:spacing w:after="0" w:line="268" w:lineRule="auto"/>
        <w:tabs>
          <w:tab w:leader="none" w:pos="186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Each Ordinary Share shall be non-redeemable and shall have one vote attaching to it for voting purposes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as provided in article 5(b) in respect of those shares held by the Founder and/or in which he is interested or of which he is Beneficial Owner).</w:t>
      </w:r>
    </w:p>
    <w:p>
      <w:pPr>
        <w:spacing w:after="0" w:line="76" w:lineRule="exact"/>
        <w:rPr>
          <w:rFonts w:ascii="Times New Roman" w:cs="Times New Roman" w:eastAsia="Times New Roman" w:hAnsi="Times New Roman"/>
          <w:sz w:val="18"/>
          <w:szCs w:val="18"/>
          <w:color w:val="auto"/>
        </w:rPr>
      </w:pPr>
    </w:p>
    <w:p>
      <w:pPr>
        <w:ind w:left="1860" w:right="460" w:hanging="543"/>
        <w:spacing w:after="0" w:line="286" w:lineRule="auto"/>
        <w:tabs>
          <w:tab w:leader="none" w:pos="1860"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Shares</w:t>
      </w:r>
      <w:r>
        <w:rPr>
          <w:rFonts w:ascii="Times New Roman" w:cs="Times New Roman" w:eastAsia="Times New Roman" w:hAnsi="Times New Roman"/>
          <w:sz w:val="18"/>
          <w:szCs w:val="18"/>
          <w:color w:val="auto"/>
        </w:rPr>
        <w:t>: Each Deferred Share shall be redeemable at the option of the Company and shall have the rights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set out in article 6 below.</w:t>
      </w:r>
    </w:p>
    <w:p>
      <w:pPr>
        <w:spacing w:after="0" w:line="51"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Ordinary Shares shall form a single class in the capital of the Company in all respects including as to rights: (i) to receive a dividend or other distribution; (ii) upon a liquidation, dissolution or winding up of the Company; or (iii) upon a direct or indirect change of control of the Company. For the avoidance of doubt, the Deferred Shares shall have the rights and be subject to the restrictions set out in article 6 below only and shall be treated in all respects as a distinct and separate class of shares in the capital of the Company to those of the Ordinary Shares.</w:t>
      </w:r>
    </w:p>
    <w:p>
      <w:pPr>
        <w:spacing w:after="0" w:line="324" w:lineRule="exact"/>
        <w:rPr>
          <w:sz w:val="20"/>
          <w:szCs w:val="20"/>
          <w:color w:val="auto"/>
        </w:rPr>
      </w:pPr>
    </w:p>
    <w:p>
      <w:pPr>
        <w:ind w:left="660" w:hanging="544"/>
        <w:spacing w:after="0"/>
        <w:tabs>
          <w:tab w:leader="none" w:pos="660" w:val="left"/>
        </w:tabs>
        <w:numPr>
          <w:ilvl w:val="0"/>
          <w:numId w:val="4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Founder’s Shares</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2" w:lineRule="auto"/>
        <w:tabs>
          <w:tab w:leader="none" w:pos="18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this article 5, any rights attaching to the Ordinary Shares may only be varied in accordance with the provisions of article 18.</w:t>
      </w:r>
    </w:p>
    <w:p>
      <w:pPr>
        <w:spacing w:after="0" w:line="67" w:lineRule="exact"/>
        <w:rPr>
          <w:rFonts w:ascii="Times New Roman" w:cs="Times New Roman" w:eastAsia="Times New Roman" w:hAnsi="Times New Roman"/>
          <w:sz w:val="18"/>
          <w:szCs w:val="18"/>
          <w:color w:val="auto"/>
        </w:rPr>
      </w:pPr>
    </w:p>
    <w:p>
      <w:pPr>
        <w:ind w:left="1860" w:right="440" w:hanging="543"/>
        <w:spacing w:after="0" w:line="282" w:lineRule="auto"/>
        <w:tabs>
          <w:tab w:leader="none" w:pos="186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the aggregate number of votes attaching to all the shares held by the Founder and/or in which he is interested or of which he is Beneficial Owner shall be equal to the higher of:</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00"/>
          </w:cols>
          <w:pgMar w:left="320" w:top="454" w:right="47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20" w:hanging="649"/>
        <w:spacing w:after="0"/>
        <w:tabs>
          <w:tab w:leader="none" w:pos="2520"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have been conferred on the Founder if this article 5, did not apply.</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attaching to the Deferred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Deferred Share shall confer upon the holder such rights, and be subject to restrictions, as follows:</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a Deferred Share:</w:t>
      </w:r>
    </w:p>
    <w:p>
      <w:pPr>
        <w:spacing w:after="0" w:line="130" w:lineRule="exact"/>
        <w:rPr>
          <w:rFonts w:ascii="Times New Roman" w:cs="Times New Roman" w:eastAsia="Times New Roman" w:hAnsi="Times New Roman"/>
          <w:sz w:val="18"/>
          <w:szCs w:val="18"/>
          <w:color w:val="auto"/>
        </w:rPr>
      </w:pPr>
    </w:p>
    <w:p>
      <w:pPr>
        <w:ind w:left="2520" w:right="300" w:hanging="649"/>
        <w:spacing w:after="0" w:line="282" w:lineRule="auto"/>
        <w:tabs>
          <w:tab w:leader="none" w:pos="2520" w:val="left"/>
        </w:tabs>
        <w:numPr>
          <w:ilvl w:val="2"/>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any dividend or distribution declared, made or paid or any return of capital and does not entitle its holder to any further or other right of participation in the assets of the Company;</w:t>
      </w:r>
    </w:p>
    <w:p>
      <w:pPr>
        <w:spacing w:after="0" w:line="67" w:lineRule="exact"/>
        <w:rPr>
          <w:sz w:val="20"/>
          <w:szCs w:val="20"/>
          <w:color w:val="auto"/>
        </w:rPr>
      </w:pPr>
    </w:p>
    <w:p>
      <w:pPr>
        <w:ind w:left="2520" w:right="620" w:hanging="649"/>
        <w:spacing w:after="0" w:line="282" w:lineRule="auto"/>
        <w:tabs>
          <w:tab w:leader="none" w:pos="252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participate on a return of assets on a winding up of the Company beyond $1 for all Deferred Shares in issue;</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a share certificate in respect of his or her shareholding, save as required by the Statutes;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entitle its holder to receive notice of, attend, speak or vote at, any general meeting of the Company;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transferable at any time other than with the prior written consent of the Board;</w:t>
      </w:r>
    </w:p>
    <w:p>
      <w:pPr>
        <w:spacing w:after="0" w:line="130"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Deferred Shares from time to time shall be redeemable at the option of the Company (but not any member) for US$ 1.00 in aggregate for all such Deferred Shares being redeemed or such higher amount as may be determined by the Board and, as the case may be, specified in any agreement with the member holding such Deferred Shares;</w:t>
      </w:r>
    </w:p>
    <w:p>
      <w:pPr>
        <w:spacing w:after="0" w:line="81" w:lineRule="exact"/>
        <w:rPr>
          <w:rFonts w:ascii="Times New Roman" w:cs="Times New Roman" w:eastAsia="Times New Roman" w:hAnsi="Times New Roman"/>
          <w:sz w:val="18"/>
          <w:szCs w:val="18"/>
          <w:color w:val="auto"/>
        </w:rPr>
      </w:pPr>
    </w:p>
    <w:p>
      <w:pPr>
        <w:ind w:left="1860" w:right="220" w:hanging="543"/>
        <w:spacing w:after="0" w:line="282" w:lineRule="auto"/>
        <w:tabs>
          <w:tab w:leader="none" w:pos="186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and where required pursuant to the terms of the Merger Agreement (but subject always to any applicable law) the Board shall:</w:t>
      </w:r>
    </w:p>
    <w:p>
      <w:pPr>
        <w:spacing w:after="0" w:line="67"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such actions as are required to redeem any or all of the Deferred Shares in issue from time to time (subject to the requirements of the Statutes) and without any requirement to obtain the consent or sanction of the holders thereof; and</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any person to execute and do all such deeds, documents, acts and things as may be necessary to give effect to the actions contemplated by this article 6; and</w:t>
      </w:r>
    </w:p>
    <w:p>
      <w:pPr>
        <w:spacing w:after="0" w:line="67" w:lineRule="exact"/>
        <w:rPr>
          <w:rFonts w:ascii="Times New Roman" w:cs="Times New Roman" w:eastAsia="Times New Roman" w:hAnsi="Times New Roman"/>
          <w:sz w:val="18"/>
          <w:szCs w:val="18"/>
          <w:color w:val="auto"/>
        </w:rPr>
      </w:pPr>
    </w:p>
    <w:p>
      <w:pPr>
        <w:ind w:left="1860" w:right="200" w:hanging="543"/>
        <w:spacing w:after="0" w:line="261" w:lineRule="auto"/>
        <w:tabs>
          <w:tab w:leader="none" w:pos="186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attached to the Deferred Shares shall not be deemed to be varied or abrogated by the creation or issue of any new shares ranking in priority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shares, any amendment or variation of the rights of any other class of shares of the Company, the Company reducing its share capital or surrender or purchase of any share, whether a Deferred Share or otherwise.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to Deferred Shares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agree with any member terms and conditions upon which all or any part of the Ordinary Shares held by such member from time to time shall be automatically and irrevocably converted into Deferred Shares without any requirement to obtain the further consent or sanction of such member and may deal with any such Deferred Shares in accordance with article 6.</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other provisions of these articles (including but not limited to article 7(a) or article 10(c)(iii)), the Board may, pursuant to any agreement with a member granting the Company an express right to do so, convert any Ordinary Shares to Deferred Shares without any requirement to obtain the further consent or sanction of that member and may deal with any such Deferred Shares in accordance with article 6.</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4" w:right="45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80" w:hanging="543"/>
        <w:spacing w:after="0" w:line="261" w:lineRule="auto"/>
        <w:tabs>
          <w:tab w:leader="none" w:pos="18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director of the Company (or any affiliate of any such director) is a holder of Ordinary Shares that are subject to conversion to Deferred Shares as envisaged by articles 7(a) and 7(b) above, such director shall be prohibited from counting in the quorum or voting in respect of any resolutions proposed to be passed by the Board in connection with the conversion and/or subsequent redemption of such shares.</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130" w:lineRule="exact"/>
        <w:rPr>
          <w:rFonts w:ascii="Times New Roman" w:cs="Times New Roman" w:eastAsia="Times New Roman" w:hAnsi="Times New Roman"/>
          <w:sz w:val="18"/>
          <w:szCs w:val="18"/>
          <w:color w:val="auto"/>
        </w:rPr>
      </w:pPr>
    </w:p>
    <w:p>
      <w:pPr>
        <w:ind w:left="2520" w:hanging="649"/>
        <w:spacing w:after="0" w:line="256" w:lineRule="auto"/>
        <w:tabs>
          <w:tab w:leader="none" w:pos="252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 employee or consultant (other than the Founder) ceases to be an employee or consultant of or to the Company or any subsidiary (such that he is neither an employee or consultant of or to the Company or any subsidiary), then unless the Board resolves otherwise with the written consent of the Founder all the Shares held by such holder and/or his Permitted Transferees (the “</w:t>
      </w:r>
      <w:r>
        <w:rPr>
          <w:rFonts w:ascii="Times New Roman" w:cs="Times New Roman" w:eastAsia="Times New Roman" w:hAnsi="Times New Roman"/>
          <w:sz w:val="18"/>
          <w:szCs w:val="18"/>
          <w:b w:val="1"/>
          <w:bCs w:val="1"/>
          <w:color w:val="auto"/>
        </w:rPr>
        <w:t>Departing Employee Shares</w:t>
      </w:r>
      <w:r>
        <w:rPr>
          <w:rFonts w:ascii="Times New Roman" w:cs="Times New Roman" w:eastAsia="Times New Roman" w:hAnsi="Times New Roman"/>
          <w:sz w:val="18"/>
          <w:szCs w:val="18"/>
          <w:color w:val="auto"/>
        </w:rPr>
        <w:t>”) shall automatically convert into Deferred Shares (on the basis of one Deferred Share for each Share held) on the date of such cessation (the “Cessation Date”) (rounded down to the nearest whole share).</w:t>
      </w:r>
    </w:p>
    <w:p>
      <w:pPr>
        <w:spacing w:after="0" w:line="92" w:lineRule="exact"/>
        <w:rPr>
          <w:rFonts w:ascii="Times New Roman" w:cs="Times New Roman" w:eastAsia="Times New Roman" w:hAnsi="Times New Roman"/>
          <w:sz w:val="18"/>
          <w:szCs w:val="18"/>
          <w:color w:val="auto"/>
        </w:rPr>
      </w:pPr>
    </w:p>
    <w:p>
      <w:pPr>
        <w:ind w:left="2520" w:hanging="649"/>
        <w:spacing w:after="0" w:line="255" w:lineRule="auto"/>
        <w:tabs>
          <w:tab w:leader="none" w:pos="2520"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conversion into Deferred Shares, the Company shall be entitled to enter the holder of the Deferred Shares on the register of members of the Company as the holder of the appropriate number of Deferred Shares as from the Cessation Date. Upon the Cessation Date, the holder of the Departing Employee Shares shall deliver to the Company at its registered office the share certificate(s) (to the extent not already in the possession of the Company) (or an indemnity for lost certificate in a form acceptable to the Board) for the Shares so converting and upon such delivery there shall be issued to him (or his Permitted Transferee(s)) share certificate(s) for the number of Deferred Shares resulting from the relevant conversion.</w:t>
      </w:r>
    </w:p>
    <w:p>
      <w:pPr>
        <w:spacing w:after="0" w:line="333"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Authority to allot shares and grant rights</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these articles and any resolution of the Company, the Board may offer, allot (with or without conferring a right of renunciation), grant options over, grant rights to subscribe for or to convert any security into or otherwise deal with or dispose of any unissued shares in the Company to such persons, at such times and generally on such terms as the Board may decide.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pay commission</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pay commissions or brokerage fees in respect of shares on such terms as the directors may think proper.</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alter share capital</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exercise the powers conferred by the Statutes to:</w:t>
      </w:r>
    </w:p>
    <w:p>
      <w:pPr>
        <w:spacing w:after="0" w:line="130" w:lineRule="exact"/>
        <w:rPr>
          <w:rFonts w:ascii="Times New Roman" w:cs="Times New Roman" w:eastAsia="Times New Roman" w:hAnsi="Times New Roman"/>
          <w:sz w:val="18"/>
          <w:szCs w:val="18"/>
          <w:color w:val="auto"/>
        </w:rPr>
      </w:pPr>
    </w:p>
    <w:p>
      <w:pPr>
        <w:ind w:left="2520" w:right="660" w:hanging="649"/>
        <w:spacing w:after="0" w:line="282" w:lineRule="auto"/>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creating new shares of such amount and in such currency or currencies as it thinks expedient;</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or consolidate and divide all or any of its share capital;</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redenominate all or any of its shares and cancel some of its shares in connection with such a redenomination;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its share capital in any other manner permitted by the 2006 Act.</w:t>
      </w:r>
    </w:p>
    <w:p>
      <w:pPr>
        <w:spacing w:after="0" w:line="130"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by which any share is sub-divided may determine that, as between the holders of the shares resulting from the sub-division, one or more of the shares may have such preferred or other special rights or may have such qualified or deferred rights or be subject to such restrictions, as compared with the other or others, as the Company has power to attach to new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20"/>
          </w:cols>
          <w:pgMar w:left="320" w:top="454" w:right="45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240" w:hanging="543"/>
        <w:spacing w:after="0" w:line="282" w:lineRule="auto"/>
        <w:tabs>
          <w:tab w:leader="none" w:pos="18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consolidation and division or sub-division of shares any members would become entitled to fractions of a share, the Board may deal with the fractions as it thinks fit. In particular, the Board may:</w:t>
      </w:r>
    </w:p>
    <w:p>
      <w:pPr>
        <w:spacing w:after="0" w:line="67" w:lineRule="exact"/>
        <w:rPr>
          <w:rFonts w:ascii="Times New Roman" w:cs="Times New Roman" w:eastAsia="Times New Roman" w:hAnsi="Times New Roman"/>
          <w:sz w:val="18"/>
          <w:szCs w:val="18"/>
          <w:color w:val="auto"/>
        </w:rPr>
      </w:pPr>
    </w:p>
    <w:p>
      <w:pPr>
        <w:ind w:left="2520" w:right="100" w:hanging="649"/>
        <w:spacing w:after="0" w:line="258" w:lineRule="auto"/>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those members) aggregate and sell the shares representing the fractions to any person (including, subject to the Statutes, the Company) and distribute the net proceeds of sale in due proportion among those members (except that any proceeds in respect of any holding less than a sum fixed by the Board may be retained for the benefit of the Company) and the directors may authorise some person to execute an instrument of transfer of shares and/or any relevant buyback instrument (if applicable) to, or in accordance with the directions of, the purchaser; or</w:t>
      </w:r>
    </w:p>
    <w:p>
      <w:pPr>
        <w:spacing w:after="0" w:line="88" w:lineRule="exact"/>
        <w:rPr>
          <w:rFonts w:ascii="Times New Roman" w:cs="Times New Roman" w:eastAsia="Times New Roman" w:hAnsi="Times New Roman"/>
          <w:sz w:val="18"/>
          <w:szCs w:val="18"/>
          <w:color w:val="auto"/>
        </w:rPr>
      </w:pPr>
    </w:p>
    <w:p>
      <w:pPr>
        <w:ind w:left="2520" w:right="100" w:hanging="649"/>
        <w:spacing w:after="0" w:line="266" w:lineRule="auto"/>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first, allot to a member credited as fully paid by way of capitalisation of any reserve account of the Company such number of shares as rounds up the member’s holding to a number which, following consolidation and division or sub-division, leaves a whole number of shares; or</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such fractional entitlements into Deferred Shares.</w:t>
      </w:r>
    </w:p>
    <w:p>
      <w:pPr>
        <w:spacing w:after="0" w:line="130"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 sale under paragraph (c)(i) above, the Board may authorise a person to transfer the shares to, or as directed by, the purchaser, who shall not be bound to see to the application of the purchase money and the title of the new holder to the shares shall not be affected by any irregularity in or invalidity of the proceedings relating to the sale.</w:t>
      </w:r>
    </w:p>
    <w:p>
      <w:pPr>
        <w:spacing w:after="0" w:line="320" w:lineRule="exact"/>
        <w:rPr>
          <w:rFonts w:ascii="Times New Roman" w:cs="Times New Roman" w:eastAsia="Times New Roman" w:hAnsi="Times New Roman"/>
          <w:sz w:val="18"/>
          <w:szCs w:val="18"/>
          <w:color w:val="auto"/>
        </w:rPr>
      </w:pPr>
    </w:p>
    <w:p>
      <w:pPr>
        <w:ind w:left="660" w:right="4060" w:hanging="544"/>
        <w:spacing w:after="0" w:line="385" w:lineRule="auto"/>
        <w:tabs>
          <w:tab w:leader="none" w:pos="649"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 to issue redeemable shares and conversion of existing non-redeemable shares </w:t>
      </w:r>
      <w:r>
        <w:rPr>
          <w:rFonts w:ascii="Times New Roman" w:cs="Times New Roman" w:eastAsia="Times New Roman" w:hAnsi="Times New Roman"/>
          <w:sz w:val="18"/>
          <w:szCs w:val="18"/>
          <w:color w:val="auto"/>
        </w:rPr>
        <w:t>Subject to the Statutes:</w:t>
      </w:r>
    </w:p>
    <w:p>
      <w:pPr>
        <w:spacing w:after="0" w:line="1" w:lineRule="exact"/>
        <w:rPr>
          <w:rFonts w:ascii="Times New Roman" w:cs="Times New Roman" w:eastAsia="Times New Roman" w:hAnsi="Times New Roman"/>
          <w:sz w:val="18"/>
          <w:szCs w:val="18"/>
          <w:b w:val="1"/>
          <w:bCs w:val="1"/>
          <w:color w:val="auto"/>
        </w:rPr>
      </w:pPr>
    </w:p>
    <w:p>
      <w:pPr>
        <w:ind w:left="1860" w:right="200" w:hanging="543"/>
        <w:spacing w:after="0" w:line="266" w:lineRule="auto"/>
        <w:tabs>
          <w:tab w:leader="none" w:pos="18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may be issued on terms that it is to be redeemed or is liable to be redeemed at the option of the Company or the holder and the terms, conditions and manner of redemption of such shares shall be determined by the Board before the shares are allotted (and such terms and conditions shall apply as if the same were set out in these articles); and</w:t>
      </w:r>
    </w:p>
    <w:p>
      <w:pPr>
        <w:spacing w:after="0" w:line="81"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non-redeemable shares (whether issued or not) may, where permitted by these articles and determined by the Board, be converted into shares that are to be redeemed or are liable to be redeemed in accordance with their terms, which may include provision for redemption at the option of either or both of the Company or holder thereof.</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purchase own shares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purchase all or any of its shares of any class, including any redeemable shares. Subject to the Statutes, the Company may hold as treasury shares any shares purchased or redeemed by it.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reduce capital</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and to any rights conferred on the holders of any class of shares, the Company may by ordinary resolution reduce its share capital, any capital redemption reserves and any share premium account in any way.</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Trusts not recognised</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required by law, a court of competent jurisdiction or these articles, no person shall be recognised by the Company as holding any share upon any trust and the Company shall not be bound by or required to recognise (even when having notice of it) any equitable, contingent, future, partial or other claim to or interest in or in respect of any share, except the holder’s absolute right to the entirety of the share.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4"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Redemption, Purchase and Surrender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that the Company redeems, purchases, accepts by way of surrender or otherwise acquires pursuant to these articles may:</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held as Treasury Shares on such terms and in such manner as the Directors determine prior to such acquisition.</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and obligations attaching to a treasury share are suspended and shall not be exercised by the Company while it holds the share as a treasury share, other than as set out in this article. The Company may:</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treasury shares on such terms and in such a manner as the directors may determine; and</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treasury shares in accordance with these articles.</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UNCERTIFICATED SHARES – GENERAL POWERS</w:t>
      </w:r>
    </w:p>
    <w:p>
      <w:pPr>
        <w:spacing w:after="0" w:line="252" w:lineRule="exact"/>
        <w:rPr>
          <w:sz w:val="20"/>
          <w:szCs w:val="20"/>
          <w:color w:val="auto"/>
        </w:rPr>
      </w:pPr>
    </w:p>
    <w:p>
      <w:pPr>
        <w:ind w:left="660" w:hanging="544"/>
        <w:spacing w:after="0"/>
        <w:tabs>
          <w:tab w:leader="none" w:pos="660" w:val="left"/>
        </w:tabs>
        <w:numPr>
          <w:ilvl w:val="0"/>
          <w:numId w:val="4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Uncertificated shares – general powers</w:t>
      </w:r>
    </w:p>
    <w:p>
      <w:pPr>
        <w:spacing w:after="0" w:line="134" w:lineRule="exact"/>
        <w:rPr>
          <w:rFonts w:ascii="Times New Roman" w:cs="Times New Roman" w:eastAsia="Times New Roman" w:hAnsi="Times New Roman"/>
          <w:sz w:val="18"/>
          <w:szCs w:val="18"/>
          <w:b w:val="1"/>
          <w:bCs w:val="1"/>
          <w:color w:val="auto"/>
        </w:rPr>
      </w:pPr>
    </w:p>
    <w:p>
      <w:pPr>
        <w:ind w:left="1860" w:right="340" w:hanging="543"/>
        <w:spacing w:after="0" w:line="282" w:lineRule="auto"/>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permit any class of shares to be held in uncertificated form and to be transferred by means of a relevant system and may revoke any such permission.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share which is for the time being held in uncertificated form:</w:t>
      </w:r>
    </w:p>
    <w:p>
      <w:pPr>
        <w:spacing w:after="0" w:line="130"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utilise the relevant system in which it is held to the fullest extent available from time to time in the exercise of any of its powers or functions under the Statutes or these articles or otherwise in effecting any actions and the Board may from time to time determine the manner in which such powers, functions and actions shall be so exercised or effected;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these articles which is inconsistent with:</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or transfer of that share in the manner prescribed or permitted by the Statutes;</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 of the Statutes relating to shares held in uncertificated form;</w:t>
      </w:r>
    </w:p>
    <w:p>
      <w:pPr>
        <w:spacing w:after="0" w:line="130" w:lineRule="exact"/>
        <w:rPr>
          <w:rFonts w:ascii="Times New Roman" w:cs="Times New Roman" w:eastAsia="Times New Roman" w:hAnsi="Times New Roman"/>
          <w:sz w:val="18"/>
          <w:szCs w:val="18"/>
          <w:color w:val="auto"/>
        </w:rPr>
      </w:pPr>
    </w:p>
    <w:p>
      <w:pPr>
        <w:ind w:left="3080" w:right="200" w:hanging="548"/>
        <w:spacing w:after="0" w:line="282" w:lineRule="auto"/>
        <w:tabs>
          <w:tab w:leader="none" w:pos="3080" w:val="left"/>
        </w:tabs>
        <w:numPr>
          <w:ilvl w:val="3"/>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powers or functions by the Company or the effecting by the Company of any actions by means of a relevant system; or</w:t>
      </w:r>
    </w:p>
    <w:p>
      <w:pPr>
        <w:spacing w:after="0" w:line="67"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provisions of the Statutes relating to the shares held in uncertificated form,</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shall not apply;</w:t>
      </w:r>
    </w:p>
    <w:p>
      <w:pPr>
        <w:spacing w:after="0" w:line="131" w:lineRule="exact"/>
        <w:rPr>
          <w:sz w:val="20"/>
          <w:szCs w:val="20"/>
          <w:color w:val="auto"/>
        </w:rPr>
      </w:pPr>
    </w:p>
    <w:p>
      <w:pPr>
        <w:ind w:left="2520" w:right="560" w:hanging="649"/>
        <w:spacing w:after="0" w:line="282" w:lineRule="auto"/>
        <w:tabs>
          <w:tab w:leader="none" w:pos="25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that share, require the holder to change the form of such share to certificated form within such period as may be specified in the notice;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that share to be converted into certificated form in accordance with the Statutes;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 certificate.</w:t>
      </w:r>
    </w:p>
    <w:p>
      <w:pPr>
        <w:spacing w:after="0" w:line="130" w:lineRule="exact"/>
        <w:rPr>
          <w:rFonts w:ascii="Times New Roman" w:cs="Times New Roman" w:eastAsia="Times New Roman" w:hAnsi="Times New Roman"/>
          <w:sz w:val="18"/>
          <w:szCs w:val="18"/>
          <w:color w:val="auto"/>
        </w:rPr>
      </w:pPr>
    </w:p>
    <w:p>
      <w:pPr>
        <w:ind w:left="1860" w:right="380" w:hanging="543"/>
        <w:spacing w:after="0" w:line="282" w:lineRule="auto"/>
        <w:tabs>
          <w:tab w:leader="none" w:pos="186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notice to the holder of any share in certificated form, direct that the form of such share may not be changed to uncertificated form for a period specified in such notice.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980"/>
          </w:cols>
          <w:pgMar w:left="320" w:top="454" w:right="59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80" w:hanging="543"/>
        <w:spacing w:after="0" w:line="261" w:lineRule="auto"/>
        <w:tabs>
          <w:tab w:leader="none" w:pos="186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effecting any action by the Company, the Board may determine that shares held by a person in uncertificated form shall be treated as a separate holding from shares held by that person in certificated form but shares of a class held by a person in uncertificated form shall not be treated as a separate class from shares of that class held by that person in certificated form.</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52" w:lineRule="exact"/>
        <w:rPr>
          <w:sz w:val="20"/>
          <w:szCs w:val="20"/>
          <w:color w:val="auto"/>
        </w:rPr>
      </w:pPr>
    </w:p>
    <w:p>
      <w:pPr>
        <w:ind w:left="660" w:hanging="544"/>
        <w:spacing w:after="0"/>
        <w:tabs>
          <w:tab w:leader="none" w:pos="660" w:val="left"/>
        </w:tabs>
        <w:numPr>
          <w:ilvl w:val="0"/>
          <w:numId w:val="4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72" w:lineRule="auto"/>
        <w:tabs>
          <w:tab w:leader="none" w:pos="1860" w:val="left"/>
        </w:tabs>
        <w:numPr>
          <w:ilvl w:val="1"/>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share capital of the Company is divided into different classes of shares, all or any of the rights for the time being attached to any class of shares in issue may from time to time (subject to the Statutes and whether or not the Company is being wound up) be varied in such manner as those rights may provide or (if no such provision is made) either with the consent in writing of the holders entitled to exercise 75% of the votes attaching to the issued shares of that class or with the authority of a special resolution passed at a separate general meeting of the holders of those shares and for this purpose the Founder shall be deemed to have not less than 75% of the voting rights attaching to the Ordinary Shares or such greater percentage as is determined pursuant to article 5(b). To every such separate general meeting all the provisions of these articles relating to general meetings of the Company and to the proceedings at such general meetings shall with necessary modifications apply, except that:</w:t>
      </w:r>
    </w:p>
    <w:p>
      <w:pPr>
        <w:spacing w:after="0" w:line="77" w:lineRule="exact"/>
        <w:rPr>
          <w:rFonts w:ascii="Times New Roman" w:cs="Times New Roman" w:eastAsia="Times New Roman" w:hAnsi="Times New Roman"/>
          <w:sz w:val="17"/>
          <w:szCs w:val="17"/>
          <w:color w:val="auto"/>
        </w:rPr>
      </w:pPr>
    </w:p>
    <w:p>
      <w:pPr>
        <w:ind w:left="2520" w:right="80" w:hanging="649"/>
        <w:spacing w:after="0" w:line="266" w:lineRule="auto"/>
        <w:tabs>
          <w:tab w:leader="none" w:pos="2520"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two persons holding or representing by proxy issued shares of the class (but so that if at any adjourned meeting a quorum as defined above is not present, any one holder of any shares of the class present in person or by proxy shall be a quorum); and</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in person or by proxy may demand a poll and every such holder shall on a poll have one vote for every share of the class held by him.</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by the rights attached to any class of shares those rights shall not be deemed to be varied:</w:t>
      </w:r>
    </w:p>
    <w:p>
      <w:pPr>
        <w:spacing w:after="0" w:line="128" w:lineRule="exact"/>
        <w:rPr>
          <w:rFonts w:ascii="Times New Roman" w:cs="Times New Roman" w:eastAsia="Times New Roman" w:hAnsi="Times New Roman"/>
          <w:sz w:val="18"/>
          <w:szCs w:val="18"/>
          <w:color w:val="auto"/>
        </w:rPr>
      </w:pPr>
    </w:p>
    <w:p>
      <w:pPr>
        <w:ind w:left="2520" w:right="200" w:hanging="649"/>
        <w:spacing w:after="0" w:line="284" w:lineRule="auto"/>
        <w:tabs>
          <w:tab w:leader="none" w:pos="2520"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them but in no respect in priority to such shares;</w:t>
      </w:r>
    </w:p>
    <w:p>
      <w:pPr>
        <w:spacing w:after="0" w:line="65"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 or redemption by the Company of any of its own shares (and the holding of any such shares as treasury shares);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 of the relevant system permitting such class of shares to be, a participating security.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TRANSFERS OF SHARES</w:t>
      </w:r>
    </w:p>
    <w:p>
      <w:pPr>
        <w:spacing w:after="0" w:line="252" w:lineRule="exact"/>
        <w:rPr>
          <w:sz w:val="20"/>
          <w:szCs w:val="20"/>
          <w:color w:val="auto"/>
        </w:rPr>
      </w:pPr>
    </w:p>
    <w:p>
      <w:pPr>
        <w:ind w:left="660" w:hanging="544"/>
        <w:spacing w:after="0"/>
        <w:tabs>
          <w:tab w:leader="none" w:pos="660"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transfer shares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restrictions in these articles, a member may transfer all or any of the member’s shares in any manner which is permitted by the Statutes, save that no Deferred Shares may be transferred without the consent of the Board.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uncertificated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maintain a record of uncertificated shares in accordance with the Statutes.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120"/>
          </w:cols>
          <w:pgMar w:left="320" w:top="454" w:right="45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Transfers of certificated shares</w:t>
      </w:r>
    </w:p>
    <w:p>
      <w:pPr>
        <w:spacing w:after="0" w:line="134" w:lineRule="exact"/>
        <w:rPr>
          <w:rFonts w:ascii="Times New Roman" w:cs="Times New Roman" w:eastAsia="Times New Roman" w:hAnsi="Times New Roman"/>
          <w:sz w:val="18"/>
          <w:szCs w:val="18"/>
          <w:b w:val="1"/>
          <w:bCs w:val="1"/>
          <w:color w:val="auto"/>
        </w:rPr>
      </w:pPr>
    </w:p>
    <w:p>
      <w:pPr>
        <w:ind w:left="1860" w:right="260" w:hanging="543"/>
        <w:spacing w:after="0" w:line="266" w:lineRule="auto"/>
        <w:tabs>
          <w:tab w:leader="none" w:pos="18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of transfer of a certificated share may be in any usual form or in any other form which the Board may approve and shall be signed by or on behalf of the transferor and (except in the case of a fully paid share) by or on behalf of the transferee.</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the Board may in its absolute discretion refuse to register any instrument of transfer of a certificated share unless it is: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left at the office, the transfer office, or at such other place as the Board may decide, for registration;</w:t>
      </w:r>
    </w:p>
    <w:p>
      <w:pPr>
        <w:spacing w:after="0" w:line="130"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2"/>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accompanied by the certificate for the shares to be transferred and such other evidence (if any) as the Board may reasonably require to prove the title of the intending transferor or the intending transferor’s right to transfer the shares; and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only one class of shares.</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absolute discretion also refuse to register: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share which is not a fully paid share;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a certificated and/or uncertificated share on which the Company has a lien,</w:t>
      </w:r>
    </w:p>
    <w:p>
      <w:pPr>
        <w:spacing w:after="0" w:line="117"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provided that in the case of any class of shares which is admitted to trading on NASDAQ, the refusal does not prevent dealings in those shares from taking place on an open and proper basis.</w:t>
      </w:r>
    </w:p>
    <w:p>
      <w:pPr>
        <w:spacing w:after="0" w:line="67" w:lineRule="exact"/>
        <w:rPr>
          <w:sz w:val="20"/>
          <w:szCs w:val="20"/>
          <w:color w:val="auto"/>
        </w:rPr>
      </w:pPr>
    </w:p>
    <w:p>
      <w:pPr>
        <w:ind w:left="1860" w:right="400" w:hanging="543"/>
        <w:spacing w:after="0" w:line="282" w:lineRule="auto"/>
        <w:tabs>
          <w:tab w:leader="none" w:pos="186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refuse to register a transfer of a certificated share to or from Cede &amp; Co. unless the registration of such transfer would be contrary to the provisions of these articles or applicable legislation.</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which are registered may be retained by the Company, but any instrument of transfer which the Board refuses to register shall (except in any case where fraud or any other crime involving dishonesty is suspected in relation to such transfer) be returned to the person presenting it.</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 relating to transfers</w:t>
      </w:r>
    </w:p>
    <w:p>
      <w:pPr>
        <w:spacing w:after="0" w:line="134" w:lineRule="exact"/>
        <w:rPr>
          <w:rFonts w:ascii="Times New Roman" w:cs="Times New Roman" w:eastAsia="Times New Roman" w:hAnsi="Times New Roman"/>
          <w:sz w:val="18"/>
          <w:szCs w:val="18"/>
          <w:b w:val="1"/>
          <w:bCs w:val="1"/>
          <w:color w:val="auto"/>
        </w:rPr>
      </w:pPr>
    </w:p>
    <w:p>
      <w:pPr>
        <w:ind w:left="1860" w:right="420" w:hanging="543"/>
        <w:spacing w:after="0" w:line="282" w:lineRule="auto"/>
        <w:tabs>
          <w:tab w:leader="none" w:pos="18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shall be charged for registration of a transfer or other document or instruction relating to or affecting the title to any share.</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shall be deemed to remain the holder of the share until the name of the transferee is entered in the register in respect of the share.</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articles shall preclude the Board from recognising a renunciation of the allotment of any share by the allottee in favour of some other person.</w:t>
      </w:r>
    </w:p>
    <w:p>
      <w:pPr>
        <w:spacing w:after="0" w:line="67"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21(c), unless otherwise agreed by the Board in any particular case, the maximum number of persons who may be entered on the register as joint holders of a share is four.</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refusal</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Board refuses to register a transfer of a certificated share it shall, as soon as practicable and in any event within two months after the date on which the instrument of transfer was lodged, give to the transferor and the transferee notice of the refusal together with its reasons for refusal. The Board shall provide the transferor and/or the transferee with such further information about the reasons for the refusal as the transferor and/or the transferee may reasonably request.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54" w:right="45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52" w:lineRule="exact"/>
        <w:rPr>
          <w:sz w:val="20"/>
          <w:szCs w:val="20"/>
          <w:color w:val="auto"/>
        </w:rPr>
      </w:pPr>
    </w:p>
    <w:p>
      <w:pPr>
        <w:ind w:left="660" w:hanging="544"/>
        <w:spacing w:after="0"/>
        <w:tabs>
          <w:tab w:leader="none" w:pos="66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on death</w:t>
      </w:r>
    </w:p>
    <w:p>
      <w:pPr>
        <w:spacing w:after="0" w:line="121"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member dies, the survivor, where the deceased was a joint holder, and the member’s personal representatives where the member was a sole or the only surviving holder, shall be the only person or persons recognised by the Company as having any title to the member’s shares; but nothing in these articles shall release the estate of a deceased holder from any liability in respect of any share held by the member solely or jointly.</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860" w:right="40" w:hanging="543"/>
        <w:spacing w:after="0" w:line="261"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the death or bankruptcy of a member or of any other event giving rise to a transmission by operation of law may, on producing such evidence as the Board may require and subject as provided in this article, elect either to be registered personally as the holder of the share or to nominate some other person to be registered as the holder of the share.</w:t>
      </w:r>
    </w:p>
    <w:p>
      <w:pPr>
        <w:spacing w:after="0" w:line="85"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elects to be registered personally, the person shall give notice to the Company to that effect. If the person elects to have another person registered, the first person shall execute a transfer of the share to that other person or shall execute such other document or take such other action as the Board may require to enable that other person to be registered.</w:t>
      </w:r>
    </w:p>
    <w:p>
      <w:pPr>
        <w:spacing w:after="0" w:line="81" w:lineRule="exact"/>
        <w:rPr>
          <w:rFonts w:ascii="Times New Roman" w:cs="Times New Roman" w:eastAsia="Times New Roman" w:hAnsi="Times New Roman"/>
          <w:sz w:val="18"/>
          <w:szCs w:val="18"/>
          <w:color w:val="auto"/>
        </w:rPr>
      </w:pPr>
    </w:p>
    <w:p>
      <w:pPr>
        <w:ind w:left="1860" w:right="200" w:hanging="543"/>
        <w:spacing w:after="0" w:line="266"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relating to the transfer of shares shall apply to the notice or instrument of transfer or other document or action as if it were a transfer effected by the person from whom the title by transmission is derived and the event giving rise to such transmission had not occurred.</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person entitled by transmission</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6"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in consequence of a death or bankruptcy or of any other event giving rise to a transmission by operation of law shall (upon supplying to the Company such evidence as the Board may reasonably require to show his title to the share) have the right to receive and give a discharge for any dividends or other moneys payable in respect of the share and shall have the same rights in relation to the share as the person would have if the person were the holder except that, until the person becomes the holder, the person shall not be entitled to attend or vote at any general meeting of the Company.</w:t>
      </w:r>
    </w:p>
    <w:p>
      <w:pPr>
        <w:spacing w:after="0" w:line="92" w:lineRule="exact"/>
        <w:rPr>
          <w:rFonts w:ascii="Times New Roman" w:cs="Times New Roman" w:eastAsia="Times New Roman" w:hAnsi="Times New Roman"/>
          <w:sz w:val="18"/>
          <w:szCs w:val="18"/>
          <w:color w:val="auto"/>
        </w:rPr>
      </w:pPr>
    </w:p>
    <w:p>
      <w:pPr>
        <w:jc w:val="both"/>
        <w:ind w:left="1860" w:right="320" w:hanging="543"/>
        <w:spacing w:after="0" w:line="266" w:lineRule="auto"/>
        <w:tabs>
          <w:tab w:leader="none" w:pos="186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give notice requiring any such person to elect either to be registered personally or to transfer the share and, if after 90 days the notice has not been complied with, the Board may withhold payment of all dividends or other moneys payable in respect of the share until the requirements of the notice have been complied with.</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252" w:lineRule="exact"/>
        <w:rPr>
          <w:sz w:val="20"/>
          <w:szCs w:val="20"/>
          <w:color w:val="auto"/>
        </w:rPr>
      </w:pPr>
    </w:p>
    <w:p>
      <w:pPr>
        <w:ind w:left="660" w:hanging="544"/>
        <w:spacing w:after="0"/>
        <w:tabs>
          <w:tab w:leader="none" w:pos="66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Disenfranchisement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1" w:lineRule="auto"/>
        <w:tabs>
          <w:tab w:leader="none" w:pos="1860"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or any other person appearing to be interested in, any share has been given notice under section 793 of the 2006 Act (a </w:t>
      </w:r>
      <w:r>
        <w:rPr>
          <w:rFonts w:ascii="Times New Roman" w:cs="Times New Roman" w:eastAsia="Times New Roman" w:hAnsi="Times New Roman"/>
          <w:sz w:val="18"/>
          <w:szCs w:val="18"/>
          <w:b w:val="1"/>
          <w:bCs w:val="1"/>
          <w:color w:val="auto"/>
        </w:rPr>
        <w:t>section 793 notice</w:t>
      </w:r>
      <w:r>
        <w:rPr>
          <w:rFonts w:ascii="Times New Roman" w:cs="Times New Roman" w:eastAsia="Times New Roman" w:hAnsi="Times New Roman"/>
          <w:sz w:val="18"/>
          <w:szCs w:val="18"/>
          <w:color w:val="auto"/>
        </w:rPr>
        <w:t xml:space="preserve">) and has failed in relation to that share (the </w:t>
      </w:r>
      <w:r>
        <w:rPr>
          <w:rFonts w:ascii="Times New Roman" w:cs="Times New Roman" w:eastAsia="Times New Roman" w:hAnsi="Times New Roman"/>
          <w:sz w:val="18"/>
          <w:szCs w:val="18"/>
          <w:b w:val="1"/>
          <w:bCs w:val="1"/>
          <w:color w:val="auto"/>
        </w:rPr>
        <w:t>default share</w:t>
      </w:r>
      <w:r>
        <w:rPr>
          <w:rFonts w:ascii="Times New Roman" w:cs="Times New Roman" w:eastAsia="Times New Roman" w:hAnsi="Times New Roman"/>
          <w:sz w:val="18"/>
          <w:szCs w:val="18"/>
          <w:color w:val="auto"/>
        </w:rPr>
        <w:t>) to give the Company the information required by that notice within the prescribed period from the date of service of the notice, the restrictions referred to below shall apply (provided that the Board may waive those restrictions in whole or in part at any time).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00"/>
          </w:cols>
          <w:pgMar w:left="320" w:top="454" w:right="47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120" w:hanging="543"/>
        <w:spacing w:after="0" w:line="282" w:lineRule="auto"/>
        <w:tabs>
          <w:tab w:leader="none" w:pos="18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while any of the restrictions referred to below apply to a share, another share is allotted in right of it (or in right of any share to which this article applies), the same restrictions shall apply to that other share as if it were a default share.</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referred to above are as follows:</w:t>
      </w:r>
    </w:p>
    <w:p>
      <w:pPr>
        <w:spacing w:after="0" w:line="130" w:lineRule="exact"/>
        <w:rPr>
          <w:rFonts w:ascii="Times New Roman" w:cs="Times New Roman" w:eastAsia="Times New Roman" w:hAnsi="Times New Roman"/>
          <w:sz w:val="18"/>
          <w:szCs w:val="18"/>
          <w:color w:val="auto"/>
        </w:rPr>
      </w:pPr>
    </w:p>
    <w:p>
      <w:pPr>
        <w:ind w:left="3080" w:right="240" w:hanging="548"/>
        <w:spacing w:after="0" w:line="282" w:lineRule="auto"/>
        <w:tabs>
          <w:tab w:leader="none" w:pos="3080" w:val="left"/>
        </w:tabs>
        <w:numPr>
          <w:ilvl w:val="2"/>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default shares shall not be entitled in respect of those shares to attend or vote at any general meeting or any separate meeting of the holders on that class of shares or on a poll;</w:t>
      </w:r>
    </w:p>
    <w:p>
      <w:pPr>
        <w:spacing w:after="0" w:line="67" w:lineRule="exact"/>
        <w:rPr>
          <w:rFonts w:ascii="Times New Roman" w:cs="Times New Roman" w:eastAsia="Times New Roman" w:hAnsi="Times New Roman"/>
          <w:sz w:val="18"/>
          <w:szCs w:val="18"/>
          <w:color w:val="auto"/>
        </w:rPr>
      </w:pPr>
    </w:p>
    <w:p>
      <w:pPr>
        <w:ind w:left="3080" w:right="340" w:hanging="548"/>
        <w:spacing w:after="0" w:line="282" w:lineRule="auto"/>
        <w:tabs>
          <w:tab w:leader="none" w:pos="3080" w:val="left"/>
        </w:tabs>
        <w:numPr>
          <w:ilvl w:val="2"/>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where the default shares in which any one person is interested or appears to the Company to be interested represent 0.25 per cent or more in nominal value of the issued shares of their class:</w:t>
      </w:r>
    </w:p>
    <w:p>
      <w:pPr>
        <w:spacing w:after="0" w:line="67" w:lineRule="exact"/>
        <w:rPr>
          <w:rFonts w:ascii="Times New Roman" w:cs="Times New Roman" w:eastAsia="Times New Roman" w:hAnsi="Times New Roman"/>
          <w:sz w:val="18"/>
          <w:szCs w:val="18"/>
          <w:color w:val="auto"/>
        </w:rPr>
      </w:pPr>
    </w:p>
    <w:p>
      <w:pPr>
        <w:ind w:left="3740" w:right="140" w:hanging="654"/>
        <w:spacing w:after="0" w:line="261" w:lineRule="auto"/>
        <w:tabs>
          <w:tab w:leader="none" w:pos="3740" w:val="left"/>
        </w:tabs>
        <w:numPr>
          <w:ilvl w:val="3"/>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or other money which would otherwise be payable in respect of the default shares shall be retained by the Company without any liability to pay interest on it when such dividend or other money is finally paid to the member and the member shall not be entitled to receive shares in lieu of any dividend; and</w:t>
      </w:r>
    </w:p>
    <w:p>
      <w:pPr>
        <w:spacing w:after="0" w:line="85" w:lineRule="exact"/>
        <w:rPr>
          <w:sz w:val="20"/>
          <w:szCs w:val="20"/>
          <w:color w:val="auto"/>
        </w:rPr>
      </w:pPr>
    </w:p>
    <w:p>
      <w:pPr>
        <w:ind w:left="3740" w:right="20" w:hanging="654"/>
        <w:spacing w:after="0" w:line="255" w:lineRule="auto"/>
        <w:tabs>
          <w:tab w:leader="none" w:pos="3740" w:val="left"/>
        </w:tabs>
        <w:numPr>
          <w:ilvl w:val="4"/>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any shares held by the member shall be registered unless: (a) the holder is not himself in default as regards supplying the information required and the holder provides evidence to the satisfaction of the Board that no person in default as regards supplying such information is interested in any of the shares which are the subject of the transfer, or (b) the transfer is an approved transfer, or</w:t>
      </w:r>
    </w:p>
    <w:p>
      <w:pPr>
        <w:spacing w:after="0" w:line="2" w:lineRule="exact"/>
        <w:rPr>
          <w:rFonts w:ascii="Times New Roman" w:cs="Times New Roman" w:eastAsia="Times New Roman" w:hAnsi="Times New Roman"/>
          <w:sz w:val="18"/>
          <w:szCs w:val="18"/>
          <w:color w:val="auto"/>
        </w:rPr>
      </w:pPr>
    </w:p>
    <w:p>
      <w:pPr>
        <w:ind w:left="3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registration of the transfer is required by the Uncertificated Securities Regulations.</w:t>
      </w:r>
    </w:p>
    <w:p>
      <w:pPr>
        <w:spacing w:after="0" w:line="112"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w:t>
      </w:r>
    </w:p>
    <w:p>
      <w:pPr>
        <w:spacing w:after="0" w:line="130"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under any section 793 notice and any other relevant information) knows or has reasonable cause to believe that the person is, or may be, so interested;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transfer in relation to any shares is a transfer under:</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 offer (within the meaning of section 974 of the 2006 Act) which relates to the share; or</w:t>
      </w:r>
    </w:p>
    <w:p>
      <w:pPr>
        <w:spacing w:after="0" w:line="130" w:lineRule="exact"/>
        <w:rPr>
          <w:rFonts w:ascii="Times New Roman" w:cs="Times New Roman" w:eastAsia="Times New Roman" w:hAnsi="Times New Roman"/>
          <w:sz w:val="18"/>
          <w:szCs w:val="18"/>
          <w:color w:val="auto"/>
        </w:rPr>
      </w:pPr>
    </w:p>
    <w:p>
      <w:pPr>
        <w:jc w:val="both"/>
        <w:ind w:left="3080" w:right="60" w:hanging="548"/>
        <w:spacing w:after="0" w:line="266" w:lineRule="auto"/>
        <w:tabs>
          <w:tab w:leader="none" w:pos="3080" w:val="left"/>
        </w:tabs>
        <w:numPr>
          <w:ilvl w:val="3"/>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made through a recognised investment exchange (as defined in section 285 of the Financial Services and Markets Act 2000) or any other stock exchange or market outside the United Kingdom on which shares of that class are normally traded; or</w:t>
      </w:r>
    </w:p>
    <w:p>
      <w:pPr>
        <w:spacing w:after="0" w:line="81" w:lineRule="exact"/>
        <w:rPr>
          <w:rFonts w:ascii="Times New Roman" w:cs="Times New Roman" w:eastAsia="Times New Roman" w:hAnsi="Times New Roman"/>
          <w:sz w:val="18"/>
          <w:szCs w:val="18"/>
          <w:color w:val="auto"/>
        </w:rPr>
      </w:pPr>
    </w:p>
    <w:p>
      <w:pPr>
        <w:ind w:left="3080" w:right="200" w:hanging="548"/>
        <w:spacing w:after="0" w:line="282" w:lineRule="auto"/>
        <w:tabs>
          <w:tab w:leader="none" w:pos="3080" w:val="left"/>
        </w:tabs>
        <w:numPr>
          <w:ilvl w:val="3"/>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bona fide sale of the whole of the beneficial interest in the shares to a person whom the Board is satisfied is unconnected with the member or with any other person appearing to be interested in the share; and</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issued shares of a class represented by a particular holding shall be calculated by reference to the shares in issue at the time that the section 793 notice is served.</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of notices on non-members and Depositaries</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82" w:lineRule="auto"/>
        <w:tabs>
          <w:tab w:leader="none" w:pos="1860"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section 793 notice is given by the Company to a person appearing to be interested in any share, a copy of the notice shall be given to the holder at the same time, but the failure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1120"/>
          </w:cols>
          <w:pgMar w:left="320" w:top="454" w:right="45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omission to do so, or the non-receipt by that person of the copy, shall not prejudice the operation of this article.</w:t>
      </w:r>
    </w:p>
    <w:p>
      <w:pPr>
        <w:spacing w:after="0" w:line="131" w:lineRule="exact"/>
        <w:rPr>
          <w:sz w:val="20"/>
          <w:szCs w:val="20"/>
          <w:color w:val="auto"/>
        </w:rPr>
      </w:pPr>
    </w:p>
    <w:p>
      <w:pPr>
        <w:ind w:left="1860" w:hanging="543"/>
        <w:spacing w:after="0" w:line="266" w:lineRule="auto"/>
        <w:tabs>
          <w:tab w:leader="none" w:pos="18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default shares in which a person appears to be interested are held by a Depositary, the provisions of this article 28 shall be treated as applying only to those shares held by the Depositary in which such person appears to be interested and not (insofar as such person’s apparent interest is concerned) to any other shares held by the Depositary.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disenfranchisement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sanctions under article 27 shall have effect for the period determined by the Board being not more than seven days after the earlier of:</w:t>
      </w:r>
    </w:p>
    <w:p>
      <w:pPr>
        <w:spacing w:after="0" w:line="67" w:lineRule="exact"/>
        <w:rPr>
          <w:rFonts w:ascii="Times New Roman" w:cs="Times New Roman" w:eastAsia="Times New Roman" w:hAnsi="Times New Roman"/>
          <w:sz w:val="18"/>
          <w:szCs w:val="18"/>
          <w:color w:val="auto"/>
        </w:rPr>
      </w:pPr>
    </w:p>
    <w:p>
      <w:pPr>
        <w:ind w:left="1860" w:right="40" w:hanging="543"/>
        <w:spacing w:after="0" w:line="282" w:lineRule="auto"/>
        <w:tabs>
          <w:tab w:leader="none" w:pos="186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being notified that the default shares have been transferred under an approved transfer or otherwise in accordance with article 27(c)(i)(B)II; or</w:t>
      </w:r>
    </w:p>
    <w:p>
      <w:pPr>
        <w:spacing w:after="0" w:line="67"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the section 793 notice has been received in writing by the Company to the satisfaction of the Board at the address supplied by the Company in the section 793 notice or otherwise expressly supplied by the Company for the purpose of receiving such information.</w:t>
      </w:r>
    </w:p>
    <w:p>
      <w:pPr>
        <w:spacing w:after="0" w:line="81" w:lineRule="exact"/>
        <w:rPr>
          <w:rFonts w:ascii="Times New Roman" w:cs="Times New Roman" w:eastAsia="Times New Roman" w:hAnsi="Times New Roman"/>
          <w:sz w:val="18"/>
          <w:szCs w:val="18"/>
          <w:color w:val="auto"/>
        </w:rPr>
      </w:pPr>
    </w:p>
    <w:p>
      <w:pPr>
        <w:ind w:left="1860" w:right="260" w:hanging="543"/>
        <w:spacing w:after="0" w:line="282" w:lineRule="auto"/>
        <w:tabs>
          <w:tab w:leader="none" w:pos="186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dividend or other distribution is withheld under article 27(c)(i)(B)I above, the member shall be entitled to receive it as soon as practicable after the sanction ceases to apply.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uncertificated shares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exercise any of its powers under article 17in respect of any default share that is held in uncertificated form.</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4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794 and 795 of the 2006 Act</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articles 22 to 25 are without prejudice to the provisions of section 794 and 795 of the 2006 Act, and in particular the Company may apply to the Court under section 794(1) of the 2006 Act whether or not these provisions apply or have been applied.</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2" w:lineRule="exact"/>
        <w:rPr>
          <w:sz w:val="20"/>
          <w:szCs w:val="20"/>
          <w:color w:val="auto"/>
        </w:rPr>
      </w:pPr>
    </w:p>
    <w:p>
      <w:pPr>
        <w:ind w:left="660" w:hanging="544"/>
        <w:spacing w:after="0"/>
        <w:tabs>
          <w:tab w:leader="none" w:pos="66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determine whether any general meeting is to be held as: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physical general meeting;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general meeting;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hybrid general meeting.</w:t>
      </w:r>
    </w:p>
    <w:p>
      <w:pPr>
        <w:spacing w:after="0" w:line="130" w:lineRule="exact"/>
        <w:rPr>
          <w:rFonts w:ascii="Times New Roman" w:cs="Times New Roman" w:eastAsia="Times New Roman" w:hAnsi="Times New Roman"/>
          <w:sz w:val="18"/>
          <w:szCs w:val="18"/>
          <w:color w:val="auto"/>
        </w:rPr>
      </w:pPr>
    </w:p>
    <w:p>
      <w:pPr>
        <w:ind w:left="1860" w:right="360" w:hanging="543"/>
        <w:spacing w:after="0" w:line="266" w:lineRule="auto"/>
        <w:tabs>
          <w:tab w:leader="none" w:pos="186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make whatever arrangements it considers fit to allow those entitled to do so to participate in any general meeting. In the case of an electronic general meeting, the Board need only make arrangements for those entitled to do so to participate electronically (and need not make any provision for attendance at any physical venue).</w:t>
      </w:r>
    </w:p>
    <w:p>
      <w:pPr>
        <w:spacing w:after="0" w:line="81"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notice of meeting; decided by the Board in accordance with article 33(a)(ii); or determined by the chair of the meeting either pursuant to article 33(a)(iii) or otherwise, a general meeting is deemed to take place at the place where the chair of the meeting is at the time of the meeting.</w:t>
      </w:r>
    </w:p>
    <w:p>
      <w:pPr>
        <w:spacing w:after="0" w:line="81" w:lineRule="exact"/>
        <w:rPr>
          <w:rFonts w:ascii="Times New Roman" w:cs="Times New Roman" w:eastAsia="Times New Roman" w:hAnsi="Times New Roman"/>
          <w:sz w:val="18"/>
          <w:szCs w:val="18"/>
          <w:color w:val="auto"/>
        </w:rPr>
      </w:pPr>
    </w:p>
    <w:p>
      <w:pPr>
        <w:ind w:left="1860" w:right="20" w:hanging="543"/>
        <w:spacing w:after="0" w:line="312" w:lineRule="auto"/>
        <w:tabs>
          <w:tab w:leader="none" w:pos="1860"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persons who may not be in the same place as each other attend a general meeting if their circumstances are such that if they have rights to speak and vote at that meeting, they are able to exercise them, and are able to hear the other attendees.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080"/>
          </w:cols>
          <w:pgMar w:left="320" w:top="454" w:right="49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present at a general meeting if the person attends it in accordance with the provisions of these articles.</w:t>
      </w:r>
    </w:p>
    <w:p>
      <w:pPr>
        <w:spacing w:after="0" w:line="130"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participate in a meeting if the person’s circumstances are such that if the person has rights in relation to the meeting, the person is able to exercise them.</w:t>
      </w:r>
    </w:p>
    <w:p>
      <w:pPr>
        <w:spacing w:after="0" w:line="67" w:lineRule="exact"/>
        <w:rPr>
          <w:rFonts w:ascii="Times New Roman" w:cs="Times New Roman" w:eastAsia="Times New Roman" w:hAnsi="Times New Roman"/>
          <w:sz w:val="18"/>
          <w:szCs w:val="18"/>
          <w:color w:val="auto"/>
        </w:rPr>
      </w:pPr>
    </w:p>
    <w:p>
      <w:pPr>
        <w:ind w:left="1860" w:right="400" w:hanging="543"/>
        <w:spacing w:after="0" w:line="266"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persons are attending or participating in a meeting, other than a physical general meeting, it is immaterial where any of them are or how they are able to communicate with each other, provided they can hear each other speak.</w:t>
      </w:r>
    </w:p>
    <w:p>
      <w:pPr>
        <w:spacing w:after="0" w:line="81" w:lineRule="exact"/>
        <w:rPr>
          <w:rFonts w:ascii="Times New Roman" w:cs="Times New Roman" w:eastAsia="Times New Roman" w:hAnsi="Times New Roman"/>
          <w:sz w:val="18"/>
          <w:szCs w:val="18"/>
          <w:color w:val="auto"/>
        </w:rPr>
      </w:pPr>
    </w:p>
    <w:p>
      <w:pPr>
        <w:jc w:val="both"/>
        <w:ind w:left="1860" w:right="100" w:hanging="543"/>
        <w:spacing w:after="0" w:line="266" w:lineRule="auto"/>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speak at a general meeting when the chair of the meeting is satisfied that arrangements are in place so as to enable that person to communicate by speaking to all those attending the meeting, during the meeting, any information or opinions which that person has on the business of the meeting.</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able to exercise the right to vote at a general meeting when:</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is able to vote, during the meeting, on resolutions put to the vote at the meeting; and</w:t>
      </w:r>
    </w:p>
    <w:p>
      <w:pPr>
        <w:spacing w:after="0" w:line="130"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person’s vote can be taken into account in determining whether or not such resolutions are passed at the same time as the votes of all the other persons attending the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 at more than one place or in more than one format</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be held at more than one place, or may be participated in in more than one way, if:</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convening the meeting so specifies;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resolves, after the notice convening the meeting has been given, that:</w:t>
      </w:r>
    </w:p>
    <w:p>
      <w:pPr>
        <w:spacing w:after="0" w:line="130" w:lineRule="exact"/>
        <w:rPr>
          <w:rFonts w:ascii="Times New Roman" w:cs="Times New Roman" w:eastAsia="Times New Roman" w:hAnsi="Times New Roman"/>
          <w:sz w:val="18"/>
          <w:szCs w:val="18"/>
          <w:color w:val="auto"/>
        </w:rPr>
      </w:pPr>
    </w:p>
    <w:p>
      <w:pPr>
        <w:ind w:left="3080" w:right="460" w:hanging="548"/>
        <w:spacing w:after="0" w:line="282" w:lineRule="auto"/>
        <w:tabs>
          <w:tab w:leader="none" w:pos="3080" w:val="left"/>
        </w:tabs>
        <w:numPr>
          <w:ilvl w:val="3"/>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 shall be held at one or more than one place in addition to any place or places specified in the notice; or</w:t>
      </w:r>
    </w:p>
    <w:p>
      <w:pPr>
        <w:spacing w:after="0" w:line="67"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will also be made for attendance and participation electronically; or</w:t>
      </w:r>
    </w:p>
    <w:p>
      <w:pPr>
        <w:spacing w:after="0" w:line="130"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2"/>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to the chair of the meeting that the place of the meeting specified in the notice convening the meeting is inadequate to accommodate all persons entitled and wishing to attend at that place.</w:t>
      </w:r>
    </w:p>
    <w:p>
      <w:pPr>
        <w:spacing w:after="0" w:line="67" w:lineRule="exact"/>
        <w:rPr>
          <w:rFonts w:ascii="Times New Roman" w:cs="Times New Roman" w:eastAsia="Times New Roman" w:hAnsi="Times New Roman"/>
          <w:sz w:val="18"/>
          <w:szCs w:val="18"/>
          <w:color w:val="auto"/>
        </w:rPr>
      </w:pPr>
    </w:p>
    <w:p>
      <w:pPr>
        <w:ind w:left="1860" w:right="40" w:hanging="543"/>
        <w:spacing w:after="0" w:line="258" w:lineRule="auto"/>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held at more than one place or participated in in more than one way in accordance with paragraph (a) above, is duly constituted and its proceedings are valid if (in addition to the other provisions of these articles relating to general meetings being satisfied) the chair of the meeting is satisfied that facilities (whether electronic or otherwise) are available to enable each person present at each place and/or attending or participating in it electronically to participate in the business of the meeting.</w:t>
      </w:r>
    </w:p>
    <w:p>
      <w:pPr>
        <w:spacing w:after="0" w:line="88"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present at any place of the meeting or who is attending it electronically, and who would be entitled to count towards the quorum in accordance with the provisions of article 40 shall be counted in the quorum for, and shall be entitled to vote at, the meeting.</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4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Hybrid meetings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at article 33, the directors may decide to enable persons entitled to attend a meeting to do so by either electronic means or physical attendance at the hybrid meeting. Members or their proxies present shall be counted in the quorum for, and entitled to vote at, the general meeting in question, and that meeting shall be duly constituted and its proceedings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080"/>
          </w:cols>
          <w:pgMar w:left="320" w:top="454" w:right="49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right="320"/>
        <w:spacing w:after="0" w:line="282" w:lineRule="auto"/>
        <w:rPr>
          <w:sz w:val="20"/>
          <w:szCs w:val="20"/>
          <w:color w:val="auto"/>
        </w:rPr>
      </w:pPr>
      <w:r>
        <w:rPr>
          <w:rFonts w:ascii="Times New Roman" w:cs="Times New Roman" w:eastAsia="Times New Roman" w:hAnsi="Times New Roman"/>
          <w:sz w:val="18"/>
          <w:szCs w:val="18"/>
          <w:color w:val="auto"/>
        </w:rPr>
        <w:t>valid if the chair of the meeting is satisfied that adequate facilities are available throughout the hybrid meeting to ensure that members or their proxies attending the hybrid meeting who are not present together at the same place may:</w:t>
      </w:r>
    </w:p>
    <w:p>
      <w:pPr>
        <w:spacing w:after="0" w:line="67" w:lineRule="exact"/>
        <w:rPr>
          <w:sz w:val="20"/>
          <w:szCs w:val="20"/>
          <w:color w:val="auto"/>
        </w:rPr>
      </w:pPr>
    </w:p>
    <w:p>
      <w:pPr>
        <w:ind w:left="2520" w:hanging="649"/>
        <w:spacing w:after="0"/>
        <w:tabs>
          <w:tab w:leader="none" w:pos="2520"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meeting has been convened;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at the meeting; and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present at the meeting.</w:t>
      </w:r>
    </w:p>
    <w:p>
      <w:pPr>
        <w:spacing w:after="0" w:line="130"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appears to the chair of the meeting that the electronic platform(s), facilities or security at the hybrid meeting have become inadequate for the purposes referred to in article 34(a), then the chair may, without the consent of the meeting, interrupt or adjourn the general meeting. All business conducted at that general meeting up to the time of that adjournment shall be valid and the relevant provisions of these articles shall apply to that adjournment.</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general meetings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convene and the Company shall hold annual general meetings in accordance with the Statutes.</w:t>
      </w:r>
    </w:p>
    <w:p>
      <w:pPr>
        <w:spacing w:after="0" w:line="36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Convening of general meetings other than annual general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convene a general meeting other than an annual general meeting whenever it thinks fit.</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may also be convened in accordance with article 78.</w:t>
      </w:r>
    </w:p>
    <w:p>
      <w:pPr>
        <w:spacing w:after="0" w:line="130"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shall also be convened by the Board on the requisition of members under the Statutes or, in default, may be convened by such requisitionists, as provided by the Statutes.</w:t>
      </w:r>
    </w:p>
    <w:p>
      <w:pPr>
        <w:spacing w:after="0" w:line="67" w:lineRule="exact"/>
        <w:rPr>
          <w:rFonts w:ascii="Times New Roman" w:cs="Times New Roman" w:eastAsia="Times New Roman" w:hAnsi="Times New Roman"/>
          <w:sz w:val="18"/>
          <w:szCs w:val="18"/>
          <w:color w:val="auto"/>
        </w:rPr>
      </w:pPr>
    </w:p>
    <w:p>
      <w:pPr>
        <w:ind w:left="1860" w:right="60" w:hanging="543"/>
        <w:spacing w:after="0" w:line="266" w:lineRule="auto"/>
        <w:tabs>
          <w:tab w:leader="none" w:pos="186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comply with the Statutes regarding the giving and the circulation, on the requisition of members, of notices of resolutions and of statements with respect to matters relating to any resolution to be proposed or business to be dealt with at any general meeting of the Company.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general meetings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these articles and to any rights for the time being attached to any class of shares in the Company, the provisions of these articles relating to general meetings of the Company (including, for the avoidance of doubt, provisions relating to the proceedings at general meetings or to the rights of any person to attend or vote or be represented at general meetings or to any restrictions on these rights)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 relation to every separate general meeting of the holders of any class of shares in the Company.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52" w:lineRule="exact"/>
        <w:rPr>
          <w:sz w:val="20"/>
          <w:szCs w:val="20"/>
          <w:color w:val="auto"/>
        </w:rPr>
      </w:pPr>
    </w:p>
    <w:p>
      <w:pPr>
        <w:ind w:left="660" w:hanging="544"/>
        <w:spacing w:after="0"/>
        <w:tabs>
          <w:tab w:leader="none" w:pos="66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Length, form and content of notice</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6" w:lineRule="auto"/>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 annual general meeting shall be called by not less than 21 clear days’ notice and all other general meetings shall be called by not less than 14 clear days’ notice or by not less than such minimum notice period as is permitted by the Statutes.</w:t>
      </w:r>
    </w:p>
    <w:p>
      <w:pPr>
        <w:spacing w:after="0" w:line="81" w:lineRule="exact"/>
        <w:rPr>
          <w:rFonts w:ascii="Times New Roman" w:cs="Times New Roman" w:eastAsia="Times New Roman" w:hAnsi="Times New Roman"/>
          <w:sz w:val="18"/>
          <w:szCs w:val="18"/>
          <w:color w:val="auto"/>
        </w:rPr>
      </w:pPr>
    </w:p>
    <w:p>
      <w:pPr>
        <w:ind w:left="1860" w:right="200" w:hanging="543"/>
        <w:spacing w:after="0" w:line="282" w:lineRule="auto"/>
        <w:tabs>
          <w:tab w:leader="none" w:pos="1860"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shall be given to all members other than any who, under these articles or the terms of issue of the shares they hold, are not entitled to receive such notices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40"/>
          </w:cols>
          <w:pgMar w:left="320" w:top="454" w:right="4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from the Company, and also to the auditors (or, if more than one, each of them) and to each director.</w:t>
      </w:r>
    </w:p>
    <w:p>
      <w:pPr>
        <w:spacing w:after="0" w:line="131" w:lineRule="exact"/>
        <w:rPr>
          <w:sz w:val="20"/>
          <w:szCs w:val="20"/>
          <w:color w:val="auto"/>
        </w:rPr>
      </w:pPr>
    </w:p>
    <w:p>
      <w:pPr>
        <w:ind w:left="1860" w:right="20" w:hanging="543"/>
        <w:spacing w:after="0" w:line="282" w:lineRule="auto"/>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(including any notice given by means of a website) shall comply with all applicable requirements in the Statutes and shall specify whether the meeting will be an annual general meeting.</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provisions of article 33(a), if it is anticipated that a meeting will be conducted as an electronic general meeting, the notice of meeting shall state how it is proposed that persons attending or participating in the meeting electronically should communicate with the meeting.</w:t>
      </w:r>
    </w:p>
    <w:p>
      <w:pPr>
        <w:spacing w:after="0" w:line="7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Omission or non-receipt of notice</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accidental omission to give notice of a general meeting or to send an instrument of proxy (where this is intended to be sent out with the notice) to, or the non-receipt of the notice or instrument of proxy (as applicable) by, any person entitled to receive the same shall not invalidate the proceedings of that meeting.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52" w:lineRule="exact"/>
        <w:rPr>
          <w:sz w:val="20"/>
          <w:szCs w:val="20"/>
          <w:color w:val="auto"/>
        </w:rPr>
      </w:pPr>
    </w:p>
    <w:p>
      <w:pPr>
        <w:ind w:left="660" w:hanging="544"/>
        <w:spacing w:after="0"/>
        <w:tabs>
          <w:tab w:leader="none" w:pos="660" w:val="left"/>
        </w:tabs>
        <w:numPr>
          <w:ilvl w:val="0"/>
          <w:numId w:val="5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35" w:lineRule="exact"/>
        <w:rPr>
          <w:sz w:val="20"/>
          <w:szCs w:val="20"/>
          <w:color w:val="auto"/>
        </w:rPr>
      </w:pPr>
    </w:p>
    <w:p>
      <w:pPr>
        <w:ind w:left="1860" w:right="260" w:hanging="543"/>
        <w:spacing w:after="0" w:line="282" w:lineRule="auto"/>
        <w:tabs>
          <w:tab w:leader="none" w:pos="186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w:t>
      </w:r>
    </w:p>
    <w:p>
      <w:pPr>
        <w:spacing w:after="0" w:line="67" w:lineRule="exact"/>
        <w:rPr>
          <w:rFonts w:ascii="Times New Roman" w:cs="Times New Roman" w:eastAsia="Times New Roman" w:hAnsi="Times New Roman"/>
          <w:sz w:val="18"/>
          <w:szCs w:val="18"/>
          <w:color w:val="auto"/>
        </w:rPr>
      </w:pPr>
    </w:p>
    <w:p>
      <w:pPr>
        <w:ind w:left="1860" w:right="100" w:hanging="543"/>
        <w:spacing w:after="0" w:line="258" w:lineRule="auto"/>
        <w:tabs>
          <w:tab w:leader="none" w:pos="186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persons entitled to vote upon the business to be transacted, each being a member, the proxy of a member or a duly authorised representative of a corporation which is a member, shall be a quorum (provided that, for so longer as the Founder is the holder, directly or indirectly or Beneficial Owner of or beneficially interested in Ordinary Shares and is entitled to exercise not less than 10% of the votes attaching to all shares in the capital of the Company immediately prior to the beginning of the general meeting, he must be present for a general meeting to be quorate).</w:t>
      </w:r>
    </w:p>
    <w:p>
      <w:pPr>
        <w:spacing w:after="0" w:line="328" w:lineRule="exact"/>
        <w:rPr>
          <w:sz w:val="20"/>
          <w:szCs w:val="20"/>
          <w:color w:val="auto"/>
        </w:rPr>
      </w:pPr>
    </w:p>
    <w:p>
      <w:pPr>
        <w:ind w:left="660" w:hanging="544"/>
        <w:spacing w:after="0"/>
        <w:tabs>
          <w:tab w:leader="none" w:pos="66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Security</w:t>
      </w:r>
    </w:p>
    <w:p>
      <w:pPr>
        <w:spacing w:after="0" w:line="135" w:lineRule="exact"/>
        <w:rPr>
          <w:sz w:val="20"/>
          <w:szCs w:val="20"/>
          <w:color w:val="auto"/>
        </w:rPr>
      </w:pPr>
    </w:p>
    <w:p>
      <w:pPr>
        <w:ind w:left="1860" w:right="80" w:hanging="543"/>
        <w:spacing w:after="0" w:line="261" w:lineRule="auto"/>
        <w:tabs>
          <w:tab w:leader="none" w:pos="18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subject to the Statutes, make any physical or electronic security arrangements which it considers appropriate relating to the holding of a general meeting of the Company including, without limitation, arranging for any person attending a meeting physically to be searched and for items of personal property which may be taken into a meeting to be restricted. A director or the secretary may:</w:t>
      </w:r>
    </w:p>
    <w:p>
      <w:pPr>
        <w:spacing w:after="0" w:line="85"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physical or electronic entry to a meeting to any person (other than the Founder) who refuses to comply with any such arrangements; and</w:t>
      </w:r>
    </w:p>
    <w:p>
      <w:pPr>
        <w:spacing w:after="0" w:line="67" w:lineRule="exact"/>
        <w:rPr>
          <w:rFonts w:ascii="Times New Roman" w:cs="Times New Roman" w:eastAsia="Times New Roman" w:hAnsi="Times New Roman"/>
          <w:sz w:val="18"/>
          <w:szCs w:val="18"/>
          <w:color w:val="auto"/>
        </w:rPr>
      </w:pPr>
    </w:p>
    <w:p>
      <w:pPr>
        <w:ind w:left="2520" w:right="200" w:hanging="649"/>
        <w:spacing w:after="0" w:line="282" w:lineRule="auto"/>
        <w:tabs>
          <w:tab w:leader="none" w:pos="252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physically or electronically eject from a meeting any person (other than the Founder) who causes the proceedings to become disorderly.</w:t>
      </w:r>
    </w:p>
    <w:p>
      <w:pPr>
        <w:spacing w:after="0" w:line="67" w:lineRule="exact"/>
        <w:rPr>
          <w:rFonts w:ascii="Times New Roman" w:cs="Times New Roman" w:eastAsia="Times New Roman" w:hAnsi="Times New Roman"/>
          <w:sz w:val="18"/>
          <w:szCs w:val="18"/>
          <w:color w:val="auto"/>
        </w:rPr>
      </w:pPr>
    </w:p>
    <w:p>
      <w:pPr>
        <w:ind w:left="1860" w:right="500" w:hanging="543"/>
        <w:spacing w:after="0" w:line="282" w:lineRule="auto"/>
        <w:tabs>
          <w:tab w:leader="none" w:pos="18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electronic and/or hybrid meetings, the directors may make any arrangement and impose any requirement or restriction as is:</w:t>
      </w:r>
    </w:p>
    <w:p>
      <w:pPr>
        <w:spacing w:after="0" w:line="67"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to ensure the identification of those taking part by way of an electronic platform(s) and the security of any electronic communication;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proportionate to those objectives.</w:t>
      </w:r>
    </w:p>
    <w:p>
      <w:pPr>
        <w:spacing w:after="0" w:line="117"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In this respect, the directors may authorise any voting application, system or facility for electronic meetings or hybrid meetings as they see fit.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B-18</w:t>
      </w:r>
    </w:p>
    <w:p>
      <w:pPr>
        <w:sectPr>
          <w:pgSz w:w="11900" w:h="16838" w:orient="portrait"/>
          <w:cols w:equalWidth="0" w:num="1">
            <w:col w:w="11060"/>
          </w:cols>
          <w:pgMar w:left="320" w:top="454" w:right="51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w:t>
      </w:r>
    </w:p>
    <w:p>
      <w:pPr>
        <w:spacing w:after="0" w:line="135" w:lineRule="exact"/>
        <w:rPr>
          <w:sz w:val="20"/>
          <w:szCs w:val="20"/>
          <w:color w:val="auto"/>
        </w:rPr>
      </w:pPr>
    </w:p>
    <w:p>
      <w:pPr>
        <w:ind w:left="1860" w:hanging="543"/>
        <w:spacing w:after="0" w:line="255" w:lineRule="auto"/>
        <w:tabs>
          <w:tab w:leader="none" w:pos="186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general meeting, the chair of the Board (if any) or, if the chair is absent or unwilling, the deputy chair (if any) of the Board or (if more than one deputy chair is present and willing) the deputy chair who has been longest in such office, shall preside as chair of the meeting. If neither the chair nor deputy chair is present and willing, one of the other directors selected for the purpose by the directors present or, if only one director is present and willing, that director, shall preside as chair of the meeting. If no director is present within 15 minutes after the time fixed for holding the meeting or if none of the directors present are willing to preside as chair of the meeting, the members present and entitled to vote shall choose one of their number to preside as chair of the meeting.</w:t>
      </w:r>
    </w:p>
    <w:p>
      <w:pPr>
        <w:spacing w:after="0" w:line="94" w:lineRule="exact"/>
        <w:rPr>
          <w:rFonts w:ascii="Times New Roman" w:cs="Times New Roman" w:eastAsia="Times New Roman" w:hAnsi="Times New Roman"/>
          <w:sz w:val="18"/>
          <w:szCs w:val="18"/>
          <w:color w:val="auto"/>
        </w:rPr>
      </w:pPr>
    </w:p>
    <w:p>
      <w:pPr>
        <w:ind w:left="1860" w:right="140" w:hanging="543"/>
        <w:spacing w:after="0" w:line="261" w:lineRule="auto"/>
        <w:tabs>
          <w:tab w:leader="none" w:pos="186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without prejudice to any other powers vested in the chair of a meeting) when conducting a general meeting, the chair of the meeting may make whatever arrangements and take whatever actions as the chair considers, in the chair’s sole discretion, to be appropriate or conducive to the facilitation of the conduct of the business of the meeting, proportionate discussion on any item of business of the meeting, or the maintenance of good order.</w:t>
      </w:r>
    </w:p>
    <w:p>
      <w:pPr>
        <w:spacing w:after="0" w:line="85" w:lineRule="exact"/>
        <w:rPr>
          <w:rFonts w:ascii="Times New Roman" w:cs="Times New Roman" w:eastAsia="Times New Roman" w:hAnsi="Times New Roman"/>
          <w:sz w:val="18"/>
          <w:szCs w:val="18"/>
          <w:color w:val="auto"/>
        </w:rPr>
      </w:pPr>
    </w:p>
    <w:p>
      <w:pPr>
        <w:ind w:left="1860" w:right="120" w:hanging="543"/>
        <w:spacing w:after="0" w:line="256" w:lineRule="auto"/>
        <w:tabs>
          <w:tab w:leader="none" w:pos="186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a general meeting is participating in that meeting electronically and becomes disconnected from the meeting, another person (determined in accordance with the provisions of paragraph (a) above) shall preside as chair of the meeting unless and until the original chair regains electronic connection with the meeting. In the event that no replacement chair is presiding over the general meeting (and the original chair has not regained electronic connection with the meeting) 20 minutes after the original chair became disconnected from the meeting, the meeting shall be adjourned to a time and place (and/or, if appropriate, facilities for electronic attendance and participation) to be fixed by the Board.</w:t>
      </w:r>
    </w:p>
    <w:p>
      <w:pPr>
        <w:spacing w:after="0" w:line="33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attend and speak</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be entitled to attend and speak at any general meeting of the Company whether or not the director is a member.</w:t>
      </w:r>
    </w:p>
    <w:p>
      <w:pPr>
        <w:spacing w:after="0" w:line="130" w:lineRule="exact"/>
        <w:rPr>
          <w:rFonts w:ascii="Times New Roman" w:cs="Times New Roman" w:eastAsia="Times New Roman" w:hAnsi="Times New Roman"/>
          <w:sz w:val="18"/>
          <w:szCs w:val="18"/>
          <w:color w:val="auto"/>
        </w:rPr>
      </w:pPr>
    </w:p>
    <w:p>
      <w:pPr>
        <w:jc w:val="both"/>
        <w:ind w:left="1860" w:right="320" w:hanging="543"/>
        <w:spacing w:after="0" w:line="312" w:lineRule="auto"/>
        <w:tabs>
          <w:tab w:leader="none" w:pos="1860"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may invite any person to attend and speak at any general meeting of the Company if the chair considers that such person has the appropriate knowledge or experience of the Company’s business to assist in the deliberations of the meeting.</w:t>
      </w:r>
    </w:p>
    <w:p>
      <w:pPr>
        <w:spacing w:after="0" w:line="45" w:lineRule="exact"/>
        <w:rPr>
          <w:rFonts w:ascii="Times New Roman" w:cs="Times New Roman" w:eastAsia="Times New Roman" w:hAnsi="Times New Roman"/>
          <w:sz w:val="17"/>
          <w:szCs w:val="17"/>
          <w:color w:val="auto"/>
        </w:rPr>
      </w:pPr>
    </w:p>
    <w:p>
      <w:pPr>
        <w:ind w:left="1860" w:hanging="543"/>
        <w:spacing w:after="0"/>
        <w:tabs>
          <w:tab w:leader="none" w:pos="186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be entitled to speak at any general meeting of the Company.</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and amendments</w:t>
      </w:r>
    </w:p>
    <w:p>
      <w:pPr>
        <w:spacing w:after="0" w:line="134" w:lineRule="exact"/>
        <w:rPr>
          <w:rFonts w:ascii="Times New Roman" w:cs="Times New Roman" w:eastAsia="Times New Roman" w:hAnsi="Times New Roman"/>
          <w:sz w:val="18"/>
          <w:szCs w:val="18"/>
          <w:b w:val="1"/>
          <w:bCs w:val="1"/>
          <w:color w:val="auto"/>
        </w:rPr>
      </w:pPr>
    </w:p>
    <w:p>
      <w:pPr>
        <w:ind w:left="1860" w:right="280" w:hanging="543"/>
        <w:spacing w:after="0" w:line="282" w:lineRule="auto"/>
        <w:tabs>
          <w:tab w:leader="none" w:pos="186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 resolution may only be put to the vote at a general meeting if the chair of the meeting in the chair’s absolute discretion decides that the resolution may properly be regarded as within the scope of the meeting.</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 special resolution no amendment may be made, at or before the time at which the resolution is put to the vote, to the form of the resolution as set out in the notice of meeting, except to correct a patent error or as may otherwise be permitted by law.</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resolution to be proposed as an ordinary resolution no amendment may be made, at or before the time at which the resolution is put to the vote, unless:</w:t>
      </w:r>
    </w:p>
    <w:p>
      <w:pPr>
        <w:spacing w:after="0" w:line="67" w:lineRule="exact"/>
        <w:rPr>
          <w:rFonts w:ascii="Times New Roman" w:cs="Times New Roman" w:eastAsia="Times New Roman" w:hAnsi="Times New Roman"/>
          <w:sz w:val="18"/>
          <w:szCs w:val="18"/>
          <w:color w:val="auto"/>
        </w:rPr>
      </w:pPr>
    </w:p>
    <w:p>
      <w:pPr>
        <w:ind w:left="2520" w:right="120" w:hanging="649"/>
        <w:spacing w:after="0" w:line="266" w:lineRule="auto"/>
        <w:tabs>
          <w:tab w:leader="none" w:pos="2520"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amendment to the form of the resolution as set out in the notice of meeting, notice of the intention to move the amendment is received at the office at least 48 hours before the time fixed for the holding of the relevant meeting;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B-19</w:t>
      </w:r>
    </w:p>
    <w:p>
      <w:pPr>
        <w:sectPr>
          <w:pgSz w:w="11900" w:h="16838" w:orient="portrait"/>
          <w:cols w:equalWidth="0" w:num="1">
            <w:col w:w="11080"/>
          </w:cols>
          <w:pgMar w:left="320" w:top="454" w:right="49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20" w:right="640" w:hanging="649"/>
        <w:spacing w:after="0" w:line="282" w:lineRule="auto"/>
        <w:tabs>
          <w:tab w:leader="none" w:pos="252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the chair of the meeting in the chair’s absolute discretion otherwise decides that the amendment or amended resolution may properly be put to the vote.</w:t>
      </w:r>
    </w:p>
    <w:p>
      <w:pPr>
        <w:spacing w:after="0" w:line="54" w:lineRule="exact"/>
        <w:rPr>
          <w:sz w:val="20"/>
          <w:szCs w:val="20"/>
          <w:color w:val="auto"/>
        </w:rPr>
      </w:pPr>
    </w:p>
    <w:p>
      <w:pPr>
        <w:ind w:left="1880" w:right="120"/>
        <w:spacing w:after="0" w:line="282" w:lineRule="auto"/>
        <w:rPr>
          <w:sz w:val="20"/>
          <w:szCs w:val="20"/>
          <w:color w:val="auto"/>
        </w:rPr>
      </w:pPr>
      <w:r>
        <w:rPr>
          <w:rFonts w:ascii="Times New Roman" w:cs="Times New Roman" w:eastAsia="Times New Roman" w:hAnsi="Times New Roman"/>
          <w:sz w:val="18"/>
          <w:szCs w:val="18"/>
          <w:color w:val="auto"/>
        </w:rPr>
        <w:t>The giving of notice under paragraph (i) above shall not prejudice the power of the chair of the meeting to rule the amendment out of order.</w:t>
      </w:r>
    </w:p>
    <w:p>
      <w:pPr>
        <w:spacing w:after="0" w:line="67" w:lineRule="exact"/>
        <w:rPr>
          <w:sz w:val="20"/>
          <w:szCs w:val="20"/>
          <w:color w:val="auto"/>
        </w:rPr>
      </w:pPr>
    </w:p>
    <w:p>
      <w:pPr>
        <w:ind w:left="1860" w:right="160" w:hanging="543"/>
        <w:spacing w:after="0" w:line="282" w:lineRule="auto"/>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chair of the meeting, a person who proposes an amendment to a resolution may withdraw it before it is put to the vote.</w:t>
      </w:r>
    </w:p>
    <w:p>
      <w:pPr>
        <w:spacing w:after="0" w:line="67" w:lineRule="exact"/>
        <w:rPr>
          <w:rFonts w:ascii="Times New Roman" w:cs="Times New Roman" w:eastAsia="Times New Roman" w:hAnsi="Times New Roman"/>
          <w:sz w:val="18"/>
          <w:szCs w:val="18"/>
          <w:color w:val="auto"/>
        </w:rPr>
      </w:pPr>
    </w:p>
    <w:p>
      <w:pPr>
        <w:jc w:val="both"/>
        <w:ind w:left="1860" w:right="20" w:hanging="543"/>
        <w:spacing w:after="0" w:line="266" w:lineRule="auto"/>
        <w:tabs>
          <w:tab w:leader="none" w:pos="186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chair of the meeting rules a resolution or an amendment to a resolution admissible or out of order (as the case may be), the proceedings of the meeting or the resolution in question shall not be invalidated by any error in the chair’s ruling. Any ruling by the chair of the meeting in relation to a resolution or an amendment to a resolution shall be final and conclusive.</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Adjournment</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6"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any general meeting at which a quorum is present the chair of the meeting may (and shall if so directed by the meeting) adjourn the meeting from time to time and from place (and/or, if appropriate, facilities for electronic attendance and participation) to place (and/or, if appropriate, facilities for electronic attendance and participation).</w:t>
      </w:r>
    </w:p>
    <w:p>
      <w:pPr>
        <w:spacing w:after="0" w:line="81"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may at any time without the consent of the meeting adjourn the meeting (whether or not it has commenced or a quorum is present) to another time and/or place (and, if the chair considers it appropriate, facilities for electronic attendance and participation) if, in the chair’s opinion, it would facilitate the conduct of the business of the meeting to do so.</w:t>
      </w:r>
    </w:p>
    <w:p>
      <w:pPr>
        <w:spacing w:after="0" w:line="85" w:lineRule="exact"/>
        <w:rPr>
          <w:rFonts w:ascii="Times New Roman" w:cs="Times New Roman" w:eastAsia="Times New Roman" w:hAnsi="Times New Roman"/>
          <w:sz w:val="18"/>
          <w:szCs w:val="18"/>
          <w:color w:val="auto"/>
        </w:rPr>
      </w:pPr>
    </w:p>
    <w:p>
      <w:pPr>
        <w:ind w:left="1860" w:right="120" w:hanging="543"/>
        <w:spacing w:after="0" w:line="258"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chair of the meeting shall at any time without the consent of the meeting adjourn the meeting (whether or not it has commenced or a quorum is present) to another time and/or place (and/or, if appropriate, with other facilities for electronic attendance and participation) if, in the chair’s opinion, the facilities (whether electronic or otherwise, and whether affecting the place (or more than one place) of the meeting or any electronic participation arrangements) are not sufficient to allow the meeting to be conducted substantially in accordance with the provisions set out in the notice of meeting.</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limit any other power vested in the chair of the meeting to adjourn the meeting.</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conducted at a general meeting up to the time of any adjournment shall, subject to paragraph (f) below, be valid.</w:t>
      </w:r>
    </w:p>
    <w:p>
      <w:pPr>
        <w:spacing w:after="0" w:line="130" w:lineRule="exact"/>
        <w:rPr>
          <w:rFonts w:ascii="Times New Roman" w:cs="Times New Roman" w:eastAsia="Times New Roman" w:hAnsi="Times New Roman"/>
          <w:sz w:val="18"/>
          <w:szCs w:val="18"/>
          <w:color w:val="auto"/>
        </w:rPr>
      </w:pPr>
    </w:p>
    <w:p>
      <w:pPr>
        <w:ind w:left="1860" w:right="40" w:hanging="543"/>
        <w:spacing w:after="0" w:line="282"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may specify that only the business conducted at a general meeting up to a point in time which is earlier than the time of adjournment is valid if, in the chair’s opinion, to do so would be more appropriate.</w:t>
      </w:r>
    </w:p>
    <w:p>
      <w:pPr>
        <w:spacing w:after="0" w:line="65" w:lineRule="exact"/>
        <w:rPr>
          <w:rFonts w:ascii="Times New Roman" w:cs="Times New Roman" w:eastAsia="Times New Roman" w:hAnsi="Times New Roman"/>
          <w:sz w:val="18"/>
          <w:szCs w:val="18"/>
          <w:color w:val="auto"/>
        </w:rPr>
      </w:pPr>
    </w:p>
    <w:p>
      <w:pPr>
        <w:ind w:left="1860" w:hanging="543"/>
        <w:spacing w:after="0" w:line="267"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 meeting is adjourned for 30 days or more or </w:t>
      </w:r>
      <w:r>
        <w:rPr>
          <w:rFonts w:ascii="Times New Roman" w:cs="Times New Roman" w:eastAsia="Times New Roman" w:hAnsi="Times New Roman"/>
          <w:sz w:val="18"/>
          <w:szCs w:val="18"/>
          <w:i w:val="1"/>
          <w:iCs w:val="1"/>
          <w:color w:val="auto"/>
        </w:rPr>
        <w:t>sine die</w:t>
      </w:r>
      <w:r>
        <w:rPr>
          <w:rFonts w:ascii="Times New Roman" w:cs="Times New Roman" w:eastAsia="Times New Roman" w:hAnsi="Times New Roman"/>
          <w:sz w:val="18"/>
          <w:szCs w:val="18"/>
          <w:color w:val="auto"/>
        </w:rPr>
        <w:t>, at least 14 clear days’ notice of the adjourned meeting shall be given in the same manner as in the case of the original meeting but otherwise no person shall be entitled to any notice of an adjourned meeting or of the business to be transacted at an adjourned meeting.</w:t>
      </w:r>
    </w:p>
    <w:p>
      <w:pPr>
        <w:spacing w:after="0" w:line="80" w:lineRule="exact"/>
        <w:rPr>
          <w:rFonts w:ascii="Times New Roman" w:cs="Times New Roman" w:eastAsia="Times New Roman" w:hAnsi="Times New Roman"/>
          <w:sz w:val="18"/>
          <w:szCs w:val="18"/>
          <w:color w:val="auto"/>
        </w:rPr>
      </w:pPr>
    </w:p>
    <w:p>
      <w:pPr>
        <w:ind w:left="1860" w:right="520" w:hanging="543"/>
        <w:spacing w:after="0" w:line="282" w:lineRule="auto"/>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any adjourned meeting other than the business which might have been transacted at the meeting from which the adjournment took place.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voting</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(before or on the declaration of the result of the show of hands) a poll is demanded by:</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members present in person or by proxy and entitled to vote on the resolution;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B-20</w:t>
      </w:r>
    </w:p>
    <w:p>
      <w:pPr>
        <w:sectPr>
          <w:pgSz w:w="11900" w:h="16838" w:orient="portrait"/>
          <w:cols w:equalWidth="0" w:num="1">
            <w:col w:w="11120"/>
          </w:cols>
          <w:pgMar w:left="320" w:top="454" w:right="45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120" w:hanging="543"/>
        <w:spacing w:after="0" w:line="282"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representing not less than one-tenth of the total voting rights of all the members having the right to vote on the resolution;</w:t>
      </w:r>
    </w:p>
    <w:p>
      <w:pPr>
        <w:spacing w:after="0" w:line="67"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or members present in person or by proxy and holding shares in the Company conferring a right to vote on the resolution, being shares on which an aggregate sum has been paid up equal to not less than one-tenth of the total sum paid up on all the shares conferring that right; or</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poll is to be taken</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6"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shall be taken at such time (either at the meeting at which the resolution is proposed or within 30 days after the meeting), at such place and in such manner (including electronically) as the chair of the meeting shall direct and the chair may appoint scrutineers (who need not be members).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a question of adjournment shall be taken at the meeting without adjournment.</w:t>
      </w:r>
    </w:p>
    <w:p>
      <w:pPr>
        <w:spacing w:after="0" w:line="130" w:lineRule="exact"/>
        <w:rPr>
          <w:rFonts w:ascii="Times New Roman" w:cs="Times New Roman" w:eastAsia="Times New Roman" w:hAnsi="Times New Roman"/>
          <w:sz w:val="18"/>
          <w:szCs w:val="18"/>
          <w:color w:val="auto"/>
        </w:rPr>
      </w:pPr>
    </w:p>
    <w:p>
      <w:pPr>
        <w:ind w:left="1860" w:right="240" w:hanging="543"/>
        <w:spacing w:after="0" w:line="282"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(unless the chair of the meeting otherwise directs) for notice to be given of a poll whether taken at or after the meeting at which it was demanded.</w:t>
      </w:r>
    </w:p>
    <w:p>
      <w:pPr>
        <w:spacing w:after="0" w:line="67" w:lineRule="exact"/>
        <w:rPr>
          <w:rFonts w:ascii="Times New Roman" w:cs="Times New Roman" w:eastAsia="Times New Roman" w:hAnsi="Times New Roman"/>
          <w:sz w:val="18"/>
          <w:szCs w:val="18"/>
          <w:color w:val="auto"/>
        </w:rPr>
      </w:pPr>
    </w:p>
    <w:p>
      <w:pPr>
        <w:ind w:left="1860" w:right="280" w:hanging="543"/>
        <w:spacing w:after="0" w:line="282"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 and a member entitled to more than one vote need not use all the member’s votes or cast all the votes used in the same way.</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the poll shall be deemed to be a resolution of the meeting at which the poll was demanded (or deemed to have been demanded).</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meeting</w:t>
      </w:r>
    </w:p>
    <w:p>
      <w:pPr>
        <w:spacing w:after="0" w:line="121" w:lineRule="exact"/>
        <w:rPr>
          <w:rFonts w:ascii="Times New Roman" w:cs="Times New Roman" w:eastAsia="Times New Roman" w:hAnsi="Times New Roman"/>
          <w:sz w:val="18"/>
          <w:szCs w:val="18"/>
          <w:b w:val="1"/>
          <w:bCs w:val="1"/>
          <w:color w:val="auto"/>
        </w:rPr>
      </w:pPr>
    </w:p>
    <w:p>
      <w:pPr>
        <w:jc w:val="both"/>
        <w:ind w:left="6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persons seeking to attend or participate in a general meeting electronically shall be responsible for maintaining adequate facilities to enable them to do so. Subject only to the requirement for the chair to adjourn a general meeting in accordance with the provisions of article 45(c), any inability of a person or persons to attend or participate in a general meeting electronically shall not invalidate the proceedings of that meeting.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252" w:lineRule="exact"/>
        <w:rPr>
          <w:sz w:val="20"/>
          <w:szCs w:val="20"/>
          <w:color w:val="auto"/>
        </w:rPr>
      </w:pPr>
    </w:p>
    <w:p>
      <w:pPr>
        <w:ind w:left="660" w:hanging="544"/>
        <w:spacing w:after="0"/>
        <w:tabs>
          <w:tab w:leader="none" w:pos="66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134" w:lineRule="exact"/>
        <w:rPr>
          <w:rFonts w:ascii="Times New Roman" w:cs="Times New Roman" w:eastAsia="Times New Roman" w:hAnsi="Times New Roman"/>
          <w:sz w:val="18"/>
          <w:szCs w:val="18"/>
          <w:b w:val="1"/>
          <w:bCs w:val="1"/>
          <w:color w:val="auto"/>
        </w:rPr>
      </w:pPr>
    </w:p>
    <w:p>
      <w:pPr>
        <w:ind w:left="1860" w:right="100" w:hanging="543"/>
        <w:spacing w:after="0" w:line="282" w:lineRule="auto"/>
        <w:tabs>
          <w:tab w:leader="none" w:pos="1860"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any special rights or restrictions as to voting for the time being attached to any class of shares in the Company (including, for the avoidance of doubt, such rights and restrictions as apply as set out in article 5(b) above):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who is present in person shall have one vote;</w:t>
      </w:r>
    </w:p>
    <w:p>
      <w:pPr>
        <w:spacing w:after="0" w:line="130" w:lineRule="exact"/>
        <w:rPr>
          <w:rFonts w:ascii="Times New Roman" w:cs="Times New Roman" w:eastAsia="Times New Roman" w:hAnsi="Times New Roman"/>
          <w:sz w:val="18"/>
          <w:szCs w:val="18"/>
          <w:color w:val="auto"/>
        </w:rPr>
      </w:pPr>
    </w:p>
    <w:p>
      <w:pPr>
        <w:ind w:left="3080" w:right="40" w:hanging="548"/>
        <w:spacing w:after="0" w:line="256" w:lineRule="auto"/>
        <w:tabs>
          <w:tab w:leader="none" w:pos="3080" w:val="left"/>
        </w:tabs>
        <w:numPr>
          <w:ilvl w:val="3"/>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proxy present who has been duly appointed by one or more members entitled to vote on the resolution shall have one vote, except that if the proxy has been duly appointed by more than one member entitled to vote on the resolution and is instructed by one or more of those members to vote for the resolution and by one or more others to vote against it, or is instructed by one or more of those members to vote in one way and is given discretion as to how to vote by one or more others (and wishes to use that discretion to vote in the other way) he or she shall have one vote for and one vote against the resolution; and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B-21</w:t>
      </w:r>
    </w:p>
    <w:p>
      <w:pPr>
        <w:sectPr>
          <w:pgSz w:w="11900" w:h="16838" w:orient="portrait"/>
          <w:cols w:equalWidth="0" w:num="1">
            <w:col w:w="11120"/>
          </w:cols>
          <w:pgMar w:left="320" w:top="454" w:right="45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3080" w:right="440" w:hanging="548"/>
        <w:spacing w:after="0" w:line="282" w:lineRule="auto"/>
        <w:tabs>
          <w:tab w:leader="none" w:pos="3080" w:val="left"/>
        </w:tabs>
        <w:numPr>
          <w:ilvl w:val="3"/>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corporate representative present who has been duly authorised by a corporation shall have the same voting rights as the corporation would be entitled to; and</w:t>
      </w:r>
    </w:p>
    <w:p>
      <w:pPr>
        <w:spacing w:after="0" w:line="67" w:lineRule="exact"/>
        <w:rPr>
          <w:rFonts w:ascii="Times New Roman" w:cs="Times New Roman" w:eastAsia="Times New Roman" w:hAnsi="Times New Roman"/>
          <w:sz w:val="18"/>
          <w:szCs w:val="18"/>
          <w:color w:val="auto"/>
        </w:rPr>
      </w:pPr>
    </w:p>
    <w:p>
      <w:pPr>
        <w:ind w:left="2520" w:right="220" w:hanging="649"/>
        <w:spacing w:after="0" w:line="266" w:lineRule="auto"/>
        <w:tabs>
          <w:tab w:leader="none" w:pos="2520" w:val="left"/>
        </w:tabs>
        <w:numPr>
          <w:ilvl w:val="2"/>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and subject to article 5(b), every member who is present in person or by a duly appointed proxy shall have one vote for each share of which he or she is the holder or in respect of which his or her appointment of proxy or corporate representative has been made.</w:t>
      </w:r>
    </w:p>
    <w:p>
      <w:pPr>
        <w:spacing w:after="0" w:line="81"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or vote at any general meeting, and how many votes such persons may cast, the Company must specify in the notice of the meeting a time, determined by the Board, by which a person must be entered on the register in order to have the right to attend or vote at the meeting. Changes to entries on the register after the time so specified shall be disregarded in determining the rights of any person to attend or vote at the meeting, notwithstanding any provisions in the Statutes or these articles to the contrary.</w:t>
      </w:r>
    </w:p>
    <w:p>
      <w:pPr>
        <w:spacing w:after="0" w:line="32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 of corporations</w:t>
      </w:r>
    </w:p>
    <w:p>
      <w:pPr>
        <w:spacing w:after="0" w:line="134" w:lineRule="exact"/>
        <w:rPr>
          <w:rFonts w:ascii="Times New Roman" w:cs="Times New Roman" w:eastAsia="Times New Roman" w:hAnsi="Times New Roman"/>
          <w:sz w:val="18"/>
          <w:szCs w:val="18"/>
          <w:b w:val="1"/>
          <w:bCs w:val="1"/>
          <w:color w:val="auto"/>
        </w:rPr>
      </w:pPr>
    </w:p>
    <w:p>
      <w:pPr>
        <w:ind w:left="1860" w:right="360" w:hanging="543"/>
        <w:spacing w:after="0" w:line="282" w:lineRule="auto"/>
        <w:tabs>
          <w:tab w:leader="none" w:pos="186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of the Company may, by resolution of its Board or other governing body, authorise any person or persons to act as its representative or representatives at any general meeting of the Company.</w:t>
      </w:r>
    </w:p>
    <w:p>
      <w:pPr>
        <w:spacing w:after="0" w:line="67" w:lineRule="exact"/>
        <w:rPr>
          <w:rFonts w:ascii="Times New Roman" w:cs="Times New Roman" w:eastAsia="Times New Roman" w:hAnsi="Times New Roman"/>
          <w:sz w:val="18"/>
          <w:szCs w:val="18"/>
          <w:color w:val="auto"/>
        </w:rPr>
      </w:pPr>
    </w:p>
    <w:p>
      <w:pPr>
        <w:ind w:left="1860" w:right="660" w:hanging="543"/>
        <w:spacing w:after="0" w:line="282" w:lineRule="auto"/>
        <w:tabs>
          <w:tab w:leader="none" w:pos="186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any director or the secretary may (but shall not be bound to) require evidence of the authority of any such representative.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joint holders</w:t>
      </w:r>
    </w:p>
    <w:p>
      <w:pPr>
        <w:spacing w:after="0" w:line="121" w:lineRule="exact"/>
        <w:rPr>
          <w:rFonts w:ascii="Times New Roman" w:cs="Times New Roman" w:eastAsia="Times New Roman" w:hAnsi="Times New Roman"/>
          <w:sz w:val="18"/>
          <w:szCs w:val="18"/>
          <w:b w:val="1"/>
          <w:bCs w:val="1"/>
          <w:color w:val="auto"/>
        </w:rPr>
      </w:pPr>
    </w:p>
    <w:p>
      <w:pPr>
        <w:jc w:val="both"/>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more than one of the joint holders of a share tenders a vote on the same resolution, whether in person or by proxy, the vote of the senior who tenders a vote shall be accepted to the exclusion of the vote(s) of the other joint holder(s); and for this purpose, seniority shall be determined by the order in which the names stand in the register in respect of the relevant share.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incapable of managing their affairs</w:t>
      </w:r>
    </w:p>
    <w:p>
      <w:pPr>
        <w:spacing w:after="0" w:line="121"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member in respect of whom an order has been made by any court having jurisdiction (whether in the United Kingdom or elsewhere) in matters concerning mental disorder may vote by the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in the nature of a receiver or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appointed by that court, and the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may, on a poll, vote by proxy. Evidence to the satisfaction of the Board of the authority of the person claiming the right to vote must be received at the office (or at such other address as may be specified for the receipt of proxy appointments) not later than the last time by which a proxy appointment must be received in order to be valid for use at the meeting or adjourned meeting or on the holding of the poll at or on which that person proposes to vote and, in default, the right to vote shall not be exercisable.</w:t>
      </w:r>
    </w:p>
    <w:p>
      <w:pPr>
        <w:spacing w:after="0" w:line="333"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suspended where sums overdue</w:t>
      </w:r>
    </w:p>
    <w:p>
      <w:pPr>
        <w:spacing w:after="0" w:line="12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Board otherwise decides, a member shall not be entitled to vote, either in person or by proxy, at any general meeting of the Company in respect of any share held by that member unless all calls and other sums presently payable by that member in respect of that share have been paid.</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Objections to admissibility of votes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objection shall be raised as to the admissibility of any vote except at the meeting or adjourned meeting or poll at which the vote objected to is or may be given or tendered, and every vote not disallowed at such meeting or poll shall be valid for all purposes. Any such objection made in due time shall be referred to the chair of the meeting, whose decision shall be final and conclusive.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B-22</w:t>
      </w:r>
    </w:p>
    <w:p>
      <w:pPr>
        <w:sectPr>
          <w:pgSz w:w="11900" w:h="16838" w:orient="portrait"/>
          <w:cols w:equalWidth="0" w:num="1">
            <w:col w:w="11120"/>
          </w:cols>
          <w:pgMar w:left="320" w:top="454"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52" w:lineRule="exact"/>
        <w:rPr>
          <w:sz w:val="20"/>
          <w:szCs w:val="20"/>
          <w:color w:val="auto"/>
        </w:rPr>
      </w:pPr>
    </w:p>
    <w:p>
      <w:pPr>
        <w:ind w:left="660" w:hanging="544"/>
        <w:spacing w:after="0"/>
        <w:tabs>
          <w:tab w:leader="none" w:pos="660" w:val="left"/>
        </w:tabs>
        <w:numPr>
          <w:ilvl w:val="0"/>
          <w:numId w:val="5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ind w:left="1860" w:right="520" w:hanging="543"/>
        <w:spacing w:after="0" w:line="282" w:lineRule="auto"/>
        <w:tabs>
          <w:tab w:leader="none" w:pos="186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need not be a member of the Company and a member may appoint more than one proxy in relation to a meeting, provided that each proxy is appointed to exercise the rights attached to a different share or shares held by the member.</w:t>
      </w:r>
    </w:p>
    <w:p>
      <w:pPr>
        <w:spacing w:after="0" w:line="67" w:lineRule="exact"/>
        <w:rPr>
          <w:rFonts w:ascii="Times New Roman" w:cs="Times New Roman" w:eastAsia="Times New Roman" w:hAnsi="Times New Roman"/>
          <w:sz w:val="18"/>
          <w:szCs w:val="18"/>
          <w:color w:val="auto"/>
        </w:rPr>
      </w:pPr>
    </w:p>
    <w:p>
      <w:pPr>
        <w:ind w:left="1860" w:right="460" w:hanging="543"/>
        <w:spacing w:after="0" w:line="282" w:lineRule="auto"/>
        <w:tabs>
          <w:tab w:leader="none" w:pos="186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not preclude a member from attending and voting in person at the meeting or on the poll concerned.</w:t>
      </w:r>
    </w:p>
    <w:p>
      <w:pPr>
        <w:spacing w:after="0" w:line="67"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proxy shall only be valid for the meeting mentioned in it and any adjournment of that meeting (including on any poll demanded at the meeting or any adjourned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proxy</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61" w:lineRule="auto"/>
        <w:tabs>
          <w:tab w:leader="none" w:pos="1860"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appointment of a proxy may be in such form as is usual or common or in such other form as the Board may from time to time approve and shall be signed by the appointor, or the appointor’s duly authorised agent, or, if the appointor is a corporation, shall either be executed under its common seal or be signed by an agent or officer authorised for that purpose. The signature need not be witnessed.</w:t>
      </w:r>
    </w:p>
    <w:p>
      <w:pPr>
        <w:spacing w:after="0" w:line="85"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these articles, the Board may from time to time in relation to uncertificated shares: (i) approve the appointment of a proxy by means of a communication sent in electronic form which is sent by means of the relevant system and received by such participant in that system acting on behalf of the Company as the Board may prescribe, in such form and subject to such terms and conditions as the Board may from time to time prescribe (subject always to the facilities and requirements of the relevant system)); and (ii) approve supplements to, or amendments or revocations of, any such uncertificated proxy instruction by the same means. In addition, the Board may prescribe the method of determining the time at which any such uncertificated proxy instruction is to be treated as received by the Company or such participant and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332"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of proxy</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appointment:</w:t>
      </w:r>
    </w:p>
    <w:p>
      <w:pPr>
        <w:spacing w:after="0" w:line="130" w:lineRule="exact"/>
        <w:rPr>
          <w:rFonts w:ascii="Times New Roman" w:cs="Times New Roman" w:eastAsia="Times New Roman" w:hAnsi="Times New Roman"/>
          <w:sz w:val="18"/>
          <w:szCs w:val="18"/>
          <w:color w:val="auto"/>
        </w:rPr>
      </w:pPr>
    </w:p>
    <w:p>
      <w:pPr>
        <w:ind w:left="2520" w:right="420" w:hanging="649"/>
        <w:spacing w:after="0" w:line="282" w:lineRule="auto"/>
        <w:tabs>
          <w:tab w:leader="none" w:pos="2520" w:val="left"/>
        </w:tabs>
        <w:numPr>
          <w:ilvl w:val="2"/>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received at a proxy notification address not less than 48 hours (or such shorter time as the Board decides) before the time fixed for holding the meeting at which the appointee proposes to vote; or</w:t>
      </w:r>
    </w:p>
    <w:p>
      <w:pPr>
        <w:spacing w:after="0" w:line="67" w:lineRule="exact"/>
        <w:rPr>
          <w:rFonts w:ascii="Times New Roman" w:cs="Times New Roman" w:eastAsia="Times New Roman" w:hAnsi="Times New Roman"/>
          <w:sz w:val="18"/>
          <w:szCs w:val="18"/>
          <w:color w:val="auto"/>
        </w:rPr>
      </w:pPr>
    </w:p>
    <w:p>
      <w:pPr>
        <w:ind w:left="2520" w:right="300" w:hanging="649"/>
        <w:spacing w:after="0" w:line="261" w:lineRule="auto"/>
        <w:tabs>
          <w:tab w:leader="none" w:pos="2520" w:val="left"/>
        </w:tabs>
        <w:numPr>
          <w:ilvl w:val="2"/>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or in the case of an adjourned meeting to be held more than 48 hours after the time fixed for holding the original meeting, must be received at a proxy notification address not less than 24 hours (or such shorter time as the Board decides) before the time fixed for the taking of the poll or, as the case may be, the time fixed for holding the adjourned meeting; or</w:t>
      </w:r>
    </w:p>
    <w:p>
      <w:pPr>
        <w:spacing w:after="0" w:line="85" w:lineRule="exact"/>
        <w:rPr>
          <w:rFonts w:ascii="Times New Roman" w:cs="Times New Roman" w:eastAsia="Times New Roman" w:hAnsi="Times New Roman"/>
          <w:sz w:val="18"/>
          <w:szCs w:val="18"/>
          <w:color w:val="auto"/>
        </w:rPr>
      </w:pPr>
    </w:p>
    <w:p>
      <w:pPr>
        <w:ind w:left="2520" w:right="280" w:hanging="649"/>
        <w:spacing w:after="0" w:line="266" w:lineRule="auto"/>
        <w:tabs>
          <w:tab w:leader="none" w:pos="2520" w:val="left"/>
        </w:tabs>
        <w:numPr>
          <w:ilvl w:val="2"/>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which is not taken at the meeting at which it is demanded but is taken 48 hours or less after it is demanded, or in the case of an adjourned meeting to be held 48 hours or less after the time fixed for holding the original meeting, must be received:</w:t>
      </w:r>
    </w:p>
    <w:p>
      <w:pPr>
        <w:spacing w:after="0" w:line="81"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in accordance with (i) above;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B-23</w:t>
      </w:r>
    </w:p>
    <w:p>
      <w:pPr>
        <w:sectPr>
          <w:pgSz w:w="11900" w:h="16838" w:orient="portrait"/>
          <w:cols w:equalWidth="0" w:num="1">
            <w:col w:w="11120"/>
          </w:cols>
          <w:pgMar w:left="320" w:top="454" w:right="4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3080" w:right="160" w:hanging="548"/>
        <w:spacing w:after="0" w:line="282" w:lineRule="auto"/>
        <w:tabs>
          <w:tab w:leader="none" w:pos="308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 of the meeting or the secretary or any director at the meeting at which the poll is demanded or, as the case may be, at the original meeting; or</w:t>
      </w:r>
    </w:p>
    <w:p>
      <w:pPr>
        <w:spacing w:after="0" w:line="67" w:lineRule="exact"/>
        <w:rPr>
          <w:rFonts w:ascii="Times New Roman" w:cs="Times New Roman" w:eastAsia="Times New Roman" w:hAnsi="Times New Roman"/>
          <w:sz w:val="18"/>
          <w:szCs w:val="18"/>
          <w:color w:val="auto"/>
        </w:rPr>
      </w:pPr>
    </w:p>
    <w:p>
      <w:pPr>
        <w:ind w:left="3080" w:right="160" w:hanging="548"/>
        <w:spacing w:after="0" w:line="282" w:lineRule="auto"/>
        <w:tabs>
          <w:tab w:leader="none" w:pos="308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proxy notification address by such time as the chair of the meeting may direct at the meeting at which the poll is demanded.</w:t>
      </w:r>
    </w:p>
    <w:p>
      <w:pPr>
        <w:spacing w:after="0" w:line="54" w:lineRule="exact"/>
        <w:rPr>
          <w:sz w:val="20"/>
          <w:szCs w:val="20"/>
          <w:color w:val="auto"/>
        </w:rPr>
      </w:pPr>
    </w:p>
    <w:p>
      <w:pPr>
        <w:ind w:left="1880" w:right="600"/>
        <w:spacing w:after="0" w:line="282" w:lineRule="auto"/>
        <w:rPr>
          <w:sz w:val="20"/>
          <w:szCs w:val="20"/>
          <w:color w:val="auto"/>
        </w:rPr>
      </w:pPr>
      <w:r>
        <w:rPr>
          <w:rFonts w:ascii="Times New Roman" w:cs="Times New Roman" w:eastAsia="Times New Roman" w:hAnsi="Times New Roman"/>
          <w:sz w:val="18"/>
          <w:szCs w:val="18"/>
          <w:color w:val="auto"/>
        </w:rPr>
        <w:t>In calculating the periods mentioned, no account shall be taken of any part of a day that is not a working day (within the meaning of the 2006 Act).</w:t>
      </w:r>
    </w:p>
    <w:p>
      <w:pPr>
        <w:spacing w:after="0" w:line="67" w:lineRule="exact"/>
        <w:rPr>
          <w:sz w:val="20"/>
          <w:szCs w:val="20"/>
          <w:color w:val="auto"/>
        </w:rPr>
      </w:pPr>
    </w:p>
    <w:p>
      <w:pPr>
        <w:ind w:left="1860" w:right="160" w:hanging="543"/>
        <w:spacing w:after="0" w:line="266" w:lineRule="auto"/>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but shall not be bound to, require reasonable evidence of the identity of the member and of the proxy, the member’s instructions (if any) as to how the proxy is to vote and, where the proxy is appointed by a person acting on behalf of the member, authority of that person to make the appointment.</w:t>
      </w:r>
    </w:p>
    <w:p>
      <w:pPr>
        <w:spacing w:after="0" w:line="81" w:lineRule="exact"/>
        <w:rPr>
          <w:rFonts w:ascii="Times New Roman" w:cs="Times New Roman" w:eastAsia="Times New Roman" w:hAnsi="Times New Roman"/>
          <w:sz w:val="18"/>
          <w:szCs w:val="18"/>
          <w:color w:val="auto"/>
        </w:rPr>
      </w:pPr>
    </w:p>
    <w:p>
      <w:pPr>
        <w:ind w:left="1860" w:right="120" w:hanging="543"/>
        <w:spacing w:after="0" w:line="266" w:lineRule="auto"/>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either generally or in any particular case, to treat a proxy appointment as valid notwithstanding that the appointment or any of the information required under paragraph (b) above has not been received in accordance with the requirements of this article.</w:t>
      </w:r>
    </w:p>
    <w:p>
      <w:pPr>
        <w:spacing w:after="0" w:line="81" w:lineRule="exact"/>
        <w:rPr>
          <w:rFonts w:ascii="Times New Roman" w:cs="Times New Roman" w:eastAsia="Times New Roman" w:hAnsi="Times New Roman"/>
          <w:sz w:val="18"/>
          <w:szCs w:val="18"/>
          <w:color w:val="auto"/>
        </w:rPr>
      </w:pPr>
    </w:p>
    <w:p>
      <w:pPr>
        <w:ind w:left="1860" w:right="140" w:hanging="543"/>
        <w:spacing w:after="0" w:line="266" w:lineRule="auto"/>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above, if the proxy appointment and any of the information required under paragraph (b) above, is not received in the manner set out in paragraph (a) above, the appointee shall not be entitled to vote in respect of the shares in question.</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valid but differing proxy appointments are received in respect of the same share for use at the same meeting or on the same poll, the one which is last received (regardless of its date or of the date of its execution) shall be treated as replacing and revoking the others as regards that share and if the Company is unable to determine which was last received, none of them shall be treated as valid in respect of that share.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revocation of authority etc.</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8" w:lineRule="auto"/>
        <w:tabs>
          <w:tab w:leader="none" w:pos="186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or poll demanded by proxy or by a representative of a corporation shall be valid notwithstanding the previous termination of the authority of the person voting or demanding a poll or (until entered in the register) the transfer of the share in respect of which the appointment of the relevant person was made unless notice of the termination was received at a proxy notification address not less than six hours before the time fixed for holding the relevant meeting or adjourned meeting or, in the case of a poll not taken on the same day as the meeting or adjourned meeting, before the time fixed for taking the poll.</w:t>
      </w:r>
    </w:p>
    <w:p>
      <w:pPr>
        <w:spacing w:after="0" w:line="88"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by a proxy or by a representative of a corporation shall be valid notwithstanding that the vote was not cast in accordance with any instructions given by the member by whom the proxy or representative of a corporation is appointed. The Company shall not be obliged to check whether the proxy or representative of a corporation has in fact voted in accordance with any such member’s instructions.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52" w:lineRule="exact"/>
        <w:rPr>
          <w:sz w:val="20"/>
          <w:szCs w:val="20"/>
          <w:color w:val="auto"/>
        </w:rPr>
      </w:pPr>
    </w:p>
    <w:p>
      <w:pPr>
        <w:ind w:left="660" w:hanging="544"/>
        <w:spacing w:after="0"/>
        <w:tabs>
          <w:tab w:leader="none" w:pos="660" w:val="left"/>
        </w:tabs>
        <w:numPr>
          <w:ilvl w:val="0"/>
          <w:numId w:val="5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 of directors</w:t>
      </w:r>
    </w:p>
    <w:p>
      <w:pPr>
        <w:spacing w:after="0" w:line="134" w:lineRule="exact"/>
        <w:rPr>
          <w:rFonts w:ascii="Times New Roman" w:cs="Times New Roman" w:eastAsia="Times New Roman" w:hAnsi="Times New Roman"/>
          <w:sz w:val="18"/>
          <w:szCs w:val="18"/>
          <w:b w:val="1"/>
          <w:bCs w:val="1"/>
          <w:color w:val="auto"/>
        </w:rPr>
      </w:pPr>
    </w:p>
    <w:p>
      <w:pPr>
        <w:ind w:left="1860" w:right="180" w:hanging="543"/>
        <w:spacing w:after="0" w:line="282" w:lineRule="auto"/>
        <w:tabs>
          <w:tab w:leader="none" w:pos="186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not, unless otherwise determined by an ordinary resolution of the Company, be less than three but shall not be subject to a maximum number.</w:t>
      </w:r>
    </w:p>
    <w:p>
      <w:pPr>
        <w:spacing w:after="0" w:line="67" w:lineRule="exact"/>
        <w:rPr>
          <w:rFonts w:ascii="Times New Roman" w:cs="Times New Roman" w:eastAsia="Times New Roman" w:hAnsi="Times New Roman"/>
          <w:sz w:val="18"/>
          <w:szCs w:val="18"/>
          <w:color w:val="auto"/>
        </w:rPr>
      </w:pPr>
    </w:p>
    <w:p>
      <w:pPr>
        <w:ind w:left="1860" w:hanging="543"/>
        <w:spacing w:after="0" w:line="281" w:lineRule="auto"/>
        <w:tabs>
          <w:tab w:leader="none" w:pos="1860" w:val="left"/>
        </w:tabs>
        <w:numPr>
          <w:ilvl w:val="1"/>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be classified, with respect to the term for which they severally hold office, into three classes, designated as Class I, Class II and Class III, respectively. Subject to article 59(c), each class shall consist, as nearly as may be possible, of one-third of the total number of directors. The directors shall be assigned to each class in accordance with a resolution or resolutions adopted by the Board, with the number of directors in each class to be divided as nearly equal as reasonably possible.</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B-24</w:t>
      </w:r>
    </w:p>
    <w:p>
      <w:pPr>
        <w:sectPr>
          <w:pgSz w:w="11900" w:h="16838" w:orient="portrait"/>
          <w:cols w:equalWidth="0" w:num="1">
            <w:col w:w="11120"/>
          </w:cols>
          <w:pgMar w:left="320" w:top="454"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400" w:hanging="543"/>
        <w:spacing w:after="0" w:line="282" w:lineRule="auto"/>
        <w:tabs>
          <w:tab w:leader="none" w:pos="18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where there are ten (10) directors, three (3) directors shall be designated as Class I directors, three (3) directors designated as Class II directors, and four (4) directors designated as Class III directors.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need not be members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need not be a member of the Company.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RETIREMENT AND REMOVAL OF DIRECTORS</w:t>
      </w:r>
    </w:p>
    <w:p>
      <w:pPr>
        <w:spacing w:after="0" w:line="252" w:lineRule="exact"/>
        <w:rPr>
          <w:sz w:val="20"/>
          <w:szCs w:val="20"/>
          <w:color w:val="auto"/>
        </w:rPr>
      </w:pPr>
    </w:p>
    <w:p>
      <w:pPr>
        <w:ind w:left="660" w:hanging="544"/>
        <w:spacing w:after="0"/>
        <w:tabs>
          <w:tab w:leader="none" w:pos="660"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 by the Company</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6" w:lineRule="auto"/>
        <w:tabs>
          <w:tab w:leader="none" w:pos="18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by ordinary resolution (including pursuant to article 49 where applicable) elect any person who is willing to act to be a director, either to fill a vacancy or as an additional director, but so that the total number of directors shall not exceed any maximum number fixed by or in accordance with these articles.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director retiring in accordance with these articles) shall be elected or re-elected a director unless: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recommended by the Board; or</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58" w:lineRule="auto"/>
        <w:tabs>
          <w:tab w:leader="none" w:pos="2520" w:val="left"/>
        </w:tabs>
        <w:numPr>
          <w:ilvl w:val="2"/>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42 days before the day appointed for the meeting there has been given to the Company, by a member (other than the person to be proposed) entitled to attend and vote at the meeting, notice of the member’s intention to propose a resolution for the appointment of that person, stating the particulars which would, if the person were so appointed, be required to be included in the Company’s register of directors and a notice executed by that person of the person’s willingness to be elected.</w:t>
      </w:r>
    </w:p>
    <w:p>
      <w:pPr>
        <w:spacing w:after="0" w:line="88" w:lineRule="exact"/>
        <w:rPr>
          <w:rFonts w:ascii="Times New Roman" w:cs="Times New Roman" w:eastAsia="Times New Roman" w:hAnsi="Times New Roman"/>
          <w:sz w:val="18"/>
          <w:szCs w:val="18"/>
          <w:color w:val="auto"/>
        </w:rPr>
      </w:pPr>
    </w:p>
    <w:p>
      <w:pPr>
        <w:ind w:left="1860" w:right="120" w:hanging="543"/>
        <w:spacing w:after="0" w:line="277" w:lineRule="auto"/>
        <w:tabs>
          <w:tab w:leader="none" w:pos="1860" w:val="left"/>
        </w:tabs>
        <w:numPr>
          <w:ilvl w:val="1"/>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any general meeting at which resolutions contained any member’s notice referred to in article 61(b) are proposed may waive the notice requirements set out in article 61(b)and submit to the general meeting the name(s) of any person(s) duly qualified and willing to be elected as a director of the Company for election or re-election (as the case may be). Where article 61(b)(ii) applies and a director is proposed to be elected or re-elected by ordinary resolution of the Company, the holder(s) of a simple majority of the Ordinary Shares may waive the notice requirements set out in article 61(b)(ii) in writing.</w:t>
      </w:r>
    </w:p>
    <w:p>
      <w:pPr>
        <w:spacing w:after="0" w:line="312" w:lineRule="exact"/>
        <w:rPr>
          <w:rFonts w:ascii="Times New Roman" w:cs="Times New Roman" w:eastAsia="Times New Roman" w:hAnsi="Times New Roman"/>
          <w:sz w:val="17"/>
          <w:szCs w:val="17"/>
          <w:color w:val="auto"/>
        </w:rPr>
      </w:pPr>
    </w:p>
    <w:p>
      <w:pPr>
        <w:ind w:left="660" w:hanging="544"/>
        <w:spacing w:after="0"/>
        <w:tabs>
          <w:tab w:leader="none" w:pos="660"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Separate resolutions for election of each director</w:t>
      </w:r>
    </w:p>
    <w:p>
      <w:pPr>
        <w:spacing w:after="0" w:line="121" w:lineRule="exact"/>
        <w:rPr>
          <w:rFonts w:ascii="Times New Roman" w:cs="Times New Roman" w:eastAsia="Times New Roman" w:hAnsi="Times New Roman"/>
          <w:sz w:val="18"/>
          <w:szCs w:val="18"/>
          <w:b w:val="1"/>
          <w:bCs w:val="1"/>
          <w:color w:val="auto"/>
        </w:rPr>
      </w:pPr>
    </w:p>
    <w:p>
      <w:pPr>
        <w:jc w:val="both"/>
        <w:ind w:left="6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ordinary resolution for the election of a director shall relate to one named person and a single resolution for the election of two or more persons shall be void, unless at a general meeting a resolution that it shall be so proposed has been first agreed to by the meeting without any vote being cast against it.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Board’s power to appoint directors</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appoint any person who is willing to act to be a director, either to fill a vacancy or by way of addition to their number, but so that the total number of directors shall not exceed any maximum number fixed by or in accordance with these articles.</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of directors</w:t>
      </w:r>
    </w:p>
    <w:p>
      <w:pPr>
        <w:spacing w:after="0" w:line="130"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Class I, II and III directors appointed as at the date of the adoption of these articles (“</w:t>
      </w:r>
      <w:r>
        <w:rPr>
          <w:rFonts w:ascii="Times New Roman" w:cs="Times New Roman" w:eastAsia="Times New Roman" w:hAnsi="Times New Roman"/>
          <w:sz w:val="18"/>
          <w:szCs w:val="18"/>
          <w:b w:val="1"/>
          <w:bCs w:val="1"/>
          <w:color w:val="auto"/>
        </w:rPr>
        <w:t>Adoption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shall serve for a term expiring at the first annual meeting of shareholders following the Adoption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B-25</w:t>
      </w:r>
    </w:p>
    <w:p>
      <w:pPr>
        <w:sectPr>
          <w:pgSz w:w="11900" w:h="16838" w:orient="portrait"/>
          <w:cols w:equalWidth="0" w:num="1">
            <w:col w:w="11120"/>
          </w:cols>
          <w:pgMar w:left="320" w:top="454"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20" w:right="600" w:hanging="649"/>
        <w:spacing w:after="0" w:line="282" w:lineRule="auto"/>
        <w:tabs>
          <w:tab w:leader="none" w:pos="252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shall serve for a term expiring at the second annual meeting of shareholders following the Adoption Date; and</w:t>
      </w:r>
    </w:p>
    <w:p>
      <w:pPr>
        <w:spacing w:after="0" w:line="67" w:lineRule="exact"/>
        <w:rPr>
          <w:rFonts w:ascii="Times New Roman" w:cs="Times New Roman" w:eastAsia="Times New Roman" w:hAnsi="Times New Roman"/>
          <w:sz w:val="18"/>
          <w:szCs w:val="18"/>
          <w:color w:val="auto"/>
        </w:rPr>
      </w:pPr>
    </w:p>
    <w:p>
      <w:pPr>
        <w:ind w:left="2520" w:right="700" w:hanging="649"/>
        <w:spacing w:after="0" w:line="282" w:lineRule="auto"/>
        <w:tabs>
          <w:tab w:leader="none" w:pos="252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shall serve for a term expiring at the third annual meeting of shareholders following the Adoption Date.</w:t>
      </w:r>
    </w:p>
    <w:p>
      <w:pPr>
        <w:spacing w:after="0" w:line="54" w:lineRule="exact"/>
        <w:rPr>
          <w:sz w:val="20"/>
          <w:szCs w:val="20"/>
          <w:color w:val="auto"/>
        </w:rPr>
      </w:pPr>
    </w:p>
    <w:p>
      <w:pPr>
        <w:ind w:left="1880" w:right="360"/>
        <w:spacing w:after="0" w:line="282" w:lineRule="auto"/>
        <w:rPr>
          <w:sz w:val="20"/>
          <w:szCs w:val="20"/>
          <w:color w:val="auto"/>
        </w:rPr>
      </w:pPr>
      <w:r>
        <w:rPr>
          <w:rFonts w:ascii="Times New Roman" w:cs="Times New Roman" w:eastAsia="Times New Roman" w:hAnsi="Times New Roman"/>
          <w:sz w:val="18"/>
          <w:szCs w:val="18"/>
          <w:color w:val="auto"/>
        </w:rPr>
        <w:t>Each retiring director shall be eligible for re-election, and a director who is re-elected will be treated as continuing in office without a break.</w:t>
      </w:r>
    </w:p>
    <w:p>
      <w:pPr>
        <w:spacing w:after="0" w:line="67" w:lineRule="exact"/>
        <w:rPr>
          <w:sz w:val="20"/>
          <w:szCs w:val="20"/>
          <w:color w:val="auto"/>
        </w:rPr>
      </w:pPr>
    </w:p>
    <w:p>
      <w:pPr>
        <w:jc w:val="both"/>
        <w:ind w:left="1860" w:right="240" w:hanging="543"/>
        <w:spacing w:after="0" w:line="312" w:lineRule="auto"/>
        <w:tabs>
          <w:tab w:leader="none" w:pos="1860" w:val="left"/>
        </w:tabs>
        <w:numPr>
          <w:ilvl w:val="1"/>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shareholders, directors re-elected or elected to succeed those directors whose terms expire shall be elected for a term of office to expire at the third succeeding annual meeting of shareholders after their re-election or election.</w:t>
      </w:r>
    </w:p>
    <w:p>
      <w:pPr>
        <w:spacing w:after="0" w:line="45" w:lineRule="exact"/>
        <w:rPr>
          <w:rFonts w:ascii="Times New Roman" w:cs="Times New Roman" w:eastAsia="Times New Roman" w:hAnsi="Times New Roman"/>
          <w:sz w:val="17"/>
          <w:szCs w:val="17"/>
          <w:color w:val="auto"/>
        </w:rPr>
      </w:pPr>
    </w:p>
    <w:p>
      <w:pPr>
        <w:ind w:left="1860" w:hanging="543"/>
        <w:spacing w:after="0"/>
        <w:tabs>
          <w:tab w:leader="none" w:pos="18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retiring director who is not re-elected shall retain office until the close of the meeting at which that director retires.</w:t>
      </w:r>
    </w:p>
    <w:p>
      <w:pPr>
        <w:spacing w:after="0" w:line="130" w:lineRule="exact"/>
        <w:rPr>
          <w:rFonts w:ascii="Times New Roman" w:cs="Times New Roman" w:eastAsia="Times New Roman" w:hAnsi="Times New Roman"/>
          <w:sz w:val="18"/>
          <w:szCs w:val="18"/>
          <w:color w:val="auto"/>
        </w:rPr>
      </w:pPr>
    </w:p>
    <w:p>
      <w:pPr>
        <w:ind w:left="1860" w:right="460" w:hanging="543"/>
        <w:spacing w:after="0" w:line="282" w:lineRule="auto"/>
        <w:tabs>
          <w:tab w:leader="none" w:pos="1860"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provisions of this article 64 does not affect the Board’s right to remove any Initial Sponsor Director or the Independent Director pursuant to article 65.</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1" w:lineRule="auto"/>
        <w:tabs>
          <w:tab w:leader="none" w:pos="186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period ended 12 months after the date of their appointment, or from the time the Sponsor Group ceases to Beneficially Own any Ordinary Shares, whichever occurs the earliest, the Board may remove each and any of the Initial Sponsor Directors and the Independent Director notwithstanding any prior re-election of such an Initial Sponsor Director or such Independent Director under the terms of these articles.</w:t>
      </w:r>
    </w:p>
    <w:p>
      <w:pPr>
        <w:spacing w:after="0" w:line="85" w:lineRule="exact"/>
        <w:rPr>
          <w:rFonts w:ascii="Times New Roman" w:cs="Times New Roman" w:eastAsia="Times New Roman" w:hAnsi="Times New Roman"/>
          <w:sz w:val="18"/>
          <w:szCs w:val="18"/>
          <w:color w:val="auto"/>
        </w:rPr>
      </w:pPr>
    </w:p>
    <w:p>
      <w:pPr>
        <w:ind w:left="1860" w:right="1160" w:hanging="543"/>
        <w:spacing w:after="0" w:line="282" w:lineRule="auto"/>
        <w:tabs>
          <w:tab w:leader="none" w:pos="186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remove any director before that director’s period of office has expired notwithstanding anything in these articles or in any agreement between that director and the Company.</w:t>
      </w:r>
    </w:p>
    <w:p>
      <w:pPr>
        <w:spacing w:after="0" w:line="67"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removal of a director under this article shall be without prejudice to any claim which such director may have for damages for breach of any agreement between that director and the Company.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the provisions of these articles for retirement or removal, 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2520" w:hanging="649"/>
        <w:spacing w:after="0"/>
        <w:tabs>
          <w:tab w:leader="none" w:pos="2520"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prohibited by law from being a director;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bankrupt or makes any arrangement or composition with the director’s creditors generally; or</w:t>
      </w:r>
    </w:p>
    <w:p>
      <w:pPr>
        <w:spacing w:after="0" w:line="130" w:lineRule="exact"/>
        <w:rPr>
          <w:rFonts w:ascii="Times New Roman" w:cs="Times New Roman" w:eastAsia="Times New Roman" w:hAnsi="Times New Roman"/>
          <w:sz w:val="18"/>
          <w:szCs w:val="18"/>
          <w:color w:val="auto"/>
        </w:rPr>
      </w:pPr>
    </w:p>
    <w:p>
      <w:pPr>
        <w:ind w:left="2520" w:right="20" w:hanging="649"/>
        <w:spacing w:after="0" w:line="266" w:lineRule="auto"/>
        <w:tabs>
          <w:tab w:leader="none" w:pos="2520"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medical practitioner who has examined the director gives a written opinion to the Company stating that the director has become physically or mentally incapable of acting as a director and may remain so for more than three months and the Board resolves that the director’s office be vacated; or</w:t>
      </w:r>
    </w:p>
    <w:p>
      <w:pPr>
        <w:spacing w:after="0" w:line="81" w:lineRule="exact"/>
        <w:rPr>
          <w:rFonts w:ascii="Times New Roman" w:cs="Times New Roman" w:eastAsia="Times New Roman" w:hAnsi="Times New Roman"/>
          <w:sz w:val="18"/>
          <w:szCs w:val="18"/>
          <w:color w:val="auto"/>
        </w:rPr>
      </w:pPr>
    </w:p>
    <w:p>
      <w:pPr>
        <w:ind w:left="2520" w:right="640" w:hanging="649"/>
        <w:spacing w:after="0" w:line="282" w:lineRule="auto"/>
        <w:tabs>
          <w:tab w:leader="none" w:pos="2520"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more than six months the director is absent, without special leave of absence from the Board, from board meetings held during that period and the Board resolves that the director’s office be vacated; or</w:t>
      </w:r>
    </w:p>
    <w:p>
      <w:pPr>
        <w:spacing w:after="0" w:line="67" w:lineRule="exact"/>
        <w:rPr>
          <w:rFonts w:ascii="Times New Roman" w:cs="Times New Roman" w:eastAsia="Times New Roman" w:hAnsi="Times New Roman"/>
          <w:sz w:val="18"/>
          <w:szCs w:val="18"/>
          <w:color w:val="auto"/>
        </w:rPr>
      </w:pPr>
    </w:p>
    <w:p>
      <w:pPr>
        <w:ind w:left="2520" w:right="200" w:hanging="649"/>
        <w:spacing w:after="0" w:line="282" w:lineRule="auto"/>
        <w:tabs>
          <w:tab w:leader="none" w:pos="2520"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to the Company notice of the director’s wish to resign, in which event the director shall vacate that office on the receipt of that notice by the Company or at such later time as is specified in the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B-26</w:t>
      </w:r>
    </w:p>
    <w:p>
      <w:pPr>
        <w:sectPr>
          <w:pgSz w:w="11900" w:h="16838" w:orient="portrait"/>
          <w:cols w:equalWidth="0" w:num="1">
            <w:col w:w="11120"/>
          </w:cols>
          <w:pgMar w:left="320" w:top="454"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Disqualification of a director</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director shall be vacated in any of the following circumstances:</w:t>
      </w:r>
    </w:p>
    <w:p>
      <w:pPr>
        <w:spacing w:after="0" w:line="130" w:lineRule="exact"/>
        <w:rPr>
          <w:rFonts w:ascii="Times New Roman" w:cs="Times New Roman" w:eastAsia="Times New Roman" w:hAnsi="Times New Roman"/>
          <w:sz w:val="18"/>
          <w:szCs w:val="18"/>
          <w:b w:val="1"/>
          <w:bCs w:val="1"/>
          <w:color w:val="auto"/>
        </w:rPr>
      </w:pPr>
    </w:p>
    <w:p>
      <w:pPr>
        <w:ind w:left="1860" w:right="380" w:hanging="543"/>
        <w:spacing w:after="0" w:line="282"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or prohibited from being a director under any provisions of the Statutes or these articles or (if applicable) the NASDAQ Rules;</w:t>
      </w:r>
    </w:p>
    <w:p>
      <w:pPr>
        <w:spacing w:after="0" w:line="67" w:lineRule="exact"/>
        <w:rPr>
          <w:rFonts w:ascii="Times New Roman" w:cs="Times New Roman" w:eastAsia="Times New Roman" w:hAnsi="Times New Roman"/>
          <w:sz w:val="18"/>
          <w:szCs w:val="18"/>
          <w:color w:val="auto"/>
        </w:rPr>
      </w:pPr>
    </w:p>
    <w:p>
      <w:pPr>
        <w:ind w:left="1860" w:right="100" w:hanging="543"/>
        <w:spacing w:after="0" w:line="282"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gives to the Company notice executed by him of his wish to resign, in which event he shall vacate that office on the delivery of that notice to the Company or at such later time as is specified in the notice;</w:t>
      </w:r>
    </w:p>
    <w:p>
      <w:pPr>
        <w:spacing w:after="0" w:line="67" w:lineRule="exact"/>
        <w:rPr>
          <w:rFonts w:ascii="Times New Roman" w:cs="Times New Roman" w:eastAsia="Times New Roman" w:hAnsi="Times New Roman"/>
          <w:sz w:val="18"/>
          <w:szCs w:val="18"/>
          <w:color w:val="auto"/>
        </w:rPr>
      </w:pPr>
    </w:p>
    <w:p>
      <w:pPr>
        <w:ind w:left="1860" w:right="140" w:hanging="543"/>
        <w:spacing w:after="0" w:line="266"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becomes bankrupt, insolvent or makes any arrangement or composition with his creditors generally or shall apply to the court for an interim order under section 253 of the Insolvency Act 1986 in connection with a voluntary arrangement under that Act; or</w:t>
      </w:r>
    </w:p>
    <w:p>
      <w:pPr>
        <w:spacing w:after="0" w:line="81" w:lineRule="exact"/>
        <w:rPr>
          <w:rFonts w:ascii="Times New Roman" w:cs="Times New Roman" w:eastAsia="Times New Roman" w:hAnsi="Times New Roman"/>
          <w:sz w:val="18"/>
          <w:szCs w:val="18"/>
          <w:color w:val="auto"/>
        </w:rPr>
      </w:pPr>
    </w:p>
    <w:p>
      <w:pPr>
        <w:jc w:val="both"/>
        <w:ind w:left="1860" w:right="40" w:hanging="543"/>
        <w:spacing w:after="0" w:line="261"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 is, or may be, suffering from mental disorder and/or either he is admitted to hospital for treatment, or an order is made by a court (whether in the United Kingdom or elsewhere) having jurisdiction in matters concerning mental disorder for his detention or for the appointment of a receiver, curator bonis or other person to exercise powers with respect to his property or affairs and, in either case, the Board resolves that his office be vacated; or</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appointed for a fixed term, the term expires or his office as a director is vacated under article 66; or</w:t>
      </w:r>
    </w:p>
    <w:p>
      <w:pPr>
        <w:spacing w:after="0" w:line="130" w:lineRule="exact"/>
        <w:rPr>
          <w:rFonts w:ascii="Times New Roman" w:cs="Times New Roman" w:eastAsia="Times New Roman" w:hAnsi="Times New Roman"/>
          <w:sz w:val="18"/>
          <w:szCs w:val="18"/>
          <w:color w:val="auto"/>
        </w:rPr>
      </w:pPr>
    </w:p>
    <w:p>
      <w:pPr>
        <w:ind w:left="1860" w:right="380" w:hanging="543"/>
        <w:spacing w:after="0" w:line="282"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absent from meetings of the Board for six consecutive months without leave and his alternate director (if any) has not, during such period, attended in his place and the Board resolves that his office be vacated; or</w:t>
      </w:r>
    </w:p>
    <w:p>
      <w:pPr>
        <w:spacing w:after="0" w:line="67" w:lineRule="exact"/>
        <w:rPr>
          <w:rFonts w:ascii="Times New Roman" w:cs="Times New Roman" w:eastAsia="Times New Roman" w:hAnsi="Times New Roman"/>
          <w:sz w:val="18"/>
          <w:szCs w:val="18"/>
          <w:color w:val="auto"/>
        </w:rPr>
      </w:pPr>
    </w:p>
    <w:p>
      <w:pPr>
        <w:ind w:left="1860" w:right="60" w:hanging="543"/>
        <w:spacing w:after="0" w:line="261"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removed from office by notice given to him and executed by all of his co-directors (or their alternates), but so that in the case of a director holding an executive office which automatically determines on his ceasing to be a director such removal shall be deemed an act of the Company and shall have effect without prejudice to any claim for damages in respect of the consequent termination of his executive office.</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directors</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1"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one or more directors to hold any executive office under the Company (including that of chair, chief executive or managing director) for such period (subject to the Statutes) and on such terms as it may decide and may revoke or terminate any appointment so made without prejudice to any claim for damages for breach of any contract of service between the director and the Company.</w:t>
      </w:r>
    </w:p>
    <w:p>
      <w:pPr>
        <w:spacing w:after="0" w:line="85" w:lineRule="exact"/>
        <w:rPr>
          <w:rFonts w:ascii="Times New Roman" w:cs="Times New Roman" w:eastAsia="Times New Roman" w:hAnsi="Times New Roman"/>
          <w:sz w:val="18"/>
          <w:szCs w:val="18"/>
          <w:color w:val="auto"/>
        </w:rPr>
      </w:pPr>
    </w:p>
    <w:p>
      <w:pPr>
        <w:jc w:val="both"/>
        <w:ind w:left="1860" w:right="480" w:hanging="543"/>
        <w:spacing w:after="0" w:line="266"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a director appointed to any executive office shall be fixed by the Board and may be by way of salary, commission, participation in profits or otherwise and either in addition to or inclusive of that director’s remuneration as a director.</w:t>
      </w:r>
    </w:p>
    <w:p>
      <w:pPr>
        <w:spacing w:after="0" w:line="81" w:lineRule="exact"/>
        <w:rPr>
          <w:rFonts w:ascii="Times New Roman" w:cs="Times New Roman" w:eastAsia="Times New Roman" w:hAnsi="Times New Roman"/>
          <w:sz w:val="18"/>
          <w:szCs w:val="18"/>
          <w:color w:val="auto"/>
        </w:rPr>
      </w:pPr>
    </w:p>
    <w:p>
      <w:pPr>
        <w:ind w:left="1860" w:hanging="543"/>
        <w:spacing w:after="0" w:line="256" w:lineRule="auto"/>
        <w:tabs>
          <w:tab w:leader="none" w:pos="186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appointed as executive chair, chief executive or managing director shall automatically cease to hold that office if that person ceases to be a director but without prejudice to any claim for damages for breach of any contract of service between that director and the Company. A director appointed to any other executive office shall not automatically cease to hold that office if that person ceases to be a director unless the contract or any resolution under which the director holds office expressly states that the director shall, in which case that cessation shall be without prejudice to any claim for damages for breach of any contract of service between that director and the Company.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B-27</w:t>
      </w:r>
    </w:p>
    <w:p>
      <w:pPr>
        <w:sectPr>
          <w:pgSz w:w="11900" w:h="16838" w:orient="portrait"/>
          <w:cols w:equalWidth="0" w:num="1">
            <w:col w:w="11120"/>
          </w:cols>
          <w:pgMar w:left="320" w:top="454"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ALTERNATE DIRECTORS</w:t>
      </w:r>
    </w:p>
    <w:p>
      <w:pPr>
        <w:spacing w:after="0" w:line="252" w:lineRule="exact"/>
        <w:rPr>
          <w:sz w:val="20"/>
          <w:szCs w:val="20"/>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appoint alternate directors</w:t>
      </w:r>
    </w:p>
    <w:p>
      <w:pPr>
        <w:spacing w:after="0" w:line="134" w:lineRule="exact"/>
        <w:rPr>
          <w:rFonts w:ascii="Times New Roman" w:cs="Times New Roman" w:eastAsia="Times New Roman" w:hAnsi="Times New Roman"/>
          <w:sz w:val="18"/>
          <w:szCs w:val="18"/>
          <w:b w:val="1"/>
          <w:bCs w:val="1"/>
          <w:color w:val="auto"/>
        </w:rPr>
      </w:pPr>
    </w:p>
    <w:p>
      <w:pPr>
        <w:ind w:left="1860" w:right="60" w:hanging="543"/>
        <w:spacing w:after="0" w:line="261" w:lineRule="auto"/>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(other than an alternate director) may appoint any person (including another director) to be his alternate director, and may remove him from that office. The appointment as an alternate director of any person who is not himself a director shall be subject to the approval of the majority of the other directors or a resolution of the Board. Any of the directors may appoint the same alternate director.</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Formalities for appointment and termination</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8" w:lineRule="auto"/>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appointment and removal of an alternate director shall be made by notice to the Company executed by the director making the appointment or removal (or in any other manner approved by the Board) and shall, be effective (subject to article 71) on receipt of such notice by the Company which shall, in the case of a notice contained in an instrument, be at the office or at a board meeting or in the case of a notice contained in an electronic communication be at such address (if any) for the time being notified by or on behalf of the Company for the purpose.</w:t>
      </w:r>
    </w:p>
    <w:p>
      <w:pPr>
        <w:spacing w:after="0" w:line="88"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an alternate director shall determine on the happening of any event which, if he were a director, would cause him to vacate such office or if his appointor ceases to be a director (otherwise than by retirement by rotation or otherwise at a general meeting at which he is re-appointed or deemed to be re-appointed) or if the approval of the directors to his appointment is withdrawn.</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director may, by giving notice to the Company, executed by him, resign such appointment.</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to receive notices</w:t>
      </w:r>
    </w:p>
    <w:p>
      <w:pPr>
        <w:spacing w:after="0" w:line="121"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receive notices of board meetings and of all meetings of committees of which the director appointing him is a member to the same extent as the director appointing him and shall be entitled to attend and vote as a director and be counted for the purposes of a quorum at any such meeting at which the director appointing him is not personally present, and generally at such meeting, to exercise and discharge all the functions, powers and duties of his appointor as a director. For the purposes of the proceedings at such meeting, these articles shall apply as if he (instead of his appointor) were a director. If he shall himself be a director, or shall attend any such meeting as an alternate for more than one director, his voting rights shall be cumulative but he shall count as only one for the purpose of determining whether a quorum is present. If his appointor is for the time being absent from the United Kingdom, or temporarily unable to act through ill-health or disability, his signature to any resolution in writing of the directors shall be as effective as the signature of his appointor. An alternate director shall not (save as aforesaid) have power to act as a director nor shall he be deemed to be a director for the purposes of these articles.</w:t>
      </w:r>
    </w:p>
    <w:p>
      <w:pPr>
        <w:spacing w:after="0" w:line="332"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may be paid expenses but not remuneration</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alternate director shall be entitled to be repaid expenses, and to be indemnified, by the Company to the same extent as if he were a director, but he shall not be entitled to receive from the Company any remuneration in respect of his services as an alternate director, except such proportion (if any) of the remuneration otherwise payable to his appointor as such appointor may by notice to the Company from time to time direct.</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Alternate not an agent of appointor</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expressly provided in these articles, an alternate director shall be subject in all respects to these articles relating to directors. Accordingly, except where the context otherwise requires, a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B-28</w:t>
      </w:r>
    </w:p>
    <w:p>
      <w:pPr>
        <w:sectPr>
          <w:pgSz w:w="11900" w:h="16838" w:orient="portrait"/>
          <w:cols w:equalWidth="0" w:num="1">
            <w:col w:w="11120"/>
          </w:cols>
          <w:pgMar w:left="320" w:top="454"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to a director shall be deemed to include a reference to an alternate director. An alternate director shall be responsible to the Company for his own acts and defaults and he shall not be deemed to be the agent of the director appointing him.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REMUNERATION, EXPENSES, PENSIONS AND OTHER BENEFITS</w:t>
      </w:r>
    </w:p>
    <w:p>
      <w:pPr>
        <w:spacing w:after="0" w:line="252" w:lineRule="exact"/>
        <w:rPr>
          <w:sz w:val="20"/>
          <w:szCs w:val="20"/>
          <w:color w:val="auto"/>
        </w:rPr>
      </w:pPr>
    </w:p>
    <w:p>
      <w:pPr>
        <w:ind w:left="660" w:hanging="544"/>
        <w:spacing w:after="0"/>
        <w:tabs>
          <w:tab w:leader="none" w:pos="660"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remuneration</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2"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special remuneration to any director who performs any special or extra services to or at the request of the Company.</w:t>
      </w:r>
    </w:p>
    <w:p>
      <w:pPr>
        <w:spacing w:after="0" w:line="67"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special remuneration may be paid by way of lump sum, salary, commission, participation in profits or otherwise as the Board may decide in addition to any remuneration payable under or pursuant to any other of these articles.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2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shall be paid out of the funds of the Company all travelling, hotel and other expenses properly incurred by the director in and about the discharge of the director’s duties, including the director’s expenses of travelling to and from board meetings, committee meetings and general meetings. Subject to any guidelines and procedures established from time to time by the Board, a director may also be paid out of the funds of the Company all expenses incurred by the director in obtaining professional advice in connection with the affairs of the Company or the discharge of the director’s duties as a director.</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Pensions and other benefits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all the powers of the Company to:</w:t>
      </w:r>
    </w:p>
    <w:p>
      <w:pPr>
        <w:spacing w:after="0" w:line="130" w:lineRule="exact"/>
        <w:rPr>
          <w:rFonts w:ascii="Times New Roman" w:cs="Times New Roman" w:eastAsia="Times New Roman" w:hAnsi="Times New Roman"/>
          <w:sz w:val="18"/>
          <w:szCs w:val="18"/>
          <w:b w:val="1"/>
          <w:bCs w:val="1"/>
          <w:color w:val="auto"/>
        </w:rPr>
      </w:pPr>
    </w:p>
    <w:p>
      <w:pPr>
        <w:ind w:left="1860" w:right="20" w:hanging="543"/>
        <w:spacing w:after="0" w:line="255"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provide, arrange or procure the grant of pensions or other retirement benefits, death, disability or sickness benefits, health, accident and other insurances or other such benefits, allowances, gratuities or insurances, including in relation to the termination of employment, to or for the benefit of any person who is or has been at any time a director of the Company or in the employment or service of the Company or of any body corporate which is or was associated with the Company or of the predecessors in business of the Company or any such associated body corporate, or the relatives or dependants of any such person. For that purpose, the Board may procure the establishment and maintenance of, or participation in, or contribution to, any pension fund, scheme or arrangement and the payment of any insurance premiums;</w:t>
      </w:r>
    </w:p>
    <w:p>
      <w:pPr>
        <w:spacing w:after="0" w:line="94" w:lineRule="exact"/>
        <w:rPr>
          <w:rFonts w:ascii="Times New Roman" w:cs="Times New Roman" w:eastAsia="Times New Roman" w:hAnsi="Times New Roman"/>
          <w:sz w:val="18"/>
          <w:szCs w:val="18"/>
          <w:color w:val="auto"/>
        </w:rPr>
      </w:pPr>
    </w:p>
    <w:p>
      <w:pPr>
        <w:ind w:left="1860" w:right="120" w:hanging="543"/>
        <w:spacing w:after="0" w:line="261"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adopt and enable participation in any profit sharing or incentive scheme including shares, share options or cash or any similar schemes for the benefit of any director or employee of the Company or of any associated body corporate, and to lend money to any such director or employee or to trustees on their behalf to enable any such schemes to be established, maintained or adopted; and</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and subscribe to any institution or association which may be for the benefit of the Company or of any associated body corporate or any directors or employees of the Company or associated body corporate or their relatives or dependants or connected with any town or place where the Company or an associated body corporate carries on business, and to support and subscribe to any charitable or public object whatsoever.</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POWERS OF THE BOARD</w:t>
      </w:r>
    </w:p>
    <w:p>
      <w:pPr>
        <w:spacing w:after="0" w:line="252" w:lineRule="exact"/>
        <w:rPr>
          <w:sz w:val="20"/>
          <w:szCs w:val="20"/>
          <w:color w:val="auto"/>
        </w:rPr>
      </w:pPr>
    </w:p>
    <w:p>
      <w:pPr>
        <w:ind w:left="660" w:hanging="544"/>
        <w:spacing w:after="0"/>
        <w:tabs>
          <w:tab w:leader="none" w:pos="660"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powers of the Board to manage the Company’s business</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82" w:lineRule="auto"/>
        <w:tabs>
          <w:tab w:leader="none" w:pos="1860"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shall be managed by the Board which may exercise all the powers of the Company, subject to the Statutes, these articles and any resolution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B-29</w:t>
      </w:r>
    </w:p>
    <w:p>
      <w:pPr>
        <w:sectPr>
          <w:pgSz w:w="11900" w:h="16838" w:orient="portrait"/>
          <w:cols w:equalWidth="0" w:num="1">
            <w:col w:w="11120"/>
          </w:cols>
          <w:pgMar w:left="320" w:top="454"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right="40"/>
        <w:spacing w:after="0" w:line="282" w:lineRule="auto"/>
        <w:rPr>
          <w:sz w:val="20"/>
          <w:szCs w:val="20"/>
          <w:color w:val="auto"/>
        </w:rPr>
      </w:pPr>
      <w:r>
        <w:rPr>
          <w:rFonts w:ascii="Times New Roman" w:cs="Times New Roman" w:eastAsia="Times New Roman" w:hAnsi="Times New Roman"/>
          <w:sz w:val="18"/>
          <w:szCs w:val="18"/>
          <w:color w:val="auto"/>
        </w:rPr>
        <w:t>Company. No resolution or alteration of these articles shall invalidate any prior act of the Board which would have been valid if the resolution had not been passed or the alteration had not been made.</w:t>
      </w:r>
    </w:p>
    <w:p>
      <w:pPr>
        <w:spacing w:after="0" w:line="67" w:lineRule="exact"/>
        <w:rPr>
          <w:sz w:val="20"/>
          <w:szCs w:val="20"/>
          <w:color w:val="auto"/>
        </w:rPr>
      </w:pPr>
    </w:p>
    <w:p>
      <w:pPr>
        <w:ind w:left="1860" w:hanging="543"/>
        <w:spacing w:after="0"/>
        <w:tabs>
          <w:tab w:leader="none" w:pos="186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given by this article shall not be limited by any special authority or power given to the Board by any other article.</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act notwithstanding vacancy</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the sole continuing director at any time may act notwithstanding any vacancy in their number; but, if the number of directors is less than the minimum number of directors fixed by or in accordance with these articles, the continuing directors or director may act for the purpose of filling up vacancies or calling a general meeting of the Company, but not for any other purpose. If no director is able or willing to act, then any two members may summon a general meeting for the purpose of appointing directors.</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for employees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exercise any of the powers conferred by the Statutes to make provision for the benefit of any persons employed or formerly employed by the Company or any of its subsidiaries (other than a director or former director or shadow director) in connection with the cessation or the transfer to any person of the whole or part of the undertaking of the Company or any of its subsidiaries.</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borrow money</w:t>
      </w:r>
    </w:p>
    <w:p>
      <w:pPr>
        <w:spacing w:after="0" w:line="121"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Board may exercise all the powers of the Company to borrow money and to mortgage or charge all or any part of its undertaking, property and assets (both present and future) and uncalled capital and to issue debentures and other securities, whether outright or as collateral security for any debt, liability or obligation of the Company or of any third party.</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change the name of the Company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Statutes, the Company may change its name by special resolution.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DELEGATION OF BOARD’S POWERS</w:t>
      </w:r>
    </w:p>
    <w:p>
      <w:pPr>
        <w:spacing w:after="0" w:line="252" w:lineRule="exact"/>
        <w:rPr>
          <w:sz w:val="20"/>
          <w:szCs w:val="20"/>
          <w:color w:val="auto"/>
        </w:rPr>
      </w:pPr>
    </w:p>
    <w:p>
      <w:pPr>
        <w:ind w:left="660" w:hanging="544"/>
        <w:spacing w:after="0"/>
        <w:tabs>
          <w:tab w:leader="none" w:pos="66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individual directors</w:t>
      </w:r>
    </w:p>
    <w:p>
      <w:pPr>
        <w:spacing w:after="0" w:line="121"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entrust to and confer upon any director any of its powers, authorities and discretions (with power to sub-delegate) on such terms and conditions as it thinks fit and may revoke or vary all or any of them, but no person dealing in good faith shall be affected by any revocation or variation.</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6" w:lineRule="auto"/>
        <w:tabs>
          <w:tab w:leader="none" w:pos="186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delegate any of its powers, authorities and discretions (with power to sub-delegate) to any committee consisting of such person or persons (whether directors or not) as it thinks fit, provided that the majority of the members of the committee are directors and that no meeting of the committee shall be quorate for the purpose of exercising any of its powers, authorities or discretions unless a majority of those present are directors. The Board may make any such delegation on such terms and conditions as it thinks fit and may revoke or vary any such delegation and discharge any committee wholly or in part, but no person dealing in good faith shall be affected by any revocation or variation. Any committee so formed shall,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B-30</w:t>
      </w:r>
    </w:p>
    <w:p>
      <w:pPr>
        <w:sectPr>
          <w:pgSz w:w="11900" w:h="16838" w:orient="portrait"/>
          <w:cols w:equalWidth="0" w:num="1">
            <w:col w:w="11120"/>
          </w:cols>
          <w:pgMar w:left="320" w:top="454"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in the exercise of the powers, authorities and discretions so delegated, conform to any regulations that may be imposed on it by the Board.</w:t>
      </w:r>
    </w:p>
    <w:p>
      <w:pPr>
        <w:spacing w:after="0" w:line="67" w:lineRule="exact"/>
        <w:rPr>
          <w:sz w:val="20"/>
          <w:szCs w:val="20"/>
          <w:color w:val="auto"/>
        </w:rPr>
      </w:pPr>
    </w:p>
    <w:p>
      <w:pPr>
        <w:ind w:left="1860" w:right="40" w:hanging="543"/>
        <w:spacing w:after="0" w:line="282" w:lineRule="auto"/>
        <w:tabs>
          <w:tab w:leader="none" w:pos="1860"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of a committee with two or more members shall be governed by any regulations imposed on it by the Board and (subject to such regulations) by these articles regulating the proceedings of the Board so far as they are capable of applying.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Local boards</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312" w:lineRule="auto"/>
        <w:tabs>
          <w:tab w:leader="none" w:pos="1860" w:val="left"/>
        </w:tabs>
        <w:numPr>
          <w:ilvl w:val="1"/>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make such arrangements as they think fit for the management and transaction of the Company’s affairs in any specified locality, whether in the United Kingdom or elsewhere, and, without prejudice to the generality of the foregoing, may:</w:t>
      </w:r>
    </w:p>
    <w:p>
      <w:pPr>
        <w:spacing w:after="0" w:line="45" w:lineRule="exact"/>
        <w:rPr>
          <w:rFonts w:ascii="Times New Roman" w:cs="Times New Roman" w:eastAsia="Times New Roman" w:hAnsi="Times New Roman"/>
          <w:sz w:val="17"/>
          <w:szCs w:val="17"/>
          <w:color w:val="auto"/>
        </w:rPr>
      </w:pPr>
    </w:p>
    <w:p>
      <w:pPr>
        <w:jc w:val="both"/>
        <w:ind w:left="2520" w:right="20" w:hanging="649"/>
        <w:spacing w:after="0" w:line="266" w:lineRule="auto"/>
        <w:tabs>
          <w:tab w:leader="none" w:pos="25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local or divisional board or agency for managing any of the affairs of the Company whether in the United Kingdom or elsewhere and may appoint any persons to be members of a local or divisional board, or to be managers or agents, and may fix their remuneration;</w:t>
      </w:r>
    </w:p>
    <w:p>
      <w:pPr>
        <w:spacing w:after="0" w:line="81" w:lineRule="exact"/>
        <w:rPr>
          <w:rFonts w:ascii="Times New Roman" w:cs="Times New Roman" w:eastAsia="Times New Roman" w:hAnsi="Times New Roman"/>
          <w:sz w:val="18"/>
          <w:szCs w:val="18"/>
          <w:color w:val="auto"/>
        </w:rPr>
      </w:pPr>
    </w:p>
    <w:p>
      <w:pPr>
        <w:ind w:left="2520" w:right="20" w:hanging="649"/>
        <w:spacing w:after="0" w:line="282" w:lineRule="auto"/>
        <w:tabs>
          <w:tab w:leader="none" w:pos="25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any local or divisional board, manager or agent any of its powers, authorities and discretions (with power to sub-delegate) and</w:t>
      </w:r>
    </w:p>
    <w:p>
      <w:pPr>
        <w:spacing w:after="0" w:line="67" w:lineRule="exact"/>
        <w:rPr>
          <w:rFonts w:ascii="Times New Roman" w:cs="Times New Roman" w:eastAsia="Times New Roman" w:hAnsi="Times New Roman"/>
          <w:sz w:val="18"/>
          <w:szCs w:val="18"/>
          <w:color w:val="auto"/>
        </w:rPr>
      </w:pPr>
    </w:p>
    <w:p>
      <w:pPr>
        <w:ind w:left="2520" w:right="140" w:hanging="649"/>
        <w:spacing w:after="0" w:line="282" w:lineRule="auto"/>
        <w:tabs>
          <w:tab w:leader="none" w:pos="2520" w:val="left"/>
        </w:tabs>
        <w:numPr>
          <w:ilvl w:val="2"/>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the members of any local or divisional board or any of them to fill any vacancies and to act notwithstanding vacancies.</w:t>
      </w:r>
    </w:p>
    <w:p>
      <w:pPr>
        <w:spacing w:after="0" w:line="67"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appointment or delegation under this article may be made on such terms and subject to such conditions as the Board thinks fit and the Board may remove any person so appointed, and may revoke or vary any delegation, but no person dealing in good faith shall be affected by the revocation or variation.</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attorney and agents</w:t>
      </w:r>
    </w:p>
    <w:p>
      <w:pPr>
        <w:spacing w:after="0" w:line="121" w:lineRule="exact"/>
        <w:rPr>
          <w:rFonts w:ascii="Times New Roman" w:cs="Times New Roman" w:eastAsia="Times New Roman" w:hAnsi="Times New Roman"/>
          <w:sz w:val="18"/>
          <w:szCs w:val="18"/>
          <w:b w:val="1"/>
          <w:bCs w:val="1"/>
          <w:color w:val="auto"/>
        </w:rPr>
      </w:pPr>
    </w:p>
    <w:p>
      <w:pPr>
        <w:ind w:left="660" w:right="2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by power of attorney or otherwise appoint any person to be the agent of the Company on such terms (including terms as to remuneration) as it may decide and may delegate to any person so appointed any of its powers, authorities and discretions (with power to sub-delegate). The Board may remove any person appointed under this article and may revoke or vary the delegation, but no person dealing in good faith shall be affected by the revocation or variation. Any such appointment may contain such provisions for the protection and convenience of persons dealing with any such attorney as the Board may think fit.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INTERESTS</w:t>
      </w:r>
    </w:p>
    <w:p>
      <w:pPr>
        <w:spacing w:after="0" w:line="252" w:lineRule="exact"/>
        <w:rPr>
          <w:sz w:val="20"/>
          <w:szCs w:val="20"/>
          <w:color w:val="auto"/>
        </w:rPr>
      </w:pPr>
    </w:p>
    <w:p>
      <w:pPr>
        <w:ind w:left="660" w:hanging="544"/>
        <w:spacing w:after="0"/>
        <w:tabs>
          <w:tab w:leader="none" w:pos="660" w:val="left"/>
        </w:tabs>
        <w:numPr>
          <w:ilvl w:val="0"/>
          <w:numId w:val="5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interests in a proposed transaction or arrangement with the Company</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58" w:lineRule="auto"/>
        <w:tabs>
          <w:tab w:leader="none" w:pos="186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has, directly or indirectly, an interest in a transaction entered into or proposed to be entered into by the Company or by a subsidiary of the Company which conflicts or possibly may conflict with the interests of the Company or the exploitation of any property, information or opportunity, whether or not the Company could take advantage of it (but excluding any interest which cannot reasonably be regarded as likely to give rise to a conflict of interest), and of which such director is aware, shall disclose to the Company the nature and extent of such director’s interest.</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declaration of interest required by this article must be made as soon as reasonably practicable.</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declaration of interest proves to be, or becomes, inaccurate or incomplete, a further disclosure must be made.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120"/>
          </w:cols>
          <w:pgMar w:left="320" w:top="454"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tabs>
          <w:tab w:leader="none" w:pos="186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article, a director need not declare an interest:</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cannot reasonably be regarded as likely to give rise to a conflict of interest;</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the other directors are already aware of it; or</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2"/>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 to the extent that, it concerns terms of his service contract that have been or are to be considered by (A) a meeting of the directors; or (B) by a committee of the directors appointed for the purpose under these articles.</w:t>
      </w:r>
    </w:p>
    <w:p>
      <w:pPr>
        <w:spacing w:after="0" w:line="306" w:lineRule="exact"/>
        <w:rPr>
          <w:rFonts w:ascii="Times New Roman" w:cs="Times New Roman" w:eastAsia="Times New Roman" w:hAnsi="Times New Roman"/>
          <w:sz w:val="18"/>
          <w:szCs w:val="18"/>
          <w:color w:val="auto"/>
        </w:rPr>
      </w:pPr>
    </w:p>
    <w:p>
      <w:pPr>
        <w:ind w:left="660" w:right="6860" w:hanging="544"/>
        <w:spacing w:after="0" w:line="385" w:lineRule="auto"/>
        <w:tabs>
          <w:tab w:leader="none" w:pos="649" w:val="left"/>
        </w:tabs>
        <w:numPr>
          <w:ilvl w:val="0"/>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Provisions applicable to declarations of interest </w:t>
      </w:r>
      <w:r>
        <w:rPr>
          <w:rFonts w:ascii="Times New Roman" w:cs="Times New Roman" w:eastAsia="Times New Roman" w:hAnsi="Times New Roman"/>
          <w:sz w:val="18"/>
          <w:szCs w:val="18"/>
          <w:color w:val="auto"/>
        </w:rPr>
        <w:t>For the purposes of article 86:</w:t>
      </w:r>
    </w:p>
    <w:p>
      <w:pPr>
        <w:spacing w:after="0" w:line="1" w:lineRule="exact"/>
        <w:rPr>
          <w:rFonts w:ascii="Times New Roman" w:cs="Times New Roman" w:eastAsia="Times New Roman" w:hAnsi="Times New Roman"/>
          <w:sz w:val="18"/>
          <w:szCs w:val="18"/>
          <w:b w:val="1"/>
          <w:bCs w:val="1"/>
          <w:color w:val="auto"/>
        </w:rPr>
      </w:pPr>
    </w:p>
    <w:p>
      <w:pPr>
        <w:ind w:left="1860" w:right="300" w:hanging="543"/>
        <w:spacing w:after="0" w:line="266"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shall be made at the first meeting of the directors at which the transaction is considered after the director concerned becomes aware of the circumstances giving rise to such director’s duty to make it or, if for any reason the director fails to do so at such meeting, as soon as practical after the meeting, by notice in writing delivered to the secretary;</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where the disclosure is made to shall inform the directors that it has been made and shall in any event table the notice of the disclosure at the next meeting after it is made;</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disclosure to the Company by a director in accordance with article 87(a) above that such director is to be regarded as interested in a transaction with a specified person is sufficient disclosure of that director’s interest in any such transaction entered into after the disclosure is made; and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made at a meeting of the directors shall be recorded in the minutes of the meeting.</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the Board to authorise conflicts of interest</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55"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authorise any matter proposed to it in accordance with these articles which would, if not so authorised, involve a breach by a director of his duty to avoid conflicts of interest under the Statutes, including, without limitation, any matter which relates to a situation (a </w:t>
      </w:r>
      <w:r>
        <w:rPr>
          <w:rFonts w:ascii="Times New Roman" w:cs="Times New Roman" w:eastAsia="Times New Roman" w:hAnsi="Times New Roman"/>
          <w:sz w:val="18"/>
          <w:szCs w:val="18"/>
          <w:b w:val="1"/>
          <w:bCs w:val="1"/>
          <w:color w:val="auto"/>
        </w:rPr>
        <w:t>relevant situation</w:t>
      </w:r>
      <w:r>
        <w:rPr>
          <w:rFonts w:ascii="Times New Roman" w:cs="Times New Roman" w:eastAsia="Times New Roman" w:hAnsi="Times New Roman"/>
          <w:sz w:val="18"/>
          <w:szCs w:val="18"/>
          <w:color w:val="auto"/>
        </w:rPr>
        <w:t>) in which a director has, or can have, an interest which conflicts, or possibly may conflict, with the interest of the Company or the exploitation of any property, information or opportunity, whether or not the Company could take advantage of it, but excluding any interest which cannot reasonably be regarded as likely to give rise to a conflict of interest. The provisions of this article do not apply to a conflict of interest arising in relation to a transaction or arrangement with the Company.</w:t>
      </w:r>
    </w:p>
    <w:p>
      <w:pPr>
        <w:spacing w:after="0" w:line="94"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authorisation will be effective only if:</w:t>
      </w:r>
    </w:p>
    <w:p>
      <w:pPr>
        <w:spacing w:after="0" w:line="130" w:lineRule="exact"/>
        <w:rPr>
          <w:rFonts w:ascii="Times New Roman" w:cs="Times New Roman" w:eastAsia="Times New Roman" w:hAnsi="Times New Roman"/>
          <w:sz w:val="18"/>
          <w:szCs w:val="18"/>
          <w:color w:val="auto"/>
        </w:rPr>
      </w:pPr>
    </w:p>
    <w:p>
      <w:pPr>
        <w:ind w:left="2520" w:right="180" w:hanging="649"/>
        <w:spacing w:after="0" w:line="282" w:lineRule="auto"/>
        <w:tabs>
          <w:tab w:leader="none" w:pos="2520" w:val="left"/>
        </w:tabs>
        <w:numPr>
          <w:ilvl w:val="2"/>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as to quorum at the meeting at which the matter is considered is met without counting the director in question or any other interested director;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was agreed to without their voting or would have been agreed to if their votes had not been counted.</w:t>
      </w:r>
    </w:p>
    <w:p>
      <w:pPr>
        <w:spacing w:after="0" w:line="130" w:lineRule="exact"/>
        <w:rPr>
          <w:rFonts w:ascii="Times New Roman" w:cs="Times New Roman" w:eastAsia="Times New Roman" w:hAnsi="Times New Roman"/>
          <w:sz w:val="18"/>
          <w:szCs w:val="18"/>
          <w:color w:val="auto"/>
        </w:rPr>
      </w:pPr>
    </w:p>
    <w:p>
      <w:pPr>
        <w:ind w:left="1860" w:right="180" w:hanging="543"/>
        <w:spacing w:after="0" w:line="282" w:lineRule="auto"/>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(whether at the time of the giving of the authorisation or subsequently) make any such authorisation subject to any limits or conditions it expressly imposes but such authorisation is otherwise given to the fullest extent permitted.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vary or terminate any such authorisation at any time.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B-32</w:t>
      </w:r>
    </w:p>
    <w:p>
      <w:pPr>
        <w:sectPr>
          <w:pgSz w:w="11900" w:h="16838" w:orient="portrait"/>
          <w:cols w:equalWidth="0" w:num="1">
            <w:col w:w="11140"/>
          </w:cols>
          <w:pgMar w:left="320" w:top="454" w:right="43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 and voting</w:t>
      </w:r>
    </w:p>
    <w:p>
      <w:pPr>
        <w:spacing w:after="0" w:line="134" w:lineRule="exact"/>
        <w:rPr>
          <w:rFonts w:ascii="Times New Roman" w:cs="Times New Roman" w:eastAsia="Times New Roman" w:hAnsi="Times New Roman"/>
          <w:sz w:val="18"/>
          <w:szCs w:val="18"/>
          <w:b w:val="1"/>
          <w:bCs w:val="1"/>
          <w:color w:val="auto"/>
        </w:rPr>
      </w:pPr>
    </w:p>
    <w:p>
      <w:pPr>
        <w:ind w:left="1860" w:right="240" w:hanging="543"/>
        <w:spacing w:after="0" w:line="282" w:lineRule="auto"/>
        <w:tabs>
          <w:tab w:leader="none" w:pos="1860"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and provided the director has declared any interest or interests in accordance with articles 86 and 87, a director may (notwithstanding his office):</w:t>
      </w:r>
    </w:p>
    <w:p>
      <w:pPr>
        <w:spacing w:after="0" w:line="67" w:lineRule="exact"/>
        <w:rPr>
          <w:rFonts w:ascii="Times New Roman" w:cs="Times New Roman" w:eastAsia="Times New Roman" w:hAnsi="Times New Roman"/>
          <w:sz w:val="18"/>
          <w:szCs w:val="18"/>
          <w:color w:val="auto"/>
        </w:rPr>
      </w:pPr>
    </w:p>
    <w:p>
      <w:pPr>
        <w:ind w:left="2520" w:right="300" w:hanging="649"/>
        <w:spacing w:after="0" w:line="266"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interested in any transaction or arrangement with the Company, either with regard to the director’s tenure of any office or position in the management, administration or conduct of the business of the Company or as vendor, purchaser or otherwise;</w:t>
      </w:r>
    </w:p>
    <w:p>
      <w:pPr>
        <w:spacing w:after="0" w:line="81" w:lineRule="exact"/>
        <w:rPr>
          <w:rFonts w:ascii="Times New Roman" w:cs="Times New Roman" w:eastAsia="Times New Roman" w:hAnsi="Times New Roman"/>
          <w:sz w:val="18"/>
          <w:szCs w:val="18"/>
          <w:color w:val="auto"/>
        </w:rPr>
      </w:pPr>
    </w:p>
    <w:p>
      <w:pPr>
        <w:ind w:left="2520" w:right="180" w:hanging="649"/>
        <w:spacing w:after="0" w:line="281" w:lineRule="auto"/>
        <w:tabs>
          <w:tab w:leader="none" w:pos="2520" w:val="left"/>
        </w:tabs>
        <w:numPr>
          <w:ilvl w:val="2"/>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any other office or place of profit with the Company (except that of auditor) in conjunction with the director’s office of director for such period (subject to the Statutes) and upon such terms as the Board may decide and be paid such extra remuneration for so doing (whether by way of salary, commission, participation in profits or otherwise) as the Board may decide, either in addition to or in lieu of any remuneration under any other provision of these articles;</w:t>
      </w:r>
    </w:p>
    <w:p>
      <w:pPr>
        <w:spacing w:after="0" w:line="69" w:lineRule="exact"/>
        <w:rPr>
          <w:rFonts w:ascii="Times New Roman" w:cs="Times New Roman" w:eastAsia="Times New Roman" w:hAnsi="Times New Roman"/>
          <w:sz w:val="17"/>
          <w:szCs w:val="17"/>
          <w:color w:val="auto"/>
        </w:rPr>
      </w:pPr>
    </w:p>
    <w:p>
      <w:pPr>
        <w:ind w:left="2520" w:right="20" w:hanging="649"/>
        <w:spacing w:after="0" w:line="282"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personally or by the director’s firm in a professional capacity for the Company (except as auditor) and be entitled to remuneration for professional services as if the director were not a director;</w:t>
      </w:r>
    </w:p>
    <w:p>
      <w:pPr>
        <w:spacing w:after="0" w:line="67" w:lineRule="exact"/>
        <w:rPr>
          <w:rFonts w:ascii="Times New Roman" w:cs="Times New Roman" w:eastAsia="Times New Roman" w:hAnsi="Times New Roman"/>
          <w:sz w:val="18"/>
          <w:szCs w:val="18"/>
          <w:color w:val="auto"/>
        </w:rPr>
      </w:pPr>
    </w:p>
    <w:p>
      <w:pPr>
        <w:ind w:left="2520" w:right="60" w:hanging="649"/>
        <w:spacing w:after="0" w:line="255"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member or director of, or hold any other office or place of profit under, or otherwise be interested in, any holding company or subsidiary undertaking of that holding company or any other company in which the Company may be interested. The Board may cause the voting rights conferred by the shares in any other company held or owned by the Company or exercisable by them as directors of that other company to be exercised in such manner in all respects as it thinks fit (including the exercise of voting rights in favour of any resolution appointing the directors or any of them as directors or officers of the other company or voting or providing for the payment of any benefit to the directors or officers of the other company); and</w:t>
      </w:r>
    </w:p>
    <w:p>
      <w:pPr>
        <w:spacing w:after="0" w:line="94" w:lineRule="exact"/>
        <w:rPr>
          <w:rFonts w:ascii="Times New Roman" w:cs="Times New Roman" w:eastAsia="Times New Roman" w:hAnsi="Times New Roman"/>
          <w:sz w:val="18"/>
          <w:szCs w:val="18"/>
          <w:color w:val="auto"/>
        </w:rPr>
      </w:pPr>
    </w:p>
    <w:p>
      <w:pPr>
        <w:ind w:left="2520" w:right="140" w:hanging="649"/>
        <w:spacing w:after="0" w:line="261" w:lineRule="auto"/>
        <w:tabs>
          <w:tab w:leader="none" w:pos="2520" w:val="left"/>
        </w:tabs>
        <w:numPr>
          <w:ilvl w:val="2"/>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or become a director, manager or employee of, or a consultant to, or acquire or retain any direct or indirect interest in, any entity (whether or not a body corporate) in which the Company does not have an interest if that cannot reasonably be regarded as likely to give rise to a conflict of interest at the time of the director’s appointment as a director of that other company.</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by reason of holding office as director (or of the fiduciary relationship established by holding that office), be liable to account to the Company for any remuneration, profit or other benefit resulting from any interest permitted under paragraph (a) above and no contract shall be liable to be avoided on the grounds of any director having any type of interest permitted under paragraph (a) above.</w:t>
      </w:r>
    </w:p>
    <w:p>
      <w:pPr>
        <w:spacing w:after="0" w:line="85"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vote (or be counted in the quorum at a meeting) in respect of any resolution concerning that director’s own appointment (including fixing or varying its terms), or the termination of that director’s own appointment, as the holder of any office or place of profit with the Company or any other company in which the Company is interested but, where proposals are under consideration concerning the appointment (including fixing or varying its terms), or the termination of the appointment, of two or more directors to offices or places of profit with the Company or any other company in which the Company is interested, those proposals may be divided and a separate resolution may be put in relation to each director and in that case each of the directors concerned (if not otherwise debarred from voting under this article) shall be entitled to vote (and be counted in the quorum) in respect of each resolution unless it concerns that director’s own appointment or the termination of that director’s own appointment.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B-33</w:t>
      </w:r>
    </w:p>
    <w:p>
      <w:pPr>
        <w:sectPr>
          <w:pgSz w:w="11900" w:h="16838" w:orient="portrait"/>
          <w:cols w:equalWidth="0" w:num="1">
            <w:col w:w="11120"/>
          </w:cols>
          <w:pgMar w:left="320" w:top="454" w:right="45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line="258" w:lineRule="auto"/>
        <w:tabs>
          <w:tab w:leader="none" w:pos="186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also not vote (or be counted in the quorum at a meeting) in relation to any resolution relating to any transaction or arrangement with the Company in which the director has an interest which may reasonably be regarded as likely to give rise to a conflict of interest and, if the director purports to do so, the director’s vote shall not be counted, but this prohibition shall not apply and a director may vote (and be counted in the quorum) in respect of any resolution concerning any one or more of the following matters:</w:t>
      </w:r>
    </w:p>
    <w:p>
      <w:pPr>
        <w:spacing w:after="0" w:line="88"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in which the director is interested by virtue of an interest in shares, debentures or other securities of the Company or otherwise in or through the Company;</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w:t>
      </w:r>
    </w:p>
    <w:p>
      <w:pPr>
        <w:spacing w:after="0" w:line="130" w:lineRule="exact"/>
        <w:rPr>
          <w:rFonts w:ascii="Times New Roman" w:cs="Times New Roman" w:eastAsia="Times New Roman" w:hAnsi="Times New Roman"/>
          <w:sz w:val="18"/>
          <w:szCs w:val="18"/>
          <w:color w:val="auto"/>
        </w:rPr>
      </w:pPr>
    </w:p>
    <w:p>
      <w:pPr>
        <w:ind w:left="3080" w:right="60" w:hanging="548"/>
        <w:spacing w:after="0" w:line="282" w:lineRule="auto"/>
        <w:tabs>
          <w:tab w:leader="none" w:pos="3080" w:val="left"/>
        </w:tabs>
        <w:numPr>
          <w:ilvl w:val="2"/>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the director or by any other person at the request of, or for the benefit of, the Company or any of its subsidiary undertakings; or</w:t>
      </w:r>
    </w:p>
    <w:p>
      <w:pPr>
        <w:spacing w:after="0" w:line="67" w:lineRule="exact"/>
        <w:rPr>
          <w:rFonts w:ascii="Times New Roman" w:cs="Times New Roman" w:eastAsia="Times New Roman" w:hAnsi="Times New Roman"/>
          <w:sz w:val="18"/>
          <w:szCs w:val="18"/>
          <w:color w:val="auto"/>
        </w:rPr>
      </w:pPr>
    </w:p>
    <w:p>
      <w:pPr>
        <w:ind w:left="3080" w:right="80" w:hanging="548"/>
        <w:spacing w:after="0" w:line="266" w:lineRule="auto"/>
        <w:tabs>
          <w:tab w:leader="none" w:pos="3080" w:val="left"/>
        </w:tabs>
        <w:numPr>
          <w:ilvl w:val="2"/>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subsidiary undertakings for which the director personally has assumed responsibility in whole or in part (either alone or jointly with others) under a guarantee or indemnity or by the giving of security;</w:t>
      </w:r>
    </w:p>
    <w:p>
      <w:pPr>
        <w:spacing w:after="0" w:line="81"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(including loans made in connection with it) by the Company in relation to the performance of the director’s duties on behalf of the Company or of any of its subsidiary undertakings;</w:t>
      </w:r>
    </w:p>
    <w:p>
      <w:pPr>
        <w:spacing w:after="0" w:line="67" w:lineRule="exact"/>
        <w:rPr>
          <w:rFonts w:ascii="Times New Roman" w:cs="Times New Roman" w:eastAsia="Times New Roman" w:hAnsi="Times New Roman"/>
          <w:sz w:val="18"/>
          <w:szCs w:val="18"/>
          <w:color w:val="auto"/>
        </w:rPr>
      </w:pPr>
    </w:p>
    <w:p>
      <w:pPr>
        <w:ind w:left="2520" w:right="400" w:hanging="649"/>
        <w:spacing w:after="0" w:line="266" w:lineRule="auto"/>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debentures or other securities of the Company or any of its subsidiary undertakings in respect of which the director is or may be entitled to participate in the director’s capacity as a holder of any such securities or as an underwriter or sub-underwriter;</w:t>
      </w:r>
    </w:p>
    <w:p>
      <w:pPr>
        <w:spacing w:after="0" w:line="81" w:lineRule="exact"/>
        <w:rPr>
          <w:rFonts w:ascii="Times New Roman" w:cs="Times New Roman" w:eastAsia="Times New Roman" w:hAnsi="Times New Roman"/>
          <w:sz w:val="18"/>
          <w:szCs w:val="18"/>
          <w:color w:val="auto"/>
        </w:rPr>
      </w:pPr>
    </w:p>
    <w:p>
      <w:pPr>
        <w:ind w:left="2520" w:right="300" w:hanging="649"/>
        <w:spacing w:after="0" w:line="266" w:lineRule="auto"/>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any other company in which the director does not hold, directly or indirectly as shareholder voting rights representing one per cent. or more of any class of shares in the capital of that company;</w:t>
      </w:r>
    </w:p>
    <w:p>
      <w:pPr>
        <w:spacing w:after="0" w:line="81" w:lineRule="exact"/>
        <w:rPr>
          <w:rFonts w:ascii="Times New Roman" w:cs="Times New Roman" w:eastAsia="Times New Roman" w:hAnsi="Times New Roman"/>
          <w:sz w:val="18"/>
          <w:szCs w:val="18"/>
          <w:color w:val="auto"/>
        </w:rPr>
      </w:pPr>
    </w:p>
    <w:p>
      <w:pPr>
        <w:ind w:left="2520" w:right="320" w:hanging="649"/>
        <w:spacing w:after="0" w:line="266" w:lineRule="auto"/>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the Company or any of its subsidiary undertakings which does not accord to the director any privilege or benefit not generally accorded to the employees to whom the arrangement relates; and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for the benefit of directors or for the benefit of persons including directors.</w:t>
      </w:r>
    </w:p>
    <w:p>
      <w:pPr>
        <w:spacing w:after="0" w:line="130" w:lineRule="exact"/>
        <w:rPr>
          <w:rFonts w:ascii="Times New Roman" w:cs="Times New Roman" w:eastAsia="Times New Roman" w:hAnsi="Times New Roman"/>
          <w:sz w:val="18"/>
          <w:szCs w:val="18"/>
          <w:color w:val="auto"/>
        </w:rPr>
      </w:pPr>
    </w:p>
    <w:p>
      <w:pPr>
        <w:ind w:left="1860" w:right="40" w:hanging="543"/>
        <w:spacing w:after="0" w:line="253" w:lineRule="auto"/>
        <w:tabs>
          <w:tab w:leader="none" w:pos="186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question arises at any meeting as to whether an interest of a director (other than the chair of the meeting) may reasonably be regarded as likely to give rise to a conflict of interest or as to the entitlement of any director (other than the chair of the meeting) to vote in relation to a transaction or arrangement with the Company and the question is not resolved by the director voluntarily agreeing to abstain from voting, the question shall be referred to the chair of the meeting and the chair’s ruling in relation to the director concerned shall be final and conclusive except in a case where the nature or extent of the interest of the director concerned, so far as known to the director concerned, has not been fairly disclosed. If any question shall arise in respect of the chair of the meeting and is not resolved by the chair voluntarily agreeing to abstain from voting, the question shall be decided by a resolution of the Board (for which purpose the chair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99"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by ordinary resolution suspend or relax the provisions of this article to any extent or ratify any transaction or arrangement not duly authorised by reason of a contravention of this article.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B-34</w:t>
      </w:r>
    </w:p>
    <w:p>
      <w:pPr>
        <w:sectPr>
          <w:pgSz w:w="11900" w:h="16838" w:orient="portrait"/>
          <w:cols w:equalWidth="0" w:num="1">
            <w:col w:w="11120"/>
          </w:cols>
          <w:pgMar w:left="320" w:top="454"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Avoiding conflicts of interest</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existence of a director’s relationship with another person has been approved by the Board pursuant to article 88 and his relationship with that person gives rise to a conflict of interest or possible conflict of interest, the director shall not be in breach of the general duties he owes to the Company under the Statutes because he:</w:t>
      </w:r>
    </w:p>
    <w:p>
      <w:pPr>
        <w:spacing w:after="0" w:line="81"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67" w:lineRule="exact"/>
        <w:rPr>
          <w:rFonts w:ascii="Times New Roman" w:cs="Times New Roman" w:eastAsia="Times New Roman" w:hAnsi="Times New Roman"/>
          <w:sz w:val="18"/>
          <w:szCs w:val="18"/>
          <w:color w:val="auto"/>
        </w:rPr>
      </w:pPr>
    </w:p>
    <w:p>
      <w:pPr>
        <w:jc w:val="both"/>
        <w:ind w:left="1860" w:right="100" w:hanging="543"/>
        <w:spacing w:after="0" w:line="266" w:lineRule="auto"/>
        <w:tabs>
          <w:tab w:leader="none" w:pos="1860"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so long as he reasonably believes such conflict of interest or possible conflict of interest subsists.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PROCEEDINGS OF THE BOARD</w:t>
      </w:r>
    </w:p>
    <w:p>
      <w:pPr>
        <w:spacing w:after="0" w:line="252" w:lineRule="exact"/>
        <w:rPr>
          <w:sz w:val="20"/>
          <w:szCs w:val="20"/>
          <w:color w:val="auto"/>
        </w:rPr>
      </w:pPr>
    </w:p>
    <w:p>
      <w:pPr>
        <w:ind w:left="660" w:hanging="544"/>
        <w:spacing w:after="0"/>
        <w:tabs>
          <w:tab w:leader="none" w:pos="660"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meetings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these articles, the Board may meet for the despatch of business, adjourn and otherwise regulate its meetings as it thinks fit. A director at any time may, and the secretary at the request of a director at any time shall, summon a board meeting.</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board meetings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6"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board meeting may be given to a director personally or by word of mouth or given in hard copy form or in electronic form to the director at such address as the director may from time to time specify for this purpose (or if the director does not specify an address, at the director’s last known address).</w:t>
      </w:r>
    </w:p>
    <w:p>
      <w:pPr>
        <w:spacing w:after="0" w:line="81"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absent or intending to be absent from the United Kingdom may request that notices of board meetings shall, during his absence, be sent by instrument or using electronic communication to him at an address given by him to the Company for this purpose but, in the absence of any such request, it shall not be necessary to give notice of a board meeting to any director for the time being absent from the United Kingdom.</w:t>
      </w:r>
    </w:p>
    <w:p>
      <w:pPr>
        <w:spacing w:after="0" w:line="85"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waive notice of any meeting either prospectively or retrospectively and any retrospective waiver shall not affect the validity of the meeting or of any business conducted at the meeting.</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quorum necessary for the transaction of the business of the Board may be fixed by the Board and, unless so fixed at any other number, shall be two. Subject to these articles, any director who ceases to be a director at a board meeting may continue to be present and to act as a director and be counted in the quorum until the end of the board meeting if no other director objects and if otherwise a quorum of directors would not be present.</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directors if number falls below minimum</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continuing directors or director at any time may act notwithstanding any vacancies in their number, but if, and so long as, the number of directors is less than the number fixed as the necessary quorum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B-35</w:t>
      </w:r>
    </w:p>
    <w:p>
      <w:pPr>
        <w:sectPr>
          <w:pgSz w:w="11900" w:h="16838" w:orient="portrait"/>
          <w:cols w:equalWidth="0" w:num="1">
            <w:col w:w="11100"/>
          </w:cols>
          <w:pgMar w:left="320" w:top="454" w:right="47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board meetings, the continuing directors or director may act for the purpose of filling up such vacancies or calling general meetings of the Company, but not for any other purpose. If there are no directors or director able or willing to act, then any two members may call a general meeting for the purpose of appointing directors</w:t>
      </w:r>
    </w:p>
    <w:p>
      <w:pPr>
        <w:spacing w:after="0" w:line="320" w:lineRule="exact"/>
        <w:rPr>
          <w:sz w:val="20"/>
          <w:szCs w:val="20"/>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 or deputy chair to preside</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appoint a chair and one or more deputy chair(s) and may at any time revoke any such appointment.</w:t>
      </w:r>
    </w:p>
    <w:p>
      <w:pPr>
        <w:spacing w:after="0" w:line="130" w:lineRule="exact"/>
        <w:rPr>
          <w:rFonts w:ascii="Times New Roman" w:cs="Times New Roman" w:eastAsia="Times New Roman" w:hAnsi="Times New Roman"/>
          <w:sz w:val="18"/>
          <w:szCs w:val="18"/>
          <w:color w:val="auto"/>
        </w:rPr>
      </w:pPr>
    </w:p>
    <w:p>
      <w:pPr>
        <w:ind w:left="1860" w:right="40" w:hanging="543"/>
        <w:spacing w:after="0" w:line="261"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or failing the chair any deputy chair (the longest in office taking precedence, if more than one is present), shall, if present and willing, preside at all board meetings but, if no chair or deputy chair has been appointed, or if the chair or deputy chair is not present within five minutes after the time fixed for holding the meeting or is unwilling to act as chair of the meeting, the directors present shall choose one of their number to act as chair of the meeting.</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Competence of board meetings</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board meeting at which a quorum is present shall be competent to exercise all the powers, authorities and discretions for the time being vested in or exercisable by the Board.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w:t>
      </w:r>
    </w:p>
    <w:p>
      <w:pPr>
        <w:spacing w:after="0" w:line="121"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Questions arising at any board meeting shall be determined by a majority of votes. In the case of an equality of votes the chair of the meeting shall have a second or casting vote.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Telephone/electronic board meetings</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6"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may consist of a conference between directors some or all of whom are in different places provided that each director may participate in the business of the meeting whether directly, by telephone or by any other means (whether electronically or otherwise) which enables the director:</w:t>
      </w:r>
    </w:p>
    <w:p>
      <w:pPr>
        <w:spacing w:after="0" w:line="81" w:lineRule="exact"/>
        <w:rPr>
          <w:rFonts w:ascii="Times New Roman" w:cs="Times New Roman" w:eastAsia="Times New Roman" w:hAnsi="Times New Roman"/>
          <w:sz w:val="18"/>
          <w:szCs w:val="18"/>
          <w:color w:val="auto"/>
        </w:rPr>
      </w:pPr>
    </w:p>
    <w:p>
      <w:pPr>
        <w:ind w:left="2520" w:right="220" w:hanging="649"/>
        <w:spacing w:after="0" w:line="282" w:lineRule="auto"/>
        <w:tabs>
          <w:tab w:leader="none" w:pos="2520" w:val="left"/>
        </w:tabs>
        <w:numPr>
          <w:ilvl w:val="2"/>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(or otherwise receive real time communications made by) each of the other participating directors addressing the meeting; and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so wishes, to address all of the other participating directors simultaneously (or otherwise communicate in real time with them).</w:t>
      </w:r>
    </w:p>
    <w:p>
      <w:pPr>
        <w:spacing w:after="0" w:line="67"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deemed to be present if at least the number of directors required to form a quorum, subject to the provisions of article 78, may participate in the manner specified above in the business of the meeting.</w:t>
      </w:r>
    </w:p>
    <w:p>
      <w:pPr>
        <w:spacing w:after="0" w:line="67" w:lineRule="exact"/>
        <w:rPr>
          <w:rFonts w:ascii="Times New Roman" w:cs="Times New Roman" w:eastAsia="Times New Roman" w:hAnsi="Times New Roman"/>
          <w:sz w:val="18"/>
          <w:szCs w:val="18"/>
          <w:color w:val="auto"/>
        </w:rPr>
      </w:pPr>
    </w:p>
    <w:p>
      <w:pPr>
        <w:ind w:left="1860" w:right="560" w:hanging="543"/>
        <w:spacing w:after="0" w:line="282"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meeting held in this way is deemed to take place at the place where the largest group of participating directors is assembled or, if no such group is readily identifiable, at the place from where the chair of the meeting participates.</w:t>
      </w:r>
    </w:p>
    <w:p>
      <w:pPr>
        <w:spacing w:after="0" w:line="67" w:lineRule="exact"/>
        <w:rPr>
          <w:rFonts w:ascii="Times New Roman" w:cs="Times New Roman" w:eastAsia="Times New Roman" w:hAnsi="Times New Roman"/>
          <w:sz w:val="18"/>
          <w:szCs w:val="18"/>
          <w:color w:val="auto"/>
        </w:rPr>
      </w:pPr>
    </w:p>
    <w:p>
      <w:pPr>
        <w:ind w:left="1860" w:right="160" w:hanging="543"/>
        <w:spacing w:after="0" w:line="266" w:lineRule="auto"/>
        <w:tabs>
          <w:tab w:leader="none" w:pos="1860"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passed at any meeting held in the above manner, and signed by the chair of the meeting, shall be as valid and effectual as if it had been passed at a meeting of the Board (or committee of the Board, as the case may be) duly convened and held.</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without meetings</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resolution which is signed or approved by all the directors entitled to vote on that resolution (and whose vote would have been counted) shall be as valid and effectual as if it had been passed at a board meeting duly called and constituted. The resolution may be contained in one document or communication in electronic form or in several documents or communications in electronic form (in like form), or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B-36</w:t>
      </w:r>
    </w:p>
    <w:p>
      <w:pPr>
        <w:sectPr>
          <w:pgSz w:w="11900" w:h="16838" w:orient="portrait"/>
          <w:cols w:equalWidth="0" w:num="1">
            <w:col w:w="11120"/>
          </w:cols>
          <w:pgMar w:left="320" w:top="454" w:right="45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combination of both, each signed or approved by one or more of the directors concerned (or their alternates, as applicable). For the purpose of this article the approval of a director (or their alternates, as applicable) shall be given in hard copy form or in electronic form.</w:t>
      </w:r>
    </w:p>
    <w:p>
      <w:pPr>
        <w:spacing w:after="0" w:line="306" w:lineRule="exact"/>
        <w:rPr>
          <w:sz w:val="20"/>
          <w:szCs w:val="20"/>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119" w:lineRule="exact"/>
        <w:rPr>
          <w:rFonts w:ascii="Times New Roman" w:cs="Times New Roman" w:eastAsia="Times New Roman" w:hAnsi="Times New Roman"/>
          <w:sz w:val="18"/>
          <w:szCs w:val="18"/>
          <w:b w:val="1"/>
          <w:bCs w:val="1"/>
          <w:color w:val="auto"/>
        </w:rPr>
      </w:pPr>
    </w:p>
    <w:p>
      <w:pPr>
        <w:ind w:left="6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All acts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done by a meeting of the Board, or of a committee, or by any person acting as a director or a member of a committee, shall, notwithstanding that it is afterwards discovered that there was some defect in the appointment of any member of the Board or committee or of the person so acting, or that they or any of them were disqualified or had vacated office or were not entitled to vote, be as valid as if every such person had been duly appointed and qualified to be a director and had continued to be a director or member of the committee and had been entitled to vote.</w:t>
      </w:r>
    </w:p>
    <w:p>
      <w:pPr>
        <w:spacing w:after="0" w:line="329"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minutes to be made and kept in books kept for the purpose: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appointments of officers made by the Board;</w:t>
      </w:r>
    </w:p>
    <w:p>
      <w:pPr>
        <w:spacing w:after="0" w:line="130"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names of all the directors (or their alternates) and any other persons present at each meeting of the Board and of any committee; and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all resolutions and proceedings of all meetings of the Company and of any class of members of the Company, and of the Board and of any committee.</w:t>
      </w:r>
    </w:p>
    <w:p>
      <w:pPr>
        <w:spacing w:after="0" w:line="67"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minutes shall be conclusive evidence of any such proceedings if signed by the chair of the meeting at which the proceedings were held or by the chair of the next succeeding meeting.</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must ensure that all resolutions of the Board passed otherwise than at board meetings are kept for at least ten years.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Secretary</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2006 Act, the secretary shall be appointed by the Board for such term, at such remuneration and on such conditions as it thinks fit, and the Board may remove from office any person so appointed (without prejudice to any claim for damages for breach of any contract between the secretary and the Company).</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 CERTIFICATES</w:t>
      </w:r>
    </w:p>
    <w:p>
      <w:pPr>
        <w:spacing w:after="0" w:line="252" w:lineRule="exact"/>
        <w:rPr>
          <w:sz w:val="20"/>
          <w:szCs w:val="20"/>
          <w:color w:val="auto"/>
        </w:rPr>
      </w:pPr>
    </w:p>
    <w:p>
      <w:pPr>
        <w:ind w:left="660" w:hanging="544"/>
        <w:spacing w:after="0"/>
        <w:tabs>
          <w:tab w:leader="none" w:pos="66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 certificates</w:t>
      </w:r>
    </w:p>
    <w:p>
      <w:pPr>
        <w:spacing w:after="0" w:line="134" w:lineRule="exact"/>
        <w:rPr>
          <w:rFonts w:ascii="Times New Roman" w:cs="Times New Roman" w:eastAsia="Times New Roman" w:hAnsi="Times New Roman"/>
          <w:sz w:val="18"/>
          <w:szCs w:val="18"/>
          <w:b w:val="1"/>
          <w:bCs w:val="1"/>
          <w:color w:val="auto"/>
        </w:rPr>
      </w:pPr>
    </w:p>
    <w:p>
      <w:pPr>
        <w:ind w:left="1860" w:right="40" w:hanging="543"/>
        <w:spacing w:after="0" w:line="258"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name is entered in the register as the holder of any certificated shares shall be entitled (unless the conditions of issue otherwise provide) within the time limits prescribed by the Statutes to receive one certificate for those shares, or one certificate for each class of those shares and, if that person transfers part of the shares represented by a certificate in that person’s name, or elects to hold part in uncertificated form, to receive a new certificate for the balance of those shares, provided in all cases that there shall be no requirement to issue any certificate to Cede &amp; Co. in respect of any shares held by it.</w:t>
      </w:r>
    </w:p>
    <w:p>
      <w:pPr>
        <w:spacing w:after="0" w:line="88" w:lineRule="exact"/>
        <w:rPr>
          <w:rFonts w:ascii="Times New Roman" w:cs="Times New Roman" w:eastAsia="Times New Roman" w:hAnsi="Times New Roman"/>
          <w:sz w:val="18"/>
          <w:szCs w:val="18"/>
          <w:color w:val="auto"/>
        </w:rPr>
      </w:pPr>
    </w:p>
    <w:p>
      <w:pPr>
        <w:ind w:left="1860" w:right="20" w:hanging="543"/>
        <w:spacing w:after="0" w:line="266" w:lineRule="auto"/>
        <w:tabs>
          <w:tab w:leader="none" w:pos="186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Company shall not be bound to issue more than one certificate for all the shares in any particular class registered in their joint names, and delivery of a certificate for a share to any one of the joint holders shall be sufficient delivery to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B-37</w:t>
      </w:r>
    </w:p>
    <w:p>
      <w:pPr>
        <w:sectPr>
          <w:pgSz w:w="11900" w:h="16838" w:orient="portrait"/>
          <w:cols w:equalWidth="0" w:num="1">
            <w:col w:w="11100"/>
          </w:cols>
          <w:pgMar w:left="320" w:top="454" w:right="47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20" w:hanging="543"/>
        <w:spacing w:after="0" w:line="258" w:lineRule="auto"/>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shall be issued under seal or signed by at least one director and the secretary or by at least two directors (which may include any signature being applied mechanically or electronically). A share certificate shall specify the number and class of the shares to which it relates and the amount or respective amounts paid up on the shares and (where required by the Statutes), the distinguishing numbers of such shares. Any certificate so issued shall, as against the Company, be prima facie evidence of title of the person named in that certificate to the shares comprised in it.</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may be given to a member in accordance with the provisions of these articles on notices and the Statutes.</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for and replacement of certificates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in these articles, no fee shall be charged for the issue of a share certificate.</w:t>
      </w:r>
    </w:p>
    <w:p>
      <w:pPr>
        <w:spacing w:after="0" w:line="130"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issued.</w:t>
      </w:r>
    </w:p>
    <w:p>
      <w:pPr>
        <w:spacing w:after="0" w:line="67" w:lineRule="exact"/>
        <w:rPr>
          <w:rFonts w:ascii="Times New Roman" w:cs="Times New Roman" w:eastAsia="Times New Roman" w:hAnsi="Times New Roman"/>
          <w:sz w:val="18"/>
          <w:szCs w:val="18"/>
          <w:color w:val="auto"/>
        </w:rPr>
      </w:pPr>
    </w:p>
    <w:p>
      <w:pPr>
        <w:ind w:left="1860" w:right="280" w:hanging="543"/>
        <w:spacing w:after="0" w:line="266"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surrenders for cancellation a certificate representing shares held by that member and requests the Company to issue two or more certificates representing those shares in such proportions as that member may specify, the Board may, if it thinks fit, comply with the request on payment of such fee (if any) as the Board may decide.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61"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is damaged or defaced or alleged to have been lost, stolen or destroyed, a new certificate representing the same shares may be issued on compliance with such conditions as to evidence, indemnity and security for such indemnity as the Board may think fit and on payment of any exceptional expenses of the Company incidental to its investigation of the evidence and preparation of the indemnity and security and, if damaged or defaced, on delivery up of the old certificate.</w:t>
      </w:r>
    </w:p>
    <w:p>
      <w:pPr>
        <w:spacing w:after="0" w:line="85"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a share a request for a new certificate under any of the preceding paragraphs of this article may be made by any one of the joint holders unless the certificate is alleged to have been lost, stolen or destroyed.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LIEN ON SHARES</w:t>
      </w:r>
    </w:p>
    <w:p>
      <w:pPr>
        <w:spacing w:after="0" w:line="252" w:lineRule="exact"/>
        <w:rPr>
          <w:sz w:val="20"/>
          <w:szCs w:val="20"/>
          <w:color w:val="auto"/>
        </w:rPr>
      </w:pPr>
    </w:p>
    <w:p>
      <w:pPr>
        <w:ind w:left="660" w:hanging="544"/>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partly paid shares</w:t>
      </w:r>
    </w:p>
    <w:p>
      <w:pPr>
        <w:spacing w:after="0" w:line="134" w:lineRule="exact"/>
        <w:rPr>
          <w:rFonts w:ascii="Times New Roman" w:cs="Times New Roman" w:eastAsia="Times New Roman" w:hAnsi="Times New Roman"/>
          <w:sz w:val="18"/>
          <w:szCs w:val="18"/>
          <w:b w:val="1"/>
          <w:bCs w:val="1"/>
          <w:color w:val="auto"/>
        </w:rPr>
      </w:pPr>
    </w:p>
    <w:p>
      <w:pPr>
        <w:ind w:left="1860" w:right="640" w:hanging="543"/>
        <w:spacing w:after="0" w:line="312" w:lineRule="auto"/>
        <w:tabs>
          <w:tab w:leader="none" w:pos="1860"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a first and paramount lien on every share (not being a fully paid share) for all amounts payable (whether or not due) in respect of that share. The lien shall extend to every amount payable in respect of that share.</w:t>
      </w:r>
    </w:p>
    <w:p>
      <w:pPr>
        <w:spacing w:after="0" w:line="45" w:lineRule="exact"/>
        <w:rPr>
          <w:rFonts w:ascii="Times New Roman" w:cs="Times New Roman" w:eastAsia="Times New Roman" w:hAnsi="Times New Roman"/>
          <w:sz w:val="17"/>
          <w:szCs w:val="17"/>
          <w:color w:val="auto"/>
        </w:rPr>
      </w:pPr>
    </w:p>
    <w:p>
      <w:pPr>
        <w:ind w:left="1860" w:right="120" w:hanging="543"/>
        <w:spacing w:after="0" w:line="266" w:lineRule="auto"/>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either generally or in any particular case declare any share to be wholly or partly exempt from this article. Unless otherwise agreed, the registration of a transfer of a share shall operate as a waiver of the Company’s lien (if any) on that share.</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 of lien</w:t>
      </w:r>
    </w:p>
    <w:p>
      <w:pPr>
        <w:spacing w:after="0" w:line="134" w:lineRule="exact"/>
        <w:rPr>
          <w:rFonts w:ascii="Times New Roman" w:cs="Times New Roman" w:eastAsia="Times New Roman" w:hAnsi="Times New Roman"/>
          <w:sz w:val="18"/>
          <w:szCs w:val="18"/>
          <w:b w:val="1"/>
          <w:bCs w:val="1"/>
          <w:color w:val="auto"/>
        </w:rPr>
      </w:pPr>
    </w:p>
    <w:p>
      <w:pPr>
        <w:jc w:val="both"/>
        <w:ind w:left="1860" w:right="100" w:hanging="543"/>
        <w:spacing w:after="0" w:line="266" w:lineRule="auto"/>
        <w:tabs>
          <w:tab w:leader="none" w:pos="186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any share subject to a lien in such manner as the Board may decide if an amount payable on the share is due and is not paid within 14 clear days after a notice has been given to the holder or any person entitled by transmission to the share demanding payment of that amount and giving notice of intention to sell in default.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B-38</w:t>
      </w:r>
    </w:p>
    <w:p>
      <w:pPr>
        <w:sectPr>
          <w:pgSz w:w="11900" w:h="16838" w:orient="portrait"/>
          <w:cols w:equalWidth="0" w:num="1">
            <w:col w:w="11140"/>
          </w:cols>
          <w:pgMar w:left="320" w:top="454" w:right="43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80" w:hanging="543"/>
        <w:spacing w:after="0" w:line="266" w:lineRule="auto"/>
        <w:tabs>
          <w:tab w:leader="none" w:pos="18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under this article, the Board may authorise some person to transfer the share sold to, or as directed by, the purchaser. The purchaser shall not be bound to see to the application of the purchase money nor shall the title of the new holder to the share be affected by any irregularity in or invalidity of the proceedings relating to the sale.</w:t>
      </w:r>
    </w:p>
    <w:p>
      <w:pPr>
        <w:spacing w:after="0" w:line="81" w:lineRule="exact"/>
        <w:rPr>
          <w:rFonts w:ascii="Times New Roman" w:cs="Times New Roman" w:eastAsia="Times New Roman" w:hAnsi="Times New Roman"/>
          <w:sz w:val="18"/>
          <w:szCs w:val="18"/>
          <w:color w:val="auto"/>
        </w:rPr>
      </w:pPr>
    </w:p>
    <w:p>
      <w:pPr>
        <w:jc w:val="both"/>
        <w:ind w:left="1860" w:right="280" w:hanging="543"/>
        <w:spacing w:after="0" w:line="261" w:lineRule="auto"/>
        <w:tabs>
          <w:tab w:leader="none" w:pos="186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after payment of the costs of such sale, shall be applied in or towards satisfaction of the amount due and any residue shall (subject to a like lien for any amounts not presently due as existed on the share before the sale), on surrender, in the case of shares held in certificated form, of the certificate for the shares sold, be paid to the holder or person entitled by transmission to the share immediately before the sale.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52" w:lineRule="exact"/>
        <w:rPr>
          <w:sz w:val="20"/>
          <w:szCs w:val="20"/>
          <w:color w:val="auto"/>
        </w:rPr>
      </w:pPr>
    </w:p>
    <w:p>
      <w:pPr>
        <w:ind w:left="660" w:hanging="544"/>
        <w:spacing w:after="0"/>
        <w:tabs>
          <w:tab w:leader="none" w:pos="66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w:t>
      </w:r>
    </w:p>
    <w:p>
      <w:pPr>
        <w:spacing w:after="0" w:line="135" w:lineRule="exact"/>
        <w:rPr>
          <w:sz w:val="20"/>
          <w:szCs w:val="20"/>
          <w:color w:val="auto"/>
        </w:rPr>
      </w:pPr>
    </w:p>
    <w:p>
      <w:pPr>
        <w:ind w:left="1860" w:right="20" w:hanging="543"/>
        <w:spacing w:after="0" w:line="258"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these articles and the terms of which the shares are allotted, the Board may make calls on the members in respect of any moneys unpaid on their shares (whether in respect of nominal amount or premium) and not payable on a date fixed by or in accordance with the terms of issue. Each member shall (subject to receiving at least 14 clear days’ notice specifying when and where payment is to be made) pay to the Company as required by the notice the amount called on the member’s shares. A call may be revoked or postponed as the Board may decide.</w:t>
      </w:r>
    </w:p>
    <w:p>
      <w:pPr>
        <w:spacing w:after="0" w:line="88"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call may be made payable in one sum or by instalments and shall be deemed to be made at the time when the resolution of the Board authorising that call is passed.</w:t>
      </w:r>
    </w:p>
    <w:p>
      <w:pPr>
        <w:spacing w:after="0" w:line="67"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on whom a call is made shall remain liable for it notwithstanding the subsequent transfer of the share in respect of which the call is made.</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for the payment of all calls in respect of that share.</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on calls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call is not paid before or on the due date for payment, the person from whom it is due shall pay interest on the amount unpaid, from the due date for payment to the date of actual payment, at such rate as the Board may decide, but the Board may waive payment of the interest, wholly or in part.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Sums treated as calls</w:t>
      </w:r>
    </w:p>
    <w:p>
      <w:pPr>
        <w:spacing w:after="0" w:line="121" w:lineRule="exact"/>
        <w:rPr>
          <w:rFonts w:ascii="Times New Roman" w:cs="Times New Roman" w:eastAsia="Times New Roman" w:hAnsi="Times New Roman"/>
          <w:sz w:val="18"/>
          <w:szCs w:val="18"/>
          <w:b w:val="1"/>
          <w:bCs w:val="1"/>
          <w:color w:val="auto"/>
        </w:rPr>
      </w:pPr>
    </w:p>
    <w:p>
      <w:pPr>
        <w:jc w:val="both"/>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 which by the terms of allotment of a share is payable on allotment, or at a fixed time, or by instalments at fixed times, whether in respect of nominal value or premium, shall for all purposes of these articles be deemed to be a call duly made and payable on the date or dates fixed for payment and, in case of non-payment, these articles shall apply as if that sum had become due and payable by virtue of a call.</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differentiate</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any allotment of shares the Board may make arrangements for a difference between the allottees or holders of the shares in the amounts and times of payment of calls on their shares.</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calls in advance</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if it thinks fit, receive all or any part of the moneys payable on a share beyond the sum actually called up on it if the holder is willing to make payment in advance and, on any moneys so paid in advance, may (until they would otherwise be due) pay interest at such rate as may be agreed between the Board and the member paying the sum in advance.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B-39</w:t>
      </w:r>
    </w:p>
    <w:p>
      <w:pPr>
        <w:sectPr>
          <w:pgSz w:w="11900" w:h="16838" w:orient="portrait"/>
          <w:cols w:equalWidth="0" w:num="1">
            <w:col w:w="11120"/>
          </w:cols>
          <w:pgMar w:left="320" w:top="454" w:right="45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52" w:lineRule="exact"/>
        <w:rPr>
          <w:sz w:val="20"/>
          <w:szCs w:val="20"/>
          <w:color w:val="auto"/>
        </w:rPr>
      </w:pPr>
    </w:p>
    <w:p>
      <w:pPr>
        <w:ind w:left="660" w:hanging="544"/>
        <w:spacing w:after="0"/>
        <w:tabs>
          <w:tab w:leader="none" w:pos="66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unpaid calls</w:t>
      </w:r>
    </w:p>
    <w:p>
      <w:pPr>
        <w:spacing w:after="0" w:line="134" w:lineRule="exact"/>
        <w:rPr>
          <w:rFonts w:ascii="Times New Roman" w:cs="Times New Roman" w:eastAsia="Times New Roman" w:hAnsi="Times New Roman"/>
          <w:sz w:val="18"/>
          <w:szCs w:val="18"/>
          <w:b w:val="1"/>
          <w:bCs w:val="1"/>
          <w:color w:val="auto"/>
        </w:rPr>
      </w:pPr>
    </w:p>
    <w:p>
      <w:pPr>
        <w:jc w:val="both"/>
        <w:ind w:left="1860" w:right="320" w:hanging="543"/>
        <w:spacing w:after="0" w:line="266"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whole or any part of any call or instalment remains unpaid on any share after the due date for payment, the Board may give a notice to the holder requiring the holder to pay so much of the call or instalment as remains unpaid, together with any accrued interest.</w:t>
      </w:r>
    </w:p>
    <w:p>
      <w:pPr>
        <w:spacing w:after="0" w:line="81" w:lineRule="exact"/>
        <w:rPr>
          <w:rFonts w:ascii="Times New Roman" w:cs="Times New Roman" w:eastAsia="Times New Roman" w:hAnsi="Times New Roman"/>
          <w:sz w:val="18"/>
          <w:szCs w:val="18"/>
          <w:color w:val="auto"/>
        </w:rPr>
      </w:pPr>
    </w:p>
    <w:p>
      <w:pPr>
        <w:ind w:left="1860" w:right="340" w:hanging="543"/>
        <w:spacing w:after="0" w:line="266"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state a further day, being not less than 14 clear days from the date of the notice, on or before which, and the place where, payment is to be made and shall state that, in the event of non-payment on or before the day and at the place appointed, the share in respect of which the call was made or instalment is payable will be liable to be forfeited.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a surrender of any share liable to be forfeited.</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on non-compliance with notice</w:t>
      </w:r>
    </w:p>
    <w:p>
      <w:pPr>
        <w:spacing w:after="0" w:line="134" w:lineRule="exact"/>
        <w:rPr>
          <w:rFonts w:ascii="Times New Roman" w:cs="Times New Roman" w:eastAsia="Times New Roman" w:hAnsi="Times New Roman"/>
          <w:sz w:val="18"/>
          <w:szCs w:val="18"/>
          <w:b w:val="1"/>
          <w:bCs w:val="1"/>
          <w:color w:val="auto"/>
        </w:rPr>
      </w:pPr>
    </w:p>
    <w:p>
      <w:pPr>
        <w:ind w:left="1860" w:right="100" w:hanging="543"/>
        <w:spacing w:after="0" w:line="261"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 notice given under article 112 are not complied with, any share in respect of which it was given may at any time thereafter (before the payment required by the notice is made) be forfeited by a resolution of the Board. The forfeiture shall include all dividends declared and other moneys payable in respect of the forfeited share and not actually paid before the forfeiture.</w:t>
      </w:r>
    </w:p>
    <w:p>
      <w:pPr>
        <w:spacing w:after="0" w:line="85" w:lineRule="exact"/>
        <w:rPr>
          <w:rFonts w:ascii="Times New Roman" w:cs="Times New Roman" w:eastAsia="Times New Roman" w:hAnsi="Times New Roman"/>
          <w:sz w:val="18"/>
          <w:szCs w:val="18"/>
          <w:color w:val="auto"/>
        </w:rPr>
      </w:pPr>
    </w:p>
    <w:p>
      <w:pPr>
        <w:ind w:left="1860" w:hanging="543"/>
        <w:spacing w:after="0" w:line="289" w:lineRule="auto"/>
        <w:tabs>
          <w:tab w:leader="none" w:pos="1860"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share is forfeited, notice of the forfeiture shall be given to the person who was the holder of the share or (as the case may be) the person entitled to the share by transmission, and an entry that notice of the forfeiture has been given, with the relevant date, shall be made in the register; but no forfeiture shall be invalidated by any omission to give such notice or to make such entry.</w:t>
      </w:r>
    </w:p>
    <w:p>
      <w:pPr>
        <w:spacing w:after="0" w:line="302" w:lineRule="exact"/>
        <w:rPr>
          <w:rFonts w:ascii="Times New Roman" w:cs="Times New Roman" w:eastAsia="Times New Roman" w:hAnsi="Times New Roman"/>
          <w:sz w:val="17"/>
          <w:szCs w:val="17"/>
          <w:color w:val="auto"/>
        </w:rPr>
      </w:pPr>
    </w:p>
    <w:p>
      <w:pPr>
        <w:ind w:left="660" w:hanging="544"/>
        <w:spacing w:after="0"/>
        <w:tabs>
          <w:tab w:leader="none" w:pos="66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annul forfeiture or surrender</w:t>
      </w:r>
    </w:p>
    <w:p>
      <w:pPr>
        <w:spacing w:after="0" w:line="121" w:lineRule="exact"/>
        <w:rPr>
          <w:rFonts w:ascii="Times New Roman" w:cs="Times New Roman" w:eastAsia="Times New Roman" w:hAnsi="Times New Roman"/>
          <w:sz w:val="18"/>
          <w:szCs w:val="18"/>
          <w:b w:val="1"/>
          <w:bCs w:val="1"/>
          <w:color w:val="auto"/>
        </w:rPr>
      </w:pPr>
    </w:p>
    <w:p>
      <w:pPr>
        <w:jc w:val="both"/>
        <w:ind w:left="660" w:right="16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Board may, at any time before the forfeited or surrendered share has been sold, re-allotted or otherwise disposed of, annul the forfeiture or surrender upon payment of all calls and interest due on or incurred in respect of the share and on such further conditions (if any) as it thinks fit.</w:t>
      </w:r>
    </w:p>
    <w:p>
      <w:pPr>
        <w:spacing w:after="0" w:line="28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 of forfeited or surrendered shares</w:t>
      </w:r>
    </w:p>
    <w:p>
      <w:pPr>
        <w:spacing w:after="0" w:line="134" w:lineRule="exact"/>
        <w:rPr>
          <w:rFonts w:ascii="Times New Roman" w:cs="Times New Roman" w:eastAsia="Times New Roman" w:hAnsi="Times New Roman"/>
          <w:sz w:val="18"/>
          <w:szCs w:val="18"/>
          <w:b w:val="1"/>
          <w:bCs w:val="1"/>
          <w:color w:val="auto"/>
        </w:rPr>
      </w:pPr>
    </w:p>
    <w:p>
      <w:pPr>
        <w:ind w:left="1860" w:right="260" w:hanging="543"/>
        <w:spacing w:after="0" w:line="256"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which is forfeited or surrendered shall become the property of the Company and (subject to the Statutes) may be sold, re-allotted or otherwise disposed of, upon such terms and in such manner as the Board shall decide either to the person who was before the forfeiture the holder of the share or to any other person and whether with or without all or any part of the amount previously paid up on the share being credited as so paid up. The Board may for the purposes of a disposal authorise some person to transfer the forfeited or surrendered share to, or in accordance with the directions of, any person to whom the same has been disposed of.</w:t>
      </w:r>
    </w:p>
    <w:p>
      <w:pPr>
        <w:spacing w:after="0" w:line="92" w:lineRule="exact"/>
        <w:rPr>
          <w:rFonts w:ascii="Times New Roman" w:cs="Times New Roman" w:eastAsia="Times New Roman" w:hAnsi="Times New Roman"/>
          <w:sz w:val="18"/>
          <w:szCs w:val="18"/>
          <w:color w:val="auto"/>
        </w:rPr>
      </w:pPr>
    </w:p>
    <w:p>
      <w:pPr>
        <w:ind w:left="1860" w:hanging="543"/>
        <w:spacing w:after="0" w:line="256" w:lineRule="auto"/>
        <w:tabs>
          <w:tab w:leader="none" w:pos="186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statutory declaration by a director or the secretary that a share has been forfeited or surrendered on a specified date shall, as against all persons claiming to be entitled to the share, be conclusive evidence of the facts stated in it and shall (subject to the execution of any necessary transfer) constitute a good title to the share. The person to whom the share has been disposed of shall not be bound to see to the application of the consideration for the disposal (if any) nor shall that person’s title to the share be affected by any irregularity in or invalidity of the proceedings connected with the forfeiture, surrender, sale, re-allotment or disposal of the share.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B-40</w:t>
      </w:r>
    </w:p>
    <w:p>
      <w:pPr>
        <w:sectPr>
          <w:pgSz w:w="11900" w:h="16838" w:orient="portrait"/>
          <w:cols w:equalWidth="0" w:num="1">
            <w:col w:w="11120"/>
          </w:cols>
          <w:pgMar w:left="320" w:top="454" w:right="45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Arrears to be paid notwithstanding forfeiture or surrender</w:t>
      </w:r>
    </w:p>
    <w:p>
      <w:pPr>
        <w:spacing w:after="0" w:line="121"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any of whose shares have been forfeited or surrendered shall cease to be a member in respect of the forfeited or surrendered share and shall, in the case of shares held in certificated form, surrender to the Company for cancellation any certificate for the share forfeited or surrendered, but shall remain liable (unless payment is waived in whole or in part by the Board) to pay to the Company all moneys payable by that person on or in respect of that share at the time of forfeiture or surrender, together with interest from the time of forfeiture or surrender until payment at such rate as the Board shall decide, in the same manner as if the share had not been forfeited or surrendered. The Board may waive payment of interest wholly or in part and may enforce payment, without any reduction or allowance for the value of the shares at the time of forfeiture or for any consideration received on their disposal. Such a person shall also be liable to satisfy all the claims and demands (if any) which the Company might have enforced in respect of the share at the time of forfeiture or surrender. No deduction or allowance shall be made for the value of the share at the time of forfeiture or surrender or for any consideration received on its disposal.</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52" w:lineRule="exact"/>
        <w:rPr>
          <w:sz w:val="20"/>
          <w:szCs w:val="20"/>
          <w:color w:val="auto"/>
        </w:rPr>
      </w:pPr>
    </w:p>
    <w:p>
      <w:pPr>
        <w:ind w:left="660" w:hanging="544"/>
        <w:spacing w:after="0"/>
        <w:tabs>
          <w:tab w:leader="none" w:pos="66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ind w:left="1860" w:right="100" w:hanging="543"/>
        <w:spacing w:after="0" w:line="282" w:lineRule="auto"/>
        <w:tabs>
          <w:tab w:leader="none" w:pos="18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exercise the powers conferred by the Statutes with regard to having official seals and those powers shall be vested in the Board.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provide for the safe custody of every seal of the Company.</w:t>
      </w:r>
    </w:p>
    <w:p>
      <w:pPr>
        <w:spacing w:after="0" w:line="130"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seal shall be used only by the authority of the Board or a duly authorised committee but that authority may consist of an instruction or approval given in hard copy form or in electronic form by a majority of the directors or of the members of a duly authorised committee.</w:t>
      </w:r>
    </w:p>
    <w:p>
      <w:pPr>
        <w:spacing w:after="0" w:line="81" w:lineRule="exact"/>
        <w:rPr>
          <w:rFonts w:ascii="Times New Roman" w:cs="Times New Roman" w:eastAsia="Times New Roman" w:hAnsi="Times New Roman"/>
          <w:sz w:val="18"/>
          <w:szCs w:val="18"/>
          <w:color w:val="auto"/>
        </w:rPr>
      </w:pPr>
    </w:p>
    <w:p>
      <w:pPr>
        <w:jc w:val="both"/>
        <w:ind w:left="1860" w:hanging="543"/>
        <w:spacing w:after="0" w:line="266" w:lineRule="auto"/>
        <w:tabs>
          <w:tab w:leader="none" w:pos="18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who shall sign any instrument to which a seal is applied, either generally or in relation to a particular instrument or type of instrument, and may also determine, either generally or in any particular case, that such signatures shall be dispensed with or affixed by some mechanical means.</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decided by the Board: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shares, debentures or other securities of the Company issued under seal need not be signed; and</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instrument to which a seal is applied shall be signed by at least one director and the secretary or by at least two directors or by one director in the presence of a witness who attests the signature.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2" w:lineRule="exact"/>
        <w:rPr>
          <w:sz w:val="20"/>
          <w:szCs w:val="20"/>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dividends by the Company</w:t>
      </w:r>
    </w:p>
    <w:p>
      <w:pPr>
        <w:spacing w:after="0" w:line="121" w:lineRule="exact"/>
        <w:rPr>
          <w:rFonts w:ascii="Times New Roman" w:cs="Times New Roman" w:eastAsia="Times New Roman" w:hAnsi="Times New Roman"/>
          <w:sz w:val="18"/>
          <w:szCs w:val="18"/>
          <w:b w:val="1"/>
          <w:bCs w:val="1"/>
          <w:color w:val="auto"/>
        </w:rPr>
      </w:pPr>
    </w:p>
    <w:p>
      <w:pPr>
        <w:jc w:val="both"/>
        <w:ind w:left="660" w:right="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Subject to the provisions of the 2006 Act, the Company may, by ordinary resolution, declare a dividend to be paid to the members, according to their respective rights, and may fix the time for payment of such dividend, but no dividend shall exceed the amount recommended by the Board.</w:t>
      </w:r>
    </w:p>
    <w:p>
      <w:pPr>
        <w:spacing w:after="0" w:line="28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and interim dividends</w:t>
      </w:r>
    </w:p>
    <w:p>
      <w:pPr>
        <w:spacing w:after="0" w:line="121" w:lineRule="exact"/>
        <w:rPr>
          <w:rFonts w:ascii="Times New Roman" w:cs="Times New Roman" w:eastAsia="Times New Roman" w:hAnsi="Times New Roman"/>
          <w:sz w:val="18"/>
          <w:szCs w:val="18"/>
          <w:b w:val="1"/>
          <w:bCs w:val="1"/>
          <w:color w:val="auto"/>
        </w:rPr>
      </w:pPr>
    </w:p>
    <w:p>
      <w:pPr>
        <w:ind w:left="6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2006 Act, the Board may pay interim dividends and may also pay any dividend payable at a fixed rate at intervals settled by the Board whenever the financial position of the Company, in the opinion of the Board, justifies its payment. If the Board acts in good faith, none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B-41</w:t>
      </w:r>
    </w:p>
    <w:p>
      <w:pPr>
        <w:sectPr>
          <w:pgSz w:w="11900" w:h="16838" w:orient="portrait"/>
          <w:cols w:equalWidth="0" w:num="1">
            <w:col w:w="11080"/>
          </w:cols>
          <w:pgMar w:left="320" w:top="454" w:right="49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directors shall incur any liability to the holders of shares conferring preferred rights for any loss such holders may suffer in consequence of the payment of an interim dividend on any shares having non-preferred or deferred rights.</w:t>
      </w:r>
    </w:p>
    <w:p>
      <w:pPr>
        <w:spacing w:after="0" w:line="306" w:lineRule="exact"/>
        <w:rPr>
          <w:sz w:val="20"/>
          <w:szCs w:val="20"/>
          <w:color w:val="auto"/>
        </w:rPr>
      </w:pPr>
    </w:p>
    <w:p>
      <w:pPr>
        <w:ind w:left="660" w:hanging="544"/>
        <w:spacing w:after="0"/>
        <w:tabs>
          <w:tab w:leader="none" w:pos="660" w:val="left"/>
        </w:tabs>
        <w:numPr>
          <w:ilvl w:val="0"/>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and currency of dividends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insofar as the rights attaching to, or the terms of issue of, any share otherwise provide:</w:t>
      </w:r>
    </w:p>
    <w:p>
      <w:pPr>
        <w:spacing w:after="0" w:line="130" w:lineRule="exact"/>
        <w:rPr>
          <w:rFonts w:ascii="Times New Roman" w:cs="Times New Roman" w:eastAsia="Times New Roman" w:hAnsi="Times New Roman"/>
          <w:sz w:val="18"/>
          <w:szCs w:val="18"/>
          <w:color w:val="auto"/>
        </w:rPr>
      </w:pPr>
    </w:p>
    <w:p>
      <w:pPr>
        <w:ind w:left="2520" w:right="40" w:hanging="649"/>
        <w:spacing w:after="0" w:line="266" w:lineRule="auto"/>
        <w:tabs>
          <w:tab w:leader="none" w:pos="252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shall be declared and paid according to the amounts paid up on the shares in respect of which the dividend is paid, but no amount paid up on a share in advance of calls shall be treated for the purposes of this article as paid up on the share;</w:t>
      </w:r>
    </w:p>
    <w:p>
      <w:pPr>
        <w:spacing w:after="0" w:line="79" w:lineRule="exact"/>
        <w:rPr>
          <w:rFonts w:ascii="Times New Roman" w:cs="Times New Roman" w:eastAsia="Times New Roman" w:hAnsi="Times New Roman"/>
          <w:sz w:val="18"/>
          <w:szCs w:val="18"/>
          <w:color w:val="auto"/>
        </w:rPr>
      </w:pPr>
    </w:p>
    <w:p>
      <w:pPr>
        <w:ind w:left="2520" w:right="60" w:hanging="649"/>
        <w:spacing w:after="0" w:line="284" w:lineRule="auto"/>
        <w:tabs>
          <w:tab w:leader="none" w:pos="252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dividends shall be apportioned and paid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paid up on the shares during any portion or portions of the period in respect of which the dividend is paid; and</w:t>
      </w:r>
    </w:p>
    <w:p>
      <w:pPr>
        <w:spacing w:after="0" w:line="6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or paid in any currency.</w:t>
      </w:r>
    </w:p>
    <w:p>
      <w:pPr>
        <w:spacing w:after="0" w:line="130"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agree with any member that dividends which may at any time or from time to time be declared or become due on that member’s shares in one currency shall be paid or satisfied in another and may agree the basis of conversion to be applied and how and when the amount to be paid in the other currency shall be calculated and paid and for the Company or any other person to bear any costs involved.</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p>
    <w:p>
      <w:pPr>
        <w:spacing w:after="0" w:line="134" w:lineRule="exact"/>
        <w:rPr>
          <w:rFonts w:ascii="Times New Roman" w:cs="Times New Roman" w:eastAsia="Times New Roman" w:hAnsi="Times New Roman"/>
          <w:sz w:val="18"/>
          <w:szCs w:val="18"/>
          <w:b w:val="1"/>
          <w:bCs w:val="1"/>
          <w:color w:val="auto"/>
        </w:rPr>
      </w:pPr>
    </w:p>
    <w:p>
      <w:pPr>
        <w:ind w:left="1860" w:right="160" w:hanging="543"/>
        <w:spacing w:after="0" w:line="261" w:lineRule="auto"/>
        <w:tabs>
          <w:tab w:leader="none" w:pos="186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pay any dividend or other sum payable in respect of a share by such method as the Board may decide. The Board may decide to use different methods of payment for different holders or groups of holders. Without limiting any other method of payment which the Board may decide upon, the Board may decide that payment can be made, wholly or partly and exclusively or optionally:</w:t>
      </w:r>
    </w:p>
    <w:p>
      <w:pPr>
        <w:spacing w:after="0" w:line="85"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dividend warrant payable to the holder (or, in the case of joint holders, the holder whose name stands first in the register in respect of the relevant share) or to such other person as the holder (or, in the case of joint holders, all the joint holders) may notify to the Company for the purpose; or</w:t>
      </w:r>
    </w:p>
    <w:p>
      <w:pPr>
        <w:spacing w:after="0" w:line="81" w:lineRule="exact"/>
        <w:rPr>
          <w:rFonts w:ascii="Times New Roman" w:cs="Times New Roman" w:eastAsia="Times New Roman" w:hAnsi="Times New Roman"/>
          <w:sz w:val="18"/>
          <w:szCs w:val="18"/>
          <w:color w:val="auto"/>
        </w:rPr>
      </w:pPr>
    </w:p>
    <w:p>
      <w:pPr>
        <w:jc w:val="both"/>
        <w:ind w:left="2520" w:right="100" w:hanging="649"/>
        <w:spacing w:after="0" w:line="266" w:lineRule="auto"/>
        <w:tabs>
          <w:tab w:leader="none" w:pos="252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bank or other funds transfer system or by such other electronic means as the Board may decide (including, in the case of an uncertificated share, a relevant system) to such account as the holder (or, in the case of joint holders, all the joint holders) may notify to the Company for the purpose; or</w:t>
      </w:r>
    </w:p>
    <w:p>
      <w:pPr>
        <w:spacing w:after="0" w:line="81" w:lineRule="exact"/>
        <w:rPr>
          <w:rFonts w:ascii="Times New Roman" w:cs="Times New Roman" w:eastAsia="Times New Roman" w:hAnsi="Times New Roman"/>
          <w:sz w:val="18"/>
          <w:szCs w:val="18"/>
          <w:color w:val="auto"/>
        </w:rPr>
      </w:pPr>
    </w:p>
    <w:p>
      <w:pPr>
        <w:ind w:left="2520" w:right="400" w:hanging="649"/>
        <w:spacing w:after="0" w:line="282" w:lineRule="auto"/>
        <w:tabs>
          <w:tab w:leader="none" w:pos="2520" w:val="left"/>
        </w:tabs>
        <w:numPr>
          <w:ilvl w:val="2"/>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other way as may be agreed between the Company and the holder (or, in the case of joint holders, all such holders).</w:t>
      </w:r>
    </w:p>
    <w:p>
      <w:pPr>
        <w:spacing w:after="0" w:line="67"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decides that any dividend or other sum payable in respect of a share will be made exclusively by one or more of the methods referred to in paragraph (a)(ii) above to an account, but no such account is nominated by the holder (or, in case of joint holders, all the joint holders) or if an attempted payment into a nominated account is rejected or refunded, the Company may treat that dividend or other sum payable as unclaimed.</w:t>
      </w:r>
    </w:p>
    <w:p>
      <w:pPr>
        <w:spacing w:after="0" w:line="85" w:lineRule="exact"/>
        <w:rPr>
          <w:rFonts w:ascii="Times New Roman" w:cs="Times New Roman" w:eastAsia="Times New Roman" w:hAnsi="Times New Roman"/>
          <w:sz w:val="18"/>
          <w:szCs w:val="18"/>
          <w:color w:val="auto"/>
        </w:rPr>
      </w:pPr>
    </w:p>
    <w:p>
      <w:pPr>
        <w:ind w:left="1860" w:right="20" w:hanging="543"/>
        <w:spacing w:after="0" w:line="289" w:lineRule="auto"/>
        <w:tabs>
          <w:tab w:leader="none" w:pos="1860" w:val="left"/>
        </w:tabs>
        <w:numPr>
          <w:ilvl w:val="1"/>
          <w:numId w:val="5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cheque or dividend warrant may be sent by post to the registered address of the holder (or, in the case of joint holders, to the registered address of that person whose name stands first in the register in respect of the relevant share) or to such other address as the holder (or, in the case of joint holders, all the joint holders) may notify to the Company for the purpose.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B-42</w:t>
      </w:r>
    </w:p>
    <w:p>
      <w:pPr>
        <w:sectPr>
          <w:pgSz w:w="11900" w:h="16838" w:orient="portrait"/>
          <w:cols w:equalWidth="0" w:num="1">
            <w:col w:w="11100"/>
          </w:cols>
          <w:pgMar w:left="320" w:top="454" w:right="47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right="60" w:hanging="543"/>
        <w:spacing w:after="0" w:line="261" w:lineRule="auto"/>
        <w:tabs>
          <w:tab w:leader="none" w:pos="18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cheque or warrant is sent, and payment in any other way is made, at the risk of the person or persons entitled to it and the Company will not be responsible for any sum lost or delayed when it has sent or transmitted the sum in accordance with these articles. Clearance of a cheque or warrant or transmission of funds through a bank or other funds transfer system or by such other electronic means as is permitted by these articles shall be a good discharge to the Company.</w:t>
      </w:r>
    </w:p>
    <w:p>
      <w:pPr>
        <w:spacing w:after="0" w:line="85"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holder or other person jointly entitled to any share may give an effective receipt for any dividend or other sum paid in respect of the share.</w:t>
      </w:r>
    </w:p>
    <w:p>
      <w:pPr>
        <w:spacing w:after="0" w:line="67" w:lineRule="exact"/>
        <w:rPr>
          <w:rFonts w:ascii="Times New Roman" w:cs="Times New Roman" w:eastAsia="Times New Roman" w:hAnsi="Times New Roman"/>
          <w:sz w:val="18"/>
          <w:szCs w:val="18"/>
          <w:color w:val="auto"/>
        </w:rPr>
      </w:pPr>
    </w:p>
    <w:p>
      <w:pPr>
        <w:ind w:left="1860" w:right="520" w:hanging="543"/>
        <w:spacing w:after="0" w:line="261" w:lineRule="auto"/>
        <w:tabs>
          <w:tab w:leader="none" w:pos="186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distribution or other sum payable in respect of any share may be paid to a person or persons entitled by transmission to that share as if that person or those persons were the holder or joint holders of that share and that person’s address (or the address of the first named of two or more persons jointly entitled) noted in the register were the registered address.</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not to bear interest</w:t>
      </w:r>
    </w:p>
    <w:p>
      <w:pPr>
        <w:spacing w:after="0" w:line="121"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dividend or other moneys payable by the Company on or in respect of any share shall bear interest as against the Company unless otherwise provided by the rights attached to the share.</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or debts may be deducted from dividends</w:t>
      </w:r>
    </w:p>
    <w:p>
      <w:pPr>
        <w:spacing w:after="0" w:line="121"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deduct from any dividend or other moneys payable to any person (either alone or jointly with another) on or in respect of a share all such sums as may be due from that person (either alone or jointly with another) to the Company on account of calls or otherwise in relation to shares of the Company.</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Unclaimed dividends etc.</w:t>
      </w:r>
    </w:p>
    <w:p>
      <w:pPr>
        <w:spacing w:after="0" w:line="134" w:lineRule="exact"/>
        <w:rPr>
          <w:rFonts w:ascii="Times New Roman" w:cs="Times New Roman" w:eastAsia="Times New Roman" w:hAnsi="Times New Roman"/>
          <w:sz w:val="18"/>
          <w:szCs w:val="18"/>
          <w:b w:val="1"/>
          <w:bCs w:val="1"/>
          <w:color w:val="auto"/>
        </w:rPr>
      </w:pPr>
    </w:p>
    <w:p>
      <w:pPr>
        <w:ind w:left="1860" w:right="140" w:hanging="543"/>
        <w:spacing w:after="0" w:line="266" w:lineRule="auto"/>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unclaimed dividends, interest or other sums payable may be invested or otherwise made use of by the Board for the benefit of the Company until claimed. All dividends and any other such monies unclaimed for a period of 10 years after having been declared shall be forfeited and cease to remain owing by the Company.</w:t>
      </w:r>
    </w:p>
    <w:p>
      <w:pPr>
        <w:spacing w:after="0" w:line="81"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exercises its power of sale in accordance with article 144, all dividends and other such monies payable on that share shall be forfeited and cease to remain owing by the Company.</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unclaimed dividend, interest or other sum payable by the Company on or in respect of any share into a separate account shall not constitute the Company a trustee in respect of it.</w:t>
      </w:r>
    </w:p>
    <w:p>
      <w:pPr>
        <w:spacing w:after="0" w:line="306" w:lineRule="exact"/>
        <w:rPr>
          <w:rFonts w:ascii="Times New Roman" w:cs="Times New Roman" w:eastAsia="Times New Roman" w:hAnsi="Times New Roman"/>
          <w:sz w:val="18"/>
          <w:szCs w:val="18"/>
          <w:color w:val="auto"/>
        </w:rPr>
      </w:pPr>
    </w:p>
    <w:p>
      <w:pPr>
        <w:ind w:left="660" w:right="8920" w:hanging="544"/>
        <w:spacing w:after="0" w:line="385" w:lineRule="auto"/>
        <w:tabs>
          <w:tab w:leader="none" w:pos="649"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Uncashed dividends </w:t>
      </w:r>
      <w:r>
        <w:rPr>
          <w:rFonts w:ascii="Times New Roman" w:cs="Times New Roman" w:eastAsia="Times New Roman" w:hAnsi="Times New Roman"/>
          <w:sz w:val="18"/>
          <w:szCs w:val="18"/>
          <w:color w:val="auto"/>
        </w:rPr>
        <w:t>If:</w:t>
      </w:r>
    </w:p>
    <w:p>
      <w:pPr>
        <w:spacing w:after="0" w:line="1" w:lineRule="exact"/>
        <w:rPr>
          <w:rFonts w:ascii="Times New Roman" w:cs="Times New Roman" w:eastAsia="Times New Roman" w:hAnsi="Times New Roman"/>
          <w:sz w:val="18"/>
          <w:szCs w:val="18"/>
          <w:b w:val="1"/>
          <w:bCs w:val="1"/>
          <w:color w:val="auto"/>
        </w:rPr>
      </w:pPr>
    </w:p>
    <w:p>
      <w:pPr>
        <w:ind w:left="2520" w:hanging="649"/>
        <w:spacing w:after="0" w:line="261"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for a dividend or other sum payable in respect of a share sent by the Company to the person entitled to it in accordance with these articles is left uncashed or is returned to the Company or a payment has failed (including where the payment has been rejected or refunded) and, after reasonable enquiries, the Company is unable to establish any new address or, with respect to a payment to be made by a funds transfer system, a new account, for that person; or</w:t>
      </w:r>
    </w:p>
    <w:p>
      <w:pPr>
        <w:spacing w:after="0" w:line="85" w:lineRule="exact"/>
        <w:rPr>
          <w:rFonts w:ascii="Times New Roman" w:cs="Times New Roman" w:eastAsia="Times New Roman" w:hAnsi="Times New Roman"/>
          <w:sz w:val="18"/>
          <w:szCs w:val="18"/>
          <w:color w:val="auto"/>
        </w:rPr>
      </w:pPr>
    </w:p>
    <w:p>
      <w:pPr>
        <w:ind w:left="2520" w:right="60" w:hanging="649"/>
        <w:spacing w:after="0" w:line="282" w:lineRule="auto"/>
        <w:tabs>
          <w:tab w:leader="none" w:pos="2520" w:val="left"/>
        </w:tabs>
        <w:numPr>
          <w:ilvl w:val="2"/>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 payment is left uncashed or returned to the Company or fails (including where the payment has been rejected or refunded) on two consecutive occasions,</w:t>
      </w:r>
    </w:p>
    <w:p>
      <w:pPr>
        <w:spacing w:after="0" w:line="54"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the Company shall not be obliged to send any dividends or other sums payable in respect of that share to that person until that person notifies the Company of an address or, where the payment is to be made by a funds transfer system, details of the account, to be used for the purpose.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B-43</w:t>
      </w:r>
    </w:p>
    <w:p>
      <w:pPr>
        <w:sectPr>
          <w:pgSz w:w="11900" w:h="16838" w:orient="portrait"/>
          <w:cols w:equalWidth="0" w:num="1">
            <w:col w:w="11120"/>
          </w:cols>
          <w:pgMar w:left="320" w:top="454"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b w:val="1"/>
          <w:bCs w:val="1"/>
          <w:i w:val="1"/>
          <w:iCs w:val="1"/>
          <w:color w:val="auto"/>
        </w:rPr>
        <w:t>in specie</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66" w:lineRule="auto"/>
        <w:tabs>
          <w:tab w:leader="none" w:pos="18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 the authority of an ordinary resolution of the Company and on the recommendation of the Board, direct that payment of any dividend may be satisfied wholly or in part by the distribution of specific assets (and in particular of paid up shares or debentures of any other company).</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with the distribution, the Board may settle the difficulty as it thinks fit and, in particular, may</w:t>
      </w:r>
    </w:p>
    <w:p>
      <w:pPr>
        <w:spacing w:after="0" w:line="27" w:lineRule="exact"/>
        <w:rPr>
          <w:rFonts w:ascii="Times New Roman" w:cs="Times New Roman" w:eastAsia="Times New Roman" w:hAnsi="Times New Roman"/>
          <w:sz w:val="18"/>
          <w:szCs w:val="18"/>
          <w:color w:val="auto"/>
        </w:rPr>
      </w:pPr>
    </w:p>
    <w:p>
      <w:pPr>
        <w:ind w:left="2080" w:hanging="223"/>
        <w:spacing w:after="0"/>
        <w:tabs>
          <w:tab w:leader="none" w:pos="2080" w:val="left"/>
        </w:tabs>
        <w:numPr>
          <w:ilvl w:val="2"/>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certificates (or ignore fractions); (ii) fix the value for distribution of the specific assets or any part of them;</w:t>
      </w:r>
    </w:p>
    <w:p>
      <w:pPr>
        <w:spacing w:after="0" w:line="9" w:lineRule="exact"/>
        <w:rPr>
          <w:rFonts w:ascii="Times New Roman" w:cs="Times New Roman" w:eastAsia="Times New Roman" w:hAnsi="Times New Roman"/>
          <w:sz w:val="18"/>
          <w:szCs w:val="18"/>
          <w:color w:val="auto"/>
        </w:rPr>
      </w:pPr>
    </w:p>
    <w:p>
      <w:pPr>
        <w:ind w:left="1860" w:right="340" w:hanging="3"/>
        <w:spacing w:after="0" w:line="255" w:lineRule="auto"/>
        <w:tabs>
          <w:tab w:leader="none" w:pos="2175" w:val="left"/>
        </w:tabs>
        <w:numPr>
          <w:ilvl w:val="2"/>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cash payments be made to any members on the basis of the value so fixed in order to secure equality of distribution; or (iv) and vest any of the specific assets in trustees on such trusts for the persons entitled to the dividend as the Board may think fit.</w:t>
      </w:r>
    </w:p>
    <w:p>
      <w:pPr>
        <w:spacing w:after="0" w:line="3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Scrip dividends</w:t>
      </w:r>
    </w:p>
    <w:p>
      <w:pPr>
        <w:spacing w:after="0" w:line="134" w:lineRule="exact"/>
        <w:rPr>
          <w:rFonts w:ascii="Times New Roman" w:cs="Times New Roman" w:eastAsia="Times New Roman" w:hAnsi="Times New Roman"/>
          <w:sz w:val="18"/>
          <w:szCs w:val="18"/>
          <w:b w:val="1"/>
          <w:bCs w:val="1"/>
          <w:color w:val="auto"/>
        </w:rPr>
      </w:pPr>
    </w:p>
    <w:p>
      <w:pPr>
        <w:ind w:left="1860" w:right="120" w:hanging="543"/>
        <w:spacing w:after="0" w:line="289" w:lineRule="auto"/>
        <w:tabs>
          <w:tab w:leader="none" w:pos="1860" w:val="left"/>
        </w:tabs>
        <w:numPr>
          <w:ilvl w:val="1"/>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may, with the authority of an ordinary resolution of the Company, offer any holders of any particular class of shares the right to elect to receive further shares of that class, credited as fully paid, instead of cash in respect of all (or some part) of any dividend specified by the ordinary resolution (a </w:t>
      </w:r>
      <w:r>
        <w:rPr>
          <w:rFonts w:ascii="Times New Roman" w:cs="Times New Roman" w:eastAsia="Times New Roman" w:hAnsi="Times New Roman"/>
          <w:sz w:val="17"/>
          <w:szCs w:val="17"/>
          <w:b w:val="1"/>
          <w:bCs w:val="1"/>
          <w:color w:val="auto"/>
        </w:rPr>
        <w:t>scrip dividend</w:t>
      </w:r>
      <w:r>
        <w:rPr>
          <w:rFonts w:ascii="Times New Roman" w:cs="Times New Roman" w:eastAsia="Times New Roman" w:hAnsi="Times New Roman"/>
          <w:sz w:val="17"/>
          <w:szCs w:val="17"/>
          <w:color w:val="auto"/>
        </w:rPr>
        <w:t>) in accordance with the following provisions of this article.</w:t>
      </w:r>
    </w:p>
    <w:p>
      <w:pPr>
        <w:spacing w:after="0" w:line="63" w:lineRule="exact"/>
        <w:rPr>
          <w:rFonts w:ascii="Times New Roman" w:cs="Times New Roman" w:eastAsia="Times New Roman" w:hAnsi="Times New Roman"/>
          <w:sz w:val="17"/>
          <w:szCs w:val="17"/>
          <w:color w:val="auto"/>
        </w:rPr>
      </w:pPr>
    </w:p>
    <w:p>
      <w:pPr>
        <w:ind w:left="1860" w:right="100" w:hanging="543"/>
        <w:spacing w:after="0" w:line="266"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resolution may specify a particular dividend (whether or not already declared) or may specify all or any dividends declared within a specified period, but such period may not end later than five years after the date of the meeting at which the ordinary resolution is passed.</w:t>
      </w:r>
    </w:p>
    <w:p>
      <w:pPr>
        <w:spacing w:after="0" w:line="81" w:lineRule="exact"/>
        <w:rPr>
          <w:rFonts w:ascii="Times New Roman" w:cs="Times New Roman" w:eastAsia="Times New Roman" w:hAnsi="Times New Roman"/>
          <w:sz w:val="18"/>
          <w:szCs w:val="18"/>
          <w:color w:val="auto"/>
        </w:rPr>
      </w:pPr>
    </w:p>
    <w:p>
      <w:pPr>
        <w:jc w:val="both"/>
        <w:ind w:left="1860" w:right="80" w:hanging="543"/>
        <w:spacing w:after="0" w:line="266"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allotment shall be decided by the Board so that, as nearly as may be considered convenient, the value of the further shares, including any fractional entitlement, is equal to the amount of the cash dividend which would otherwise have been paid (disregarding the amount of any associated tax credit).</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paragraph (c) above the value of the further shares shall be:</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66" w:lineRule="auto"/>
        <w:tabs>
          <w:tab w:leader="none" w:pos="2520" w:val="left"/>
        </w:tabs>
        <w:numPr>
          <w:ilvl w:val="3"/>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final reported per share closing price as quoted for a fully paid share of the relevant class, as shown in the NASDAQ Daily List for the day on which such shares are first quoted “ex” the relevant dividend and the four subsequent dealing days; or</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3"/>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such manner as may be determined by or in accordance with the ordinary resolution.</w:t>
      </w:r>
    </w:p>
    <w:p>
      <w:pPr>
        <w:spacing w:after="0" w:line="130" w:lineRule="exact"/>
        <w:rPr>
          <w:rFonts w:ascii="Times New Roman" w:cs="Times New Roman" w:eastAsia="Times New Roman" w:hAnsi="Times New Roman"/>
          <w:sz w:val="18"/>
          <w:szCs w:val="18"/>
          <w:color w:val="auto"/>
        </w:rPr>
      </w:pPr>
    </w:p>
    <w:p>
      <w:pPr>
        <w:ind w:left="1860" w:right="420" w:hanging="543"/>
        <w:spacing w:after="0" w:line="282"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give notice to the holders of such shares of their rights of election in respect of the scrip dividend and shall specify the procedure to be followed in order to make an election.</w:t>
      </w:r>
    </w:p>
    <w:p>
      <w:pPr>
        <w:spacing w:after="0" w:line="67"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or that part of it in respect of which an election for the scrip dividend is made shall not be paid and instead further shares of the relevant class shall be allotted in accordance with elections duly made and the Board shall capitalise a sum equal to the aggregate nominal amount of the shares to be allotted out of such sums available for the purpose as the Board may consider appropriate.</w:t>
      </w:r>
    </w:p>
    <w:p>
      <w:pPr>
        <w:spacing w:after="0" w:line="83" w:lineRule="exact"/>
        <w:rPr>
          <w:rFonts w:ascii="Times New Roman" w:cs="Times New Roman" w:eastAsia="Times New Roman" w:hAnsi="Times New Roman"/>
          <w:sz w:val="18"/>
          <w:szCs w:val="18"/>
          <w:color w:val="auto"/>
        </w:rPr>
      </w:pPr>
    </w:p>
    <w:p>
      <w:pPr>
        <w:ind w:left="1860" w:hanging="543"/>
        <w:spacing w:after="0" w:line="284"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further shares so allotted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fully paid shares of the same class then in issue except as regards participation in the relevant dividend.</w:t>
      </w:r>
    </w:p>
    <w:p>
      <w:pPr>
        <w:spacing w:after="0" w:line="65"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that the right to elect for any scrip dividend shall not be made available to members resident in any territory where, in the opinion of the Board, compliance with local laws or regulations would be unduly onerous.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B-44</w:t>
      </w:r>
    </w:p>
    <w:p>
      <w:pPr>
        <w:sectPr>
          <w:pgSz w:w="11900" w:h="16838" w:orient="portrait"/>
          <w:cols w:equalWidth="0" w:num="1">
            <w:col w:w="11140"/>
          </w:cols>
          <w:pgMar w:left="320" w:top="454" w:right="4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line="255" w:lineRule="auto"/>
        <w:tabs>
          <w:tab w:leader="none" w:pos="18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do all acts and things as it considers necessary or expedient to give effect to the provisions of a scrip dividend election and the issue of any shares in accordance with the provisions of this article, and may make such provisions as it thinks fit for the case of shares becoming distributable in fractions (including provisions under which, in whole or in part, the benefit of fractional entitlements accrues to the Company rather than to the members concerned). To the extent that the entitlement of any holder of shares in respect of any dividend is less than the value of one new share of the relevant class (as determined for the basis of any scrip dividend) the Board may also from time to time establish or vary a procedure for such entitlement to be accrued and aggregated with any similar entitlement for the purposes of any subsequent scrip dividend.</w:t>
      </w:r>
    </w:p>
    <w:p>
      <w:pPr>
        <w:spacing w:after="0" w:line="94" w:lineRule="exact"/>
        <w:rPr>
          <w:rFonts w:ascii="Times New Roman" w:cs="Times New Roman" w:eastAsia="Times New Roman" w:hAnsi="Times New Roman"/>
          <w:sz w:val="18"/>
          <w:szCs w:val="18"/>
          <w:color w:val="auto"/>
        </w:rPr>
      </w:pPr>
    </w:p>
    <w:p>
      <w:pPr>
        <w:jc w:val="both"/>
        <w:ind w:left="1860" w:right="240" w:hanging="543"/>
        <w:spacing w:after="0" w:line="266" w:lineRule="auto"/>
        <w:tabs>
          <w:tab w:leader="none" w:pos="18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establish or vary a procedure for election mandates, under which a holder of shares may, in respect of any future dividends for which a right of election pursuant to this article is offered, elect to receive shares in lieu of such dividend on the terms of such mandate.</w:t>
      </w:r>
    </w:p>
    <w:p>
      <w:pPr>
        <w:spacing w:after="0" w:line="81" w:lineRule="exact"/>
        <w:rPr>
          <w:rFonts w:ascii="Times New Roman" w:cs="Times New Roman" w:eastAsia="Times New Roman" w:hAnsi="Times New Roman"/>
          <w:sz w:val="18"/>
          <w:szCs w:val="18"/>
          <w:color w:val="auto"/>
        </w:rPr>
      </w:pPr>
    </w:p>
    <w:p>
      <w:pPr>
        <w:ind w:left="1860" w:right="120" w:hanging="543"/>
        <w:spacing w:after="0" w:line="282" w:lineRule="auto"/>
        <w:tabs>
          <w:tab w:leader="none" w:pos="18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not make a scrip dividend available unless the Company has sufficient undistributed profits or reserves to give effect to elections which could be made to receive that scrip dividend.</w:t>
      </w:r>
    </w:p>
    <w:p>
      <w:pPr>
        <w:spacing w:after="0" w:line="67" w:lineRule="exact"/>
        <w:rPr>
          <w:rFonts w:ascii="Times New Roman" w:cs="Times New Roman" w:eastAsia="Times New Roman" w:hAnsi="Times New Roman"/>
          <w:sz w:val="18"/>
          <w:szCs w:val="18"/>
          <w:color w:val="auto"/>
        </w:rPr>
      </w:pPr>
    </w:p>
    <w:p>
      <w:pPr>
        <w:ind w:left="1860" w:hanging="543"/>
        <w:spacing w:after="0" w:line="266" w:lineRule="auto"/>
        <w:tabs>
          <w:tab w:leader="none" w:pos="186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decide at any time before the further shares are allotted that such shares shall not be allotted and pay the relevant dividend in cash instead. Such decision may be made before or after any election has been made by holders of shares in respect of the relevant dividend.</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CAPITALISATION OF PROFITS AND RESERVES</w:t>
      </w:r>
    </w:p>
    <w:p>
      <w:pPr>
        <w:spacing w:after="0" w:line="252" w:lineRule="exact"/>
        <w:rPr>
          <w:sz w:val="20"/>
          <w:szCs w:val="20"/>
          <w:color w:val="auto"/>
        </w:rPr>
      </w:pPr>
    </w:p>
    <w:p>
      <w:pPr>
        <w:ind w:left="660" w:hanging="544"/>
        <w:spacing w:after="0"/>
        <w:tabs>
          <w:tab w:leader="none" w:pos="660" w:val="left"/>
        </w:tabs>
        <w:numPr>
          <w:ilvl w:val="0"/>
          <w:numId w:val="5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 of reserves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with the authority of an ordinary resolution of the Company or, if required by the 2006 Act, a special resolution:</w:t>
      </w:r>
    </w:p>
    <w:p>
      <w:pPr>
        <w:spacing w:after="0" w:line="142" w:lineRule="exact"/>
        <w:rPr>
          <w:rFonts w:ascii="Times New Roman" w:cs="Times New Roman" w:eastAsia="Times New Roman" w:hAnsi="Times New Roman"/>
          <w:sz w:val="17"/>
          <w:szCs w:val="17"/>
          <w:color w:val="auto"/>
        </w:rPr>
      </w:pPr>
    </w:p>
    <w:p>
      <w:pPr>
        <w:ind w:left="2520" w:right="140" w:hanging="649"/>
        <w:spacing w:after="0" w:line="266" w:lineRule="auto"/>
        <w:tabs>
          <w:tab w:leader="none" w:pos="2520" w:val="left"/>
        </w:tabs>
        <w:numPr>
          <w:ilvl w:val="2"/>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resolve to capitalise any sum standing to the credit of any reserve account of the Company (including share premium account and capital redemption reserve) or any sum standing to the credit of profit and loss account not required for the payment of any preferential dividend (whether or not it is available for distribution); and</w:t>
      </w:r>
    </w:p>
    <w:p>
      <w:pPr>
        <w:spacing w:after="0" w:line="81" w:lineRule="exact"/>
        <w:rPr>
          <w:rFonts w:ascii="Times New Roman" w:cs="Times New Roman" w:eastAsia="Times New Roman" w:hAnsi="Times New Roman"/>
          <w:sz w:val="18"/>
          <w:szCs w:val="18"/>
          <w:color w:val="auto"/>
        </w:rPr>
      </w:pPr>
    </w:p>
    <w:p>
      <w:pPr>
        <w:ind w:left="2520" w:hanging="649"/>
        <w:spacing w:after="0" w:line="253" w:lineRule="auto"/>
        <w:tabs>
          <w:tab w:leader="none" w:pos="2520" w:val="left"/>
        </w:tabs>
        <w:numPr>
          <w:ilvl w:val="2"/>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that sum as capital to the holders of Ordinary Shares in proportion to the nominal amount of the ordinary share capital held by them respectively which would entitle them to participate in a distribution of that sum if the Ordinary Shares were fully paid and the sum were then distributable and were distributed by way of dividend and apply that sum on their behalf in paying up in full any shares or debentures of the Company of a nominal amount equal to that sum and allot the shares or debentures credited as fully paid to those members, or as they may direct, in those proportions or in paying up the whole or part of any amounts which are unpaid in respect of any issued shares in the Company held by them respectively, or otherwise deal with such sum as directed by the resolution provided that the share premium account, the capital redemption reserve, any redenomination reserve and any sum not available for distribution in accordance with the Statutes may only be applied in paying up shares to be allotted credited as fully paid up; and</w:t>
      </w:r>
    </w:p>
    <w:p>
      <w:pPr>
        <w:spacing w:after="0" w:line="86"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B-45</w:t>
      </w:r>
    </w:p>
    <w:p>
      <w:pPr>
        <w:sectPr>
          <w:pgSz w:w="11900" w:h="16838" w:orient="portrait"/>
          <w:cols w:equalWidth="0" w:num="1">
            <w:col w:w="11120"/>
          </w:cols>
          <w:pgMar w:left="320" w:top="454" w:right="45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line="255" w:lineRule="auto"/>
        <w:tabs>
          <w:tab w:leader="none" w:pos="186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difficulty arises in respect of any distribution of any capitalised reserve or other sum, the Board may settle the difficulty as it thinks fit to give effect to the capitalisation and in particular may make such provisions as it thinks fit in the case of shares or debentures becoming distributable in fractions (including provisions under which, in whole or in part, the benefit of fractional entitlements accrues to the Company rather than the members concerned) or ignore fractions and may fix the value for distribution of any fully paid up shares or debentures and may determine that cash payments be made to any members on the basis of the value so fixed in order to secure equality of distribution, and may vest any shares or debentures in trustees upon such trusts for the persons entitled to share in the distribution as the Board may think fit.</w:t>
      </w:r>
    </w:p>
    <w:p>
      <w:pPr>
        <w:spacing w:after="0" w:line="94" w:lineRule="exact"/>
        <w:rPr>
          <w:rFonts w:ascii="Times New Roman" w:cs="Times New Roman" w:eastAsia="Times New Roman" w:hAnsi="Times New Roman"/>
          <w:sz w:val="18"/>
          <w:szCs w:val="18"/>
          <w:color w:val="auto"/>
        </w:rPr>
      </w:pPr>
    </w:p>
    <w:p>
      <w:pPr>
        <w:jc w:val="both"/>
        <w:ind w:left="1860" w:right="180" w:hanging="543"/>
        <w:spacing w:after="0" w:line="266" w:lineRule="auto"/>
        <w:tabs>
          <w:tab w:leader="none" w:pos="186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authorise any person to sign on behalf of the persons entitled to share in the distribution a contract for the acceptance by those persons of the shares or debentures to be allotted to them credited as fully paid under a capitalisation and any such contract shall be binding on all those persons.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252" w:lineRule="exact"/>
        <w:rPr>
          <w:sz w:val="20"/>
          <w:szCs w:val="20"/>
          <w:color w:val="auto"/>
        </w:rPr>
      </w:pPr>
    </w:p>
    <w:p>
      <w:pPr>
        <w:ind w:left="660" w:hanging="544"/>
        <w:spacing w:after="0"/>
        <w:tabs>
          <w:tab w:leader="none" w:pos="660"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record dates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line="261"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of these articles, but without prejudice to any rights attached to any shares and subject always to the 2006 Act, the Company or the Board by resolution may fix any date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by reference to which a dividend will be declared or paid or a distribution, allotment or issue made, and that date may be before, on or after the date on which the dividend, distribution, allotment or issue is declared, paid or made.</w:t>
      </w:r>
    </w:p>
    <w:p>
      <w:pPr>
        <w:spacing w:after="0" w:line="85" w:lineRule="exact"/>
        <w:rPr>
          <w:rFonts w:ascii="Times New Roman" w:cs="Times New Roman" w:eastAsia="Times New Roman" w:hAnsi="Times New Roman"/>
          <w:sz w:val="18"/>
          <w:szCs w:val="18"/>
          <w:color w:val="auto"/>
        </w:rPr>
      </w:pPr>
    </w:p>
    <w:p>
      <w:pPr>
        <w:ind w:left="1860" w:right="180" w:hanging="543"/>
        <w:spacing w:after="0" w:line="282" w:lineRule="auto"/>
        <w:tabs>
          <w:tab w:leader="none" w:pos="186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record date being fixed, entitlement to any dividend, distribution, allotment or issue shall be determined by reference to the date on which the dividend is declared or the distribution, allotment or issue is made.</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52" w:lineRule="exact"/>
        <w:rPr>
          <w:sz w:val="20"/>
          <w:szCs w:val="20"/>
          <w:color w:val="auto"/>
        </w:rPr>
      </w:pPr>
    </w:p>
    <w:p>
      <w:pPr>
        <w:ind w:left="660" w:hanging="544"/>
        <w:spacing w:after="0"/>
        <w:tabs>
          <w:tab w:leader="none" w:pos="660" w:val="left"/>
        </w:tabs>
        <w:numPr>
          <w:ilvl w:val="0"/>
          <w:numId w:val="5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records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accounting records of the Company to be kept in accordance with the Statutes.</w:t>
      </w:r>
    </w:p>
    <w:p>
      <w:pPr>
        <w:spacing w:after="0" w:line="130" w:lineRule="exact"/>
        <w:rPr>
          <w:rFonts w:ascii="Times New Roman" w:cs="Times New Roman" w:eastAsia="Times New Roman" w:hAnsi="Times New Roman"/>
          <w:sz w:val="18"/>
          <w:szCs w:val="18"/>
          <w:color w:val="auto"/>
        </w:rPr>
      </w:pPr>
    </w:p>
    <w:p>
      <w:pPr>
        <w:ind w:left="1860" w:right="60" w:hanging="543"/>
        <w:spacing w:after="0" w:line="312" w:lineRule="auto"/>
        <w:tabs>
          <w:tab w:leader="none" w:pos="1860" w:val="left"/>
        </w:tabs>
        <w:numPr>
          <w:ilvl w:val="1"/>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(as such) shall have any right of inspecting any account, book or document of the Company, except as conferred by law or authorised by the Board or by any ordinary resolution of the Company or ordered by a court of competent jurisdiction.</w:t>
      </w:r>
    </w:p>
    <w:p>
      <w:pPr>
        <w:spacing w:after="0" w:line="45" w:lineRule="exact"/>
        <w:rPr>
          <w:rFonts w:ascii="Times New Roman" w:cs="Times New Roman" w:eastAsia="Times New Roman" w:hAnsi="Times New Roman"/>
          <w:sz w:val="17"/>
          <w:szCs w:val="17"/>
          <w:color w:val="auto"/>
        </w:rPr>
      </w:pPr>
    </w:p>
    <w:p>
      <w:pPr>
        <w:ind w:left="1860" w:right="80" w:hanging="543"/>
        <w:spacing w:after="0" w:line="282" w:lineRule="auto"/>
        <w:tabs>
          <w:tab w:leader="none" w:pos="1860" w:val="left"/>
        </w:tabs>
        <w:numPr>
          <w:ilvl w:val="1"/>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permitted by the Statutes, the Company may send a summary financial statement in the form specified by the Statutes to the persons who would otherwise be entitled to be sent a copy of the Company’s full annual accounts and reports.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52" w:lineRule="exact"/>
        <w:rPr>
          <w:sz w:val="20"/>
          <w:szCs w:val="20"/>
          <w:color w:val="auto"/>
        </w:rPr>
      </w:pPr>
    </w:p>
    <w:p>
      <w:pPr>
        <w:ind w:left="660" w:hanging="544"/>
        <w:spacing w:after="0"/>
        <w:tabs>
          <w:tab w:leader="none" w:pos="660"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of Auditor</w:t>
      </w:r>
    </w:p>
    <w:p>
      <w:pPr>
        <w:spacing w:after="0" w:line="121"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Statutes, all acts done by any person acting as an Auditor shall, as regards all persons dealing in good faith with the Company, be valid notwithstanding that there was some defect in his appointment or that he was at the time of his appointment not qualified for appointment or subsequently became disqualified.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B-46</w:t>
      </w:r>
    </w:p>
    <w:p>
      <w:pPr>
        <w:sectPr>
          <w:pgSz w:w="11900" w:h="16838" w:orient="portrait"/>
          <w:cols w:equalWidth="0" w:num="1">
            <w:col w:w="11120"/>
          </w:cols>
          <w:pgMar w:left="320" w:top="454" w:right="45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SERVICE OF NOTICES AND OTHER DOCUMENTS</w:t>
      </w:r>
    </w:p>
    <w:p>
      <w:pPr>
        <w:spacing w:after="0" w:line="252" w:lineRule="exact"/>
        <w:rPr>
          <w:sz w:val="20"/>
          <w:szCs w:val="20"/>
          <w:color w:val="auto"/>
        </w:rPr>
      </w:pPr>
    </w:p>
    <w:p>
      <w:pPr>
        <w:ind w:left="660" w:hanging="544"/>
        <w:spacing w:after="0"/>
        <w:tabs>
          <w:tab w:leader="none" w:pos="66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in writing</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to be given to or by any person under these articles (other than a notice calling a meeting of the Board) shall be in writing, except where otherwise expressly stated. Any such notice may be given using electronic communications provided sent to such address (if any) for the time being notified for that purpose to the person sending the notice by or on behalf of the person to whom the notice is sent and in the case of communications between the Company and its members, in accordance with the following articles 133 and 134.</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giving notice to members</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82" w:lineRule="auto"/>
        <w:tabs>
          <w:tab w:leader="none" w:pos="186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any notice or other document under these articles to a member by whichever of the following methods it may elect in its absolute discretion:</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 or</w:t>
      </w:r>
    </w:p>
    <w:p>
      <w:pPr>
        <w:spacing w:after="0" w:line="130" w:lineRule="exact"/>
        <w:rPr>
          <w:rFonts w:ascii="Times New Roman" w:cs="Times New Roman" w:eastAsia="Times New Roman" w:hAnsi="Times New Roman"/>
          <w:sz w:val="18"/>
          <w:szCs w:val="18"/>
          <w:color w:val="auto"/>
        </w:rPr>
      </w:pPr>
    </w:p>
    <w:p>
      <w:pPr>
        <w:ind w:left="2520" w:right="360" w:hanging="649"/>
        <w:spacing w:after="0" w:line="282" w:lineRule="auto"/>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in the case of a member, to his registered address, or in any other case, to the person’s usual address;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that address; or</w:t>
      </w:r>
    </w:p>
    <w:p>
      <w:pPr>
        <w:spacing w:after="0" w:line="130" w:lineRule="exact"/>
        <w:rPr>
          <w:rFonts w:ascii="Times New Roman" w:cs="Times New Roman" w:eastAsia="Times New Roman" w:hAnsi="Times New Roman"/>
          <w:sz w:val="18"/>
          <w:szCs w:val="18"/>
          <w:color w:val="auto"/>
        </w:rPr>
      </w:pPr>
    </w:p>
    <w:p>
      <w:pPr>
        <w:ind w:left="2520" w:right="220" w:hanging="649"/>
        <w:spacing w:after="0" w:line="282" w:lineRule="auto"/>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to the Company by or on behalf of the member for that purpose;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article 133(b); or</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approved by the Board.</w:t>
      </w:r>
    </w:p>
    <w:p>
      <w:pPr>
        <w:spacing w:after="0" w:line="130" w:lineRule="exact"/>
        <w:rPr>
          <w:rFonts w:ascii="Times New Roman" w:cs="Times New Roman" w:eastAsia="Times New Roman" w:hAnsi="Times New Roman"/>
          <w:sz w:val="18"/>
          <w:szCs w:val="18"/>
          <w:color w:val="auto"/>
        </w:rPr>
      </w:pPr>
    </w:p>
    <w:p>
      <w:pPr>
        <w:ind w:left="1860" w:right="60" w:hanging="543"/>
        <w:spacing w:after="0" w:line="256" w:lineRule="auto"/>
        <w:tabs>
          <w:tab w:leader="none" w:pos="186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whose registered address is not within the United Kingdom and who gives to the Company an address within the United Kingdom at which notices may be given to him or an address to which notices may be sent using electronic communications shall be entitled to receive notices and other documents from the Company at that address, but, unless he does so, shall not be entitled to receive any notice from the Company. Without limiting the previous sentence, any notice of a general meeting of the Company which is in fact sent or purports to be sent to such address shall be ignored for the purposes of determining the validity of proceedings at such meeting.</w:t>
      </w:r>
    </w:p>
    <w:p>
      <w:pPr>
        <w:spacing w:after="0" w:line="92"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Company may also give any notice or other document under these articles to a member by publishing that notice or other document on a website where:</w:t>
      </w:r>
    </w:p>
    <w:p>
      <w:pPr>
        <w:spacing w:after="0" w:line="67" w:lineRule="exact"/>
        <w:rPr>
          <w:rFonts w:ascii="Times New Roman" w:cs="Times New Roman" w:eastAsia="Times New Roman" w:hAnsi="Times New Roman"/>
          <w:sz w:val="18"/>
          <w:szCs w:val="18"/>
          <w:color w:val="auto"/>
        </w:rPr>
      </w:pPr>
    </w:p>
    <w:p>
      <w:pPr>
        <w:ind w:left="2520" w:right="580" w:hanging="649"/>
        <w:spacing w:after="0" w:line="282" w:lineRule="auto"/>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the member having access to the notice or document on a website (instead of it being sent to him);</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 manner for the time being agreed between him and the Company for the purpose of:</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130" w:lineRule="exact"/>
        <w:rPr>
          <w:rFonts w:ascii="Times New Roman" w:cs="Times New Roman" w:eastAsia="Times New Roman" w:hAnsi="Times New Roman"/>
          <w:sz w:val="18"/>
          <w:szCs w:val="18"/>
          <w:color w:val="auto"/>
        </w:rPr>
      </w:pPr>
    </w:p>
    <w:p>
      <w:pPr>
        <w:ind w:left="3080" w:hanging="548"/>
        <w:spacing w:after="0"/>
        <w:tabs>
          <w:tab w:leader="none" w:pos="3080" w:val="left"/>
        </w:tabs>
        <w:numPr>
          <w:ilvl w:val="3"/>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130"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document is published on that website throughout the publication period and (if applicable) continues to be so published until the conclusion of the meeting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B-47</w:t>
      </w:r>
    </w:p>
    <w:p>
      <w:pPr>
        <w:sectPr>
          <w:pgSz w:w="11900" w:h="16838" w:orient="portrait"/>
          <w:cols w:equalWidth="0" w:num="1">
            <w:col w:w="11120"/>
          </w:cols>
          <w:pgMar w:left="320" w:top="454" w:right="45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2540" w:right="80"/>
        <w:spacing w:after="0" w:line="261" w:lineRule="auto"/>
        <w:rPr>
          <w:sz w:val="20"/>
          <w:szCs w:val="20"/>
          <w:color w:val="auto"/>
        </w:rPr>
      </w:pPr>
      <w:r>
        <w:rPr>
          <w:rFonts w:ascii="Times New Roman" w:cs="Times New Roman" w:eastAsia="Times New Roman" w:hAnsi="Times New Roman"/>
          <w:sz w:val="18"/>
          <w:szCs w:val="18"/>
          <w:color w:val="auto"/>
        </w:rPr>
        <w:t>any adjourned meeting), provided that, if the notice or document is published on that website for a part, but not all of, such period, the notice or document shall be treated as being published throughout that period if the failure to publish that notice or document throughout that period is wholly attributable to circumstances which it would be reasonable to have expected the Company to prevent or avoid by any other method approved by the Board.</w:t>
      </w:r>
    </w:p>
    <w:p>
      <w:pPr>
        <w:spacing w:after="0" w:line="85" w:lineRule="exact"/>
        <w:rPr>
          <w:sz w:val="20"/>
          <w:szCs w:val="20"/>
          <w:color w:val="auto"/>
        </w:rPr>
      </w:pPr>
    </w:p>
    <w:p>
      <w:pPr>
        <w:ind w:left="1860" w:hanging="543"/>
        <w:spacing w:after="0"/>
        <w:tabs>
          <w:tab w:leader="none" w:pos="18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article 133(c) publication period means:</w:t>
      </w:r>
    </w:p>
    <w:p>
      <w:pPr>
        <w:spacing w:after="0" w:line="130"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of an adjourned meeting under article 45 of not less than 14 days before the date of the adjourned meeting, beginning on the day following that on which the notice referred to in article 133(c)(i) is sent or (if later) is deemed given; and</w:t>
      </w:r>
    </w:p>
    <w:p>
      <w:pPr>
        <w:spacing w:after="0" w:line="81" w:lineRule="exact"/>
        <w:rPr>
          <w:rFonts w:ascii="Times New Roman" w:cs="Times New Roman" w:eastAsia="Times New Roman" w:hAnsi="Times New Roman"/>
          <w:sz w:val="18"/>
          <w:szCs w:val="18"/>
          <w:color w:val="auto"/>
        </w:rPr>
      </w:pPr>
    </w:p>
    <w:p>
      <w:pPr>
        <w:ind w:left="2520" w:right="480" w:hanging="649"/>
        <w:spacing w:after="0" w:line="282" w:lineRule="auto"/>
        <w:tabs>
          <w:tab w:leader="none" w:pos="252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a period of not less than 21 days, beginning on the day following that on which the notification referred to in article 133(c)(i) is sent or (if later) is deemed given;</w:t>
      </w:r>
    </w:p>
    <w:p>
      <w:pPr>
        <w:spacing w:after="0" w:line="67"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issue, endorse or adopt terms and conditions relating to the use of electronic communications for the giving of notices, other documents and proxy appointments by the Company to members or persons entitled by transmission and by members or persons entitled by transmission to the Company.</w:t>
      </w:r>
    </w:p>
    <w:p>
      <w:pPr>
        <w:spacing w:after="0" w:line="81" w:lineRule="exact"/>
        <w:rPr>
          <w:rFonts w:ascii="Times New Roman" w:cs="Times New Roman" w:eastAsia="Times New Roman" w:hAnsi="Times New Roman"/>
          <w:sz w:val="18"/>
          <w:szCs w:val="18"/>
          <w:color w:val="auto"/>
        </w:rPr>
      </w:pPr>
    </w:p>
    <w:p>
      <w:pPr>
        <w:ind w:left="1860" w:right="20" w:hanging="543"/>
        <w:spacing w:after="0" w:line="256" w:lineRule="auto"/>
        <w:tabs>
          <w:tab w:leader="none" w:pos="18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that an envelope containing a notice or other document was properly addressed, prepaid and posted shall be conclusive evidence that the notice or document was given. Proof that a notice or other document contained in an electronic communication was sent or given in accordance with guidance issued by the Institute of Chartered Secretaries and Administrators current at the date of adoption of these articles, or, if the Board so resolves, any subsequent guidance so issued, shall be conclusive evidence that the notice or document was sent or given. A notice or other document sent by the Company to a member by post shall be deemed to be given or delivered:</w:t>
      </w:r>
    </w:p>
    <w:p>
      <w:pPr>
        <w:spacing w:after="0" w:line="92" w:lineRule="exact"/>
        <w:rPr>
          <w:rFonts w:ascii="Times New Roman" w:cs="Times New Roman" w:eastAsia="Times New Roman" w:hAnsi="Times New Roman"/>
          <w:sz w:val="18"/>
          <w:szCs w:val="18"/>
          <w:color w:val="auto"/>
        </w:rPr>
      </w:pPr>
    </w:p>
    <w:p>
      <w:pPr>
        <w:ind w:left="2520" w:right="300" w:hanging="649"/>
        <w:spacing w:after="0" w:line="261" w:lineRule="auto"/>
        <w:tabs>
          <w:tab w:leader="none" w:pos="252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first class post or special delivery post from an address in the United Kingdom to another address in the United Kingdom, or by a postal service similar to first class post or special delivery post from an address in another country to another address in that other country, on the day following that on which the envelope containing it was posted;</w:t>
      </w:r>
    </w:p>
    <w:p>
      <w:pPr>
        <w:spacing w:after="0" w:line="85" w:lineRule="exact"/>
        <w:rPr>
          <w:rFonts w:ascii="Times New Roman" w:cs="Times New Roman" w:eastAsia="Times New Roman" w:hAnsi="Times New Roman"/>
          <w:sz w:val="18"/>
          <w:szCs w:val="18"/>
          <w:color w:val="auto"/>
        </w:rPr>
      </w:pPr>
    </w:p>
    <w:p>
      <w:pPr>
        <w:ind w:left="2520" w:right="360" w:hanging="649"/>
        <w:spacing w:after="0" w:line="266" w:lineRule="auto"/>
        <w:tabs>
          <w:tab w:leader="none" w:pos="252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airmail from an address in the United Kingdom to an address outside the United Kingdom, or from an address in another country to an address outside that country (including without limitation an address in the United Kingdom), on the third day following that on which the envelope containing it was posted;</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on the second day following that on which the envelope containing it was posted.</w:t>
      </w:r>
    </w:p>
    <w:p>
      <w:pPr>
        <w:spacing w:after="0" w:line="130" w:lineRule="exact"/>
        <w:rPr>
          <w:rFonts w:ascii="Times New Roman" w:cs="Times New Roman" w:eastAsia="Times New Roman" w:hAnsi="Times New Roman"/>
          <w:sz w:val="18"/>
          <w:szCs w:val="18"/>
          <w:color w:val="auto"/>
        </w:rPr>
      </w:pPr>
    </w:p>
    <w:p>
      <w:pPr>
        <w:ind w:left="1860" w:hanging="543"/>
        <w:spacing w:after="0" w:line="258" w:lineRule="auto"/>
        <w:tabs>
          <w:tab w:leader="none" w:pos="18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or other document sent by the Company to a member contained in an electronic communication shall be deemed given to the member on the day on which the electronic communication was sent to the member. Such a notice or other document shall be deemed given by the Company to the member on that day notwithstanding that the Company becomes aware that the member has failed to receive the relevant notice or other document for any reason and notwithstanding that the Company subsequently sends a copy of such notice or other document by post to the member.</w:t>
      </w:r>
    </w:p>
    <w:p>
      <w:pPr>
        <w:spacing w:after="0" w:line="88"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document or other communication shall be deemed to have been given if made available on a website, when the recipient was deemed to have received notification of the fact that the material was available on the website, in accordance with this article and if such notice, document or communication is sent by means of a relevant system, when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B-48</w:t>
      </w:r>
    </w:p>
    <w:p>
      <w:pPr>
        <w:sectPr>
          <w:pgSz w:w="11900" w:h="16838" w:orient="portrait"/>
          <w:cols w:equalWidth="0" w:num="1">
            <w:col w:w="11140"/>
          </w:cols>
          <w:pgMar w:left="320" w:top="454" w:right="43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or any sponsoring system-participant acting on its behalf sends the issuer instructions relating to the communication.</w:t>
      </w:r>
    </w:p>
    <w:p>
      <w:pPr>
        <w:spacing w:after="0" w:line="370" w:lineRule="exact"/>
        <w:rPr>
          <w:sz w:val="20"/>
          <w:szCs w:val="20"/>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by members</w:t>
      </w:r>
    </w:p>
    <w:p>
      <w:pPr>
        <w:spacing w:after="0" w:line="121" w:lineRule="exact"/>
        <w:rPr>
          <w:rFonts w:ascii="Times New Roman" w:cs="Times New Roman" w:eastAsia="Times New Roman" w:hAnsi="Times New Roman"/>
          <w:sz w:val="18"/>
          <w:szCs w:val="18"/>
          <w:b w:val="1"/>
          <w:bCs w:val="1"/>
          <w:color w:val="auto"/>
        </w:rPr>
      </w:pPr>
    </w:p>
    <w:p>
      <w:pPr>
        <w:ind w:left="66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these articles, a member or a person entitled by transmission to a share shall give any notice or other document under these articles to the Company by whichever of the following methods he may in his absolute discretion determine:</w:t>
      </w:r>
    </w:p>
    <w:p>
      <w:pPr>
        <w:spacing w:after="0" w:line="67"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the notice or other document in a prepaid envelope addressed to the office;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the notice or other document at the office; or</w:t>
      </w:r>
    </w:p>
    <w:p>
      <w:pPr>
        <w:spacing w:after="0" w:line="130"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the notice or other document using electronic communications to such address (if any) for the time being notified by or on behalf of the Company for that purpose.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joint holders</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holdings, all notices and other documents shall be given or sent to the joint holder whose name appears first in the register and this shall be sufficient delivery to all the joint holders in their capacity as such. For such purpose a joint holder having no registered address in the United Kingdom and not having given an address within the United Kingdom at which notices may be given to him or an address to which notices may be sent using electronic communications shall be disregarded.</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persons entitled by transmission</w:t>
      </w:r>
    </w:p>
    <w:p>
      <w:pPr>
        <w:spacing w:after="0" w:line="121"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within the United Kingdom supplied for that purpose by the persons claiming to be so entitled. Until such an address has been supplied, a notice may be given in any manner in which it might have been given if the death or bankruptcy had not occurred whether or not the Company has notice of the transmission event.</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Disruption of postal services</w:t>
      </w:r>
    </w:p>
    <w:p>
      <w:pPr>
        <w:spacing w:after="0" w:line="121" w:lineRule="exact"/>
        <w:rPr>
          <w:rFonts w:ascii="Times New Roman" w:cs="Times New Roman" w:eastAsia="Times New Roman" w:hAnsi="Times New Roman"/>
          <w:sz w:val="18"/>
          <w:szCs w:val="18"/>
          <w:b w:val="1"/>
          <w:bCs w:val="1"/>
          <w:color w:val="auto"/>
        </w:rPr>
      </w:pPr>
    </w:p>
    <w:p>
      <w:pPr>
        <w:ind w:left="6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by reason of the suspension or curtailment of postal services within the United Kingdom, the Company is unable effectively to convene a general meeting by notices sent through the post, a general meeting may be convened by a notice advertised in at least one leading national daily newspaper and such notice shall be deemed to have been given to all members and other persons entitled to receive it on the day when the advertisement appears (or first appears). In any such case the Company shall send confirmatory copies of the notice by post if at least seven days prior to the meeting the posting of notices to addresses throughout the United Kingdom again becomes practicable.</w:t>
      </w:r>
    </w:p>
    <w:p>
      <w:pPr>
        <w:spacing w:after="0" w:line="327"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Deemed notice</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member present in person at any meeting of the Company or of the holders of any class of shares shall be deemed to have received notice of the meeting and, where requisite, of the purposes for which it was called.</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 in title bound by notice to predecessor</w:t>
      </w:r>
    </w:p>
    <w:p>
      <w:pPr>
        <w:spacing w:after="0" w:line="121" w:lineRule="exact"/>
        <w:rPr>
          <w:rFonts w:ascii="Times New Roman" w:cs="Times New Roman" w:eastAsia="Times New Roman" w:hAnsi="Times New Roman"/>
          <w:sz w:val="18"/>
          <w:szCs w:val="18"/>
          <w:b w:val="1"/>
          <w:bCs w:val="1"/>
          <w:color w:val="auto"/>
        </w:rPr>
      </w:pPr>
    </w:p>
    <w:p>
      <w:pPr>
        <w:ind w:left="6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Every person who becomes entitled to a share shall be bound by any notice (other than a notice given under section 793 of the 2006 Act) in respect of that share which, before his name is entered in the register, was given to the person from whom he derives his title.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B-49</w:t>
      </w:r>
    </w:p>
    <w:p>
      <w:pPr>
        <w:sectPr>
          <w:pgSz w:w="11900" w:h="16838" w:orient="portrait"/>
          <w:cols w:equalWidth="0" w:num="1">
            <w:col w:w="11120"/>
          </w:cols>
          <w:pgMar w:left="320" w:top="454" w:right="45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to notices are to notifications</w:t>
      </w:r>
    </w:p>
    <w:p>
      <w:pPr>
        <w:spacing w:after="0" w:line="121" w:lineRule="exact"/>
        <w:rPr>
          <w:rFonts w:ascii="Times New Roman" w:cs="Times New Roman" w:eastAsia="Times New Roman" w:hAnsi="Times New Roman"/>
          <w:sz w:val="18"/>
          <w:szCs w:val="18"/>
          <w:b w:val="1"/>
          <w:bCs w:val="1"/>
          <w:color w:val="auto"/>
        </w:rPr>
      </w:pPr>
    </w:p>
    <w:p>
      <w:pPr>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when the subject or context otherwise requires, in articles 133(a), 133(b), 133(c), 133(f), 134 and 135 references to a notice include without limitation references to any notification required by the Statutes or these articles in relation to the publication of any notices or other documents on a website.</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requirements</w:t>
      </w:r>
    </w:p>
    <w:p>
      <w:pPr>
        <w:spacing w:after="0" w:line="121"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these articles shall affect any requirement of the Statutes that any particular notice or other document be served in any particular manner.</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5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for delivery</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66" w:lineRule="auto"/>
        <w:tabs>
          <w:tab w:leader="none" w:pos="186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giving notices of meetings or other documents, whether under these articles or under section 310(1) of the 2006 Act, any other Statute or any other statutory instrument, the Company may determine that persons entitled to receive such notices or other documents are those persons entered on the register at the close of business on a day determined by it.</w:t>
      </w:r>
    </w:p>
    <w:p>
      <w:pPr>
        <w:spacing w:after="0" w:line="81" w:lineRule="exact"/>
        <w:rPr>
          <w:rFonts w:ascii="Times New Roman" w:cs="Times New Roman" w:eastAsia="Times New Roman" w:hAnsi="Times New Roman"/>
          <w:sz w:val="18"/>
          <w:szCs w:val="18"/>
          <w:color w:val="auto"/>
        </w:rPr>
      </w:pPr>
    </w:p>
    <w:p>
      <w:pPr>
        <w:ind w:left="1860" w:right="340" w:hanging="543"/>
        <w:spacing w:after="0" w:line="282" w:lineRule="auto"/>
        <w:tabs>
          <w:tab w:leader="none" w:pos="186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determined by the Company under article 142(a) may not be more that 21 days before the day that the notice of the meeting or other document is sent.</w:t>
      </w:r>
    </w:p>
    <w:p>
      <w:pPr>
        <w:spacing w:after="0" w:line="67"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determining which persons are entitled to attend and/or vote at a meeting, and how many votes such persons may cast, the Company may specify in the notice of the meeting a time, not more than 48 hours before the time fixed for the meeting, by which a person must be entered on the register in order to have the right to attend and/or vote at the meeting. In calculating the period mentioned in this article 142(c), no account shall be taken of any part of a day that is not a working day.</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52" w:lineRule="exact"/>
        <w:rPr>
          <w:sz w:val="20"/>
          <w:szCs w:val="20"/>
          <w:color w:val="auto"/>
        </w:rPr>
      </w:pPr>
    </w:p>
    <w:p>
      <w:pPr>
        <w:ind w:left="660" w:hanging="544"/>
        <w:spacing w:after="0"/>
        <w:tabs>
          <w:tab w:leader="none" w:pos="660" w:val="left"/>
        </w:tabs>
        <w:numPr>
          <w:ilvl w:val="0"/>
          <w:numId w:val="5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Requirements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of members in the manner required by the 2006 Act.</w:t>
      </w:r>
    </w:p>
    <w:p>
      <w:pPr>
        <w:spacing w:after="0" w:line="130" w:lineRule="exact"/>
        <w:rPr>
          <w:rFonts w:ascii="Times New Roman" w:cs="Times New Roman" w:eastAsia="Times New Roman" w:hAnsi="Times New Roman"/>
          <w:sz w:val="18"/>
          <w:szCs w:val="18"/>
          <w:color w:val="auto"/>
        </w:rPr>
      </w:pPr>
    </w:p>
    <w:p>
      <w:pPr>
        <w:ind w:left="1860" w:right="80" w:hanging="543"/>
        <w:spacing w:after="0" w:line="258" w:lineRule="auto"/>
        <w:tabs>
          <w:tab w:leader="none" w:pos="1860" w:val="left"/>
        </w:tabs>
        <w:numPr>
          <w:ilvl w:val="1"/>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the Company may keep an overseas branch register in any country, territory or place. The Board may (subject to the 2006 Act) make and vary such regulations as it may think fit in relation to the keeping of any such overseas branch register, including any regulations regarding the transfer of shares from such overseas branch register to the register, the transfer of shares from the register to such overseas branch register or the inspection of the overseas branch register.</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UNTRACED MEMBERS</w:t>
      </w:r>
    </w:p>
    <w:p>
      <w:pPr>
        <w:spacing w:after="0" w:line="252" w:lineRule="exact"/>
        <w:rPr>
          <w:sz w:val="20"/>
          <w:szCs w:val="20"/>
          <w:color w:val="auto"/>
        </w:rPr>
      </w:pPr>
    </w:p>
    <w:p>
      <w:pPr>
        <w:ind w:left="660" w:hanging="544"/>
        <w:spacing w:after="0"/>
        <w:tabs>
          <w:tab w:leader="none" w:pos="660"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shares of untraced members</w:t>
      </w:r>
    </w:p>
    <w:p>
      <w:pPr>
        <w:spacing w:after="0" w:line="134" w:lineRule="exact"/>
        <w:rPr>
          <w:rFonts w:ascii="Times New Roman" w:cs="Times New Roman" w:eastAsia="Times New Roman" w:hAnsi="Times New Roman"/>
          <w:sz w:val="18"/>
          <w:szCs w:val="18"/>
          <w:b w:val="1"/>
          <w:bCs w:val="1"/>
          <w:color w:val="auto"/>
        </w:rPr>
      </w:pPr>
    </w:p>
    <w:p>
      <w:pPr>
        <w:ind w:left="1860" w:right="20" w:hanging="543"/>
        <w:spacing w:after="0" w:line="282" w:lineRule="auto"/>
        <w:tabs>
          <w:tab w:leader="none" w:pos="1860"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Board may decide and at the best price it considers to be reasonably obtainable at that time, any share of a member, or any share to which a person is entitled by transmission if:</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12 years at least three cash dividends have become payable in respect of the share to be sold;</w:t>
      </w:r>
    </w:p>
    <w:p>
      <w:pPr>
        <w:spacing w:after="0" w:line="130"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2"/>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period of 12 years no cash dividend payable in respect of the share has been claimed, no cheque, warrant, order or other payment for a dividend has been cashed, no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B-50</w:t>
      </w:r>
    </w:p>
    <w:p>
      <w:pPr>
        <w:sectPr>
          <w:pgSz w:w="11900" w:h="16838" w:orient="portrait"/>
          <w:cols w:equalWidth="0" w:num="1">
            <w:col w:w="11100"/>
          </w:cols>
          <w:pgMar w:left="320" w:top="454" w:right="47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40" w:right="60"/>
        <w:spacing w:after="0" w:line="266" w:lineRule="auto"/>
        <w:rPr>
          <w:sz w:val="20"/>
          <w:szCs w:val="20"/>
          <w:color w:val="auto"/>
        </w:rPr>
      </w:pPr>
      <w:r>
        <w:rPr>
          <w:rFonts w:ascii="Times New Roman" w:cs="Times New Roman" w:eastAsia="Times New Roman" w:hAnsi="Times New Roman"/>
          <w:sz w:val="18"/>
          <w:szCs w:val="18"/>
          <w:color w:val="auto"/>
        </w:rPr>
        <w:t>dividend sent by means of a bank or other funds transfer system or other electronic system or means (including, in the case of uncertificated shares, a relevant system) has been paid and no communication has been received by the Company from the member or the person entitled by transmission to the share;</w:t>
      </w:r>
    </w:p>
    <w:p>
      <w:pPr>
        <w:spacing w:after="0" w:line="81" w:lineRule="exact"/>
        <w:rPr>
          <w:sz w:val="20"/>
          <w:szCs w:val="20"/>
          <w:color w:val="auto"/>
        </w:rPr>
      </w:pPr>
    </w:p>
    <w:p>
      <w:pPr>
        <w:ind w:left="2520" w:right="140" w:hanging="649"/>
        <w:spacing w:after="0" w:line="258" w:lineRule="auto"/>
        <w:tabs>
          <w:tab w:leader="none" w:pos="252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expiry of that period of 12 years the Company has sent, or caused to be sent, a notice to the registered address or last known address the Company has for the member or other person entitled by transmission to the share, giving notice of its intention to sell the share (provided that before sending such a notice, the Company shall have made, or caused to be made, such tracing enquiries for the purpose of contacting that member or other person as the Board considers to be reasonable and appropriate in the circumstances); and</w:t>
      </w:r>
    </w:p>
    <w:p>
      <w:pPr>
        <w:spacing w:after="0" w:line="88" w:lineRule="exact"/>
        <w:rPr>
          <w:rFonts w:ascii="Times New Roman" w:cs="Times New Roman" w:eastAsia="Times New Roman" w:hAnsi="Times New Roman"/>
          <w:sz w:val="18"/>
          <w:szCs w:val="18"/>
          <w:color w:val="auto"/>
        </w:rPr>
      </w:pPr>
    </w:p>
    <w:p>
      <w:pPr>
        <w:ind w:left="2520" w:right="60" w:hanging="649"/>
        <w:spacing w:after="0" w:line="266" w:lineRule="auto"/>
        <w:tabs>
          <w:tab w:leader="none" w:pos="252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three months following the sending of the notice referred to in paragraph (iii) above and after that period until the exercise of the power to sell the share, the Company has not received any communication from the member or the person entitled by transmission to the share.</w:t>
      </w:r>
    </w:p>
    <w:p>
      <w:pPr>
        <w:spacing w:after="0" w:line="81" w:lineRule="exact"/>
        <w:rPr>
          <w:rFonts w:ascii="Times New Roman" w:cs="Times New Roman" w:eastAsia="Times New Roman" w:hAnsi="Times New Roman"/>
          <w:sz w:val="18"/>
          <w:szCs w:val="18"/>
          <w:color w:val="auto"/>
        </w:rPr>
      </w:pPr>
    </w:p>
    <w:p>
      <w:pPr>
        <w:ind w:left="1860" w:right="60" w:hanging="543"/>
        <w:spacing w:after="0" w:line="258" w:lineRule="auto"/>
        <w:tabs>
          <w:tab w:leader="none" w:pos="186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power of sale shall extend to any further share which, on or before the sending of the notice pursuant to paragraph (a)(iii) above (</w:t>
      </w:r>
      <w:r>
        <w:rPr>
          <w:rFonts w:ascii="Times New Roman" w:cs="Times New Roman" w:eastAsia="Times New Roman" w:hAnsi="Times New Roman"/>
          <w:sz w:val="18"/>
          <w:szCs w:val="18"/>
          <w:b w:val="1"/>
          <w:bCs w:val="1"/>
          <w:color w:val="auto"/>
        </w:rPr>
        <w:t>additional share</w:t>
      </w:r>
      <w:r>
        <w:rPr>
          <w:rFonts w:ascii="Times New Roman" w:cs="Times New Roman" w:eastAsia="Times New Roman" w:hAnsi="Times New Roman"/>
          <w:sz w:val="18"/>
          <w:szCs w:val="18"/>
          <w:color w:val="auto"/>
        </w:rPr>
        <w:t>), is issued in right of a share to which paragraph (a) above applies (or in right of any share to which this paragraph applies) if the conditions set out in paragraphs 144(a)(ii) to (iv) above are satisfied in relation to the additional share (but as if the references to a period of 12 years were references to a period beginning on the date of allotment of the original share and ending on the date of sending the notice referred to above).</w:t>
      </w:r>
    </w:p>
    <w:p>
      <w:pPr>
        <w:spacing w:after="0" w:line="88"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sale, the Board may:</w:t>
      </w:r>
    </w:p>
    <w:p>
      <w:pPr>
        <w:spacing w:after="0" w:line="130" w:lineRule="exact"/>
        <w:rPr>
          <w:rFonts w:ascii="Times New Roman" w:cs="Times New Roman" w:eastAsia="Times New Roman" w:hAnsi="Times New Roman"/>
          <w:sz w:val="18"/>
          <w:szCs w:val="18"/>
          <w:color w:val="auto"/>
        </w:rPr>
      </w:pPr>
    </w:p>
    <w:p>
      <w:pPr>
        <w:ind w:left="2520" w:right="40" w:hanging="649"/>
        <w:spacing w:after="0" w:line="282" w:lineRule="auto"/>
        <w:tabs>
          <w:tab w:leader="none" w:pos="252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certificated form, appoint any person to execute, as transferor, an instrument of transfer of the shares to, or in accordance with the directions of the buyer; and</w:t>
      </w:r>
    </w:p>
    <w:p>
      <w:pPr>
        <w:spacing w:after="0" w:line="67" w:lineRule="exact"/>
        <w:rPr>
          <w:rFonts w:ascii="Times New Roman" w:cs="Times New Roman" w:eastAsia="Times New Roman" w:hAnsi="Times New Roman"/>
          <w:sz w:val="18"/>
          <w:szCs w:val="18"/>
          <w:color w:val="auto"/>
        </w:rPr>
      </w:pPr>
    </w:p>
    <w:p>
      <w:pPr>
        <w:ind w:left="2520" w:right="60" w:hanging="649"/>
        <w:spacing w:after="0" w:line="282" w:lineRule="auto"/>
        <w:tabs>
          <w:tab w:leader="none" w:pos="252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held in uncertificated form, do all acts and things it considers necessary or expedient to effect the transfer of the shares to or in accordance with the directions of the buyer,</w:t>
      </w:r>
    </w:p>
    <w:p>
      <w:pPr>
        <w:spacing w:after="0" w:line="54"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in each case, the title of the new holder to the share not be affected by any irregularity in, or invalidity of, the proceedings relating to the sale.</w:t>
      </w:r>
    </w:p>
    <w:p>
      <w:pPr>
        <w:spacing w:after="0" w:line="306" w:lineRule="exact"/>
        <w:rPr>
          <w:sz w:val="20"/>
          <w:szCs w:val="20"/>
          <w:color w:val="auto"/>
        </w:rPr>
      </w:pPr>
    </w:p>
    <w:p>
      <w:pPr>
        <w:ind w:left="660" w:hanging="544"/>
        <w:spacing w:after="0"/>
        <w:tabs>
          <w:tab w:leader="none" w:pos="660"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proceeds of sale</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of any sale made under article 144 will be forfeited and will belong to the Company. No interest shall be payable in respect of the net proceeds and the Company shall not be required to account for any money earned on the net proceeds. The Company will not be liable in any respect to the former member or members or other person who may or would have been entitled to the share or shares by law for the proceeds of sale, and the Company may use the proceeds of sale for any purpose as the Board may decide.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DESTRUCTION OF DOCUMENTS</w:t>
      </w:r>
    </w:p>
    <w:p>
      <w:pPr>
        <w:spacing w:after="0" w:line="252" w:lineRule="exact"/>
        <w:rPr>
          <w:sz w:val="20"/>
          <w:szCs w:val="20"/>
          <w:color w:val="auto"/>
        </w:rPr>
      </w:pPr>
    </w:p>
    <w:p>
      <w:pPr>
        <w:ind w:left="660" w:hanging="544"/>
        <w:spacing w:after="0"/>
        <w:tabs>
          <w:tab w:leader="none" w:pos="660" w:val="left"/>
        </w:tabs>
        <w:numPr>
          <w:ilvl w:val="0"/>
          <w:numId w:val="5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Destruction of documents</w:t>
      </w:r>
    </w:p>
    <w:p>
      <w:pPr>
        <w:spacing w:after="0" w:line="134"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the Board may authorise or arrange the destruction of documents held by the Company as follows:</w:t>
      </w:r>
    </w:p>
    <w:p>
      <w:pPr>
        <w:spacing w:after="0" w:line="130" w:lineRule="exact"/>
        <w:rPr>
          <w:rFonts w:ascii="Times New Roman" w:cs="Times New Roman" w:eastAsia="Times New Roman" w:hAnsi="Times New Roman"/>
          <w:sz w:val="18"/>
          <w:szCs w:val="18"/>
          <w:color w:val="auto"/>
        </w:rPr>
      </w:pPr>
    </w:p>
    <w:p>
      <w:pPr>
        <w:ind w:left="2520" w:right="240" w:hanging="649"/>
        <w:spacing w:after="0" w:line="282" w:lineRule="auto"/>
        <w:tabs>
          <w:tab w:leader="none" w:pos="2520" w:val="left"/>
        </w:tabs>
        <w:numPr>
          <w:ilvl w:val="2"/>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six years from the date of registration, all instruments of transfer of shares and all other documents transferring or purporting to transfer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B-51</w:t>
      </w:r>
    </w:p>
    <w:p>
      <w:pPr>
        <w:sectPr>
          <w:pgSz w:w="11900" w:h="16838" w:orient="portrait"/>
          <w:cols w:equalWidth="0" w:num="1">
            <w:col w:w="11080"/>
          </w:cols>
          <w:pgMar w:left="320" w:top="454" w:right="49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40" w:right="80"/>
        <w:spacing w:after="0" w:line="282" w:lineRule="auto"/>
        <w:rPr>
          <w:sz w:val="20"/>
          <w:szCs w:val="20"/>
          <w:color w:val="auto"/>
        </w:rPr>
      </w:pPr>
      <w:r>
        <w:rPr>
          <w:rFonts w:ascii="Times New Roman" w:cs="Times New Roman" w:eastAsia="Times New Roman" w:hAnsi="Times New Roman"/>
          <w:sz w:val="18"/>
          <w:szCs w:val="18"/>
          <w:color w:val="auto"/>
        </w:rPr>
        <w:t>or representing or purporting to represent the right to be registered as the holder of shares on the faith of which entries have been made in the register;</w:t>
      </w:r>
    </w:p>
    <w:p>
      <w:pPr>
        <w:spacing w:after="0" w:line="67" w:lineRule="exact"/>
        <w:rPr>
          <w:sz w:val="20"/>
          <w:szCs w:val="20"/>
          <w:color w:val="auto"/>
        </w:rPr>
      </w:pPr>
    </w:p>
    <w:p>
      <w:pPr>
        <w:ind w:left="2520" w:right="260" w:hanging="649"/>
        <w:spacing w:after="0" w:line="282" w:lineRule="auto"/>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cancellation, all registered share certificates which have been cancelled;</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two years from the date of recording them, all dividend mandates and notifications of change of address;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expiration of one year from the date of actual payment, all paid dividend warrants and cheques;</w:t>
      </w:r>
    </w:p>
    <w:p>
      <w:pPr>
        <w:spacing w:after="0" w:line="130" w:lineRule="exact"/>
        <w:rPr>
          <w:rFonts w:ascii="Times New Roman" w:cs="Times New Roman" w:eastAsia="Times New Roman" w:hAnsi="Times New Roman"/>
          <w:sz w:val="18"/>
          <w:szCs w:val="18"/>
          <w:color w:val="auto"/>
        </w:rPr>
      </w:pPr>
    </w:p>
    <w:p>
      <w:pPr>
        <w:ind w:left="2520" w:right="100" w:hanging="649"/>
        <w:spacing w:after="0" w:line="282" w:lineRule="auto"/>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been used for the purpose of a poll at any time after the expiration of one year from the date of use; and</w:t>
      </w:r>
    </w:p>
    <w:p>
      <w:pPr>
        <w:spacing w:after="0" w:line="67" w:lineRule="exact"/>
        <w:rPr>
          <w:rFonts w:ascii="Times New Roman" w:cs="Times New Roman" w:eastAsia="Times New Roman" w:hAnsi="Times New Roman"/>
          <w:sz w:val="18"/>
          <w:szCs w:val="18"/>
          <w:color w:val="auto"/>
        </w:rPr>
      </w:pPr>
    </w:p>
    <w:p>
      <w:pPr>
        <w:ind w:left="2520" w:right="200" w:hanging="649"/>
        <w:spacing w:after="0" w:line="266" w:lineRule="auto"/>
        <w:tabs>
          <w:tab w:leader="none" w:pos="2520"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(or records of appointment) of proxy which have not been used for the purpose of a poll at any time after one month from the end of the meeting to which the appointment of proxy relates and at which no poll was demanded.</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Statutes, it shall conclusively be presumed in favour of the Company that:</w:t>
      </w:r>
    </w:p>
    <w:p>
      <w:pPr>
        <w:spacing w:after="0" w:line="130"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entry in the register purporting to have been made on the basis of an instrument of transfer or other document so destroyed was duly and properly made;</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instrument of transfer so destroyed was a valid and effective instrument duly and properly registered;</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so destroyed was a valid certificate duly and properly cancelled;</w:t>
      </w:r>
    </w:p>
    <w:p>
      <w:pPr>
        <w:spacing w:after="0" w:line="130" w:lineRule="exact"/>
        <w:rPr>
          <w:rFonts w:ascii="Times New Roman" w:cs="Times New Roman" w:eastAsia="Times New Roman" w:hAnsi="Times New Roman"/>
          <w:sz w:val="18"/>
          <w:szCs w:val="18"/>
          <w:color w:val="auto"/>
        </w:rPr>
      </w:pPr>
    </w:p>
    <w:p>
      <w:pPr>
        <w:ind w:left="2520" w:right="840" w:hanging="649"/>
        <w:spacing w:after="0" w:line="282" w:lineRule="auto"/>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document mentioned in paragraph (a) above so destroyed was a valid and effective document in accordance with the particulars of it recorded in the books and records of the Company; and</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paid dividend warrant and cheque so destroyed was duly paid.</w:t>
      </w:r>
    </w:p>
    <w:p>
      <w:pPr>
        <w:spacing w:after="0" w:line="130" w:lineRule="exact"/>
        <w:rPr>
          <w:rFonts w:ascii="Times New Roman" w:cs="Times New Roman" w:eastAsia="Times New Roman" w:hAnsi="Times New Roman"/>
          <w:sz w:val="18"/>
          <w:szCs w:val="18"/>
          <w:color w:val="auto"/>
        </w:rPr>
      </w:pPr>
    </w:p>
    <w:p>
      <w:pPr>
        <w:ind w:left="1860" w:right="80" w:hanging="543"/>
        <w:spacing w:after="0" w:line="282" w:lineRule="auto"/>
        <w:tabs>
          <w:tab w:leader="none" w:pos="18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paragraph (b) above shall apply only to the destruction of a document in good faith and without notice of any claim (regardless of the parties to it) to which the document might be relevant.</w:t>
      </w:r>
    </w:p>
    <w:p>
      <w:pPr>
        <w:spacing w:after="0" w:line="67" w:lineRule="exact"/>
        <w:rPr>
          <w:rFonts w:ascii="Times New Roman" w:cs="Times New Roman" w:eastAsia="Times New Roman" w:hAnsi="Times New Roman"/>
          <w:sz w:val="18"/>
          <w:szCs w:val="18"/>
          <w:color w:val="auto"/>
        </w:rPr>
      </w:pPr>
    </w:p>
    <w:p>
      <w:pPr>
        <w:ind w:left="1860" w:right="100" w:hanging="543"/>
        <w:spacing w:after="0" w:line="266" w:lineRule="auto"/>
        <w:tabs>
          <w:tab w:leader="none" w:pos="18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article shall be construed as imposing on the Company or the Board any liability in respect of the destruction of any document earlier than as stated in paragraph (a) above or in any other circumstances in which liability would not attach to the Company or the Board in the absence of this article.</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article to the destruction of any document include references to its disposal in any manner.</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131" w:lineRule="exact"/>
        <w:rPr>
          <w:sz w:val="20"/>
          <w:szCs w:val="20"/>
          <w:color w:val="auto"/>
        </w:rPr>
      </w:pPr>
    </w:p>
    <w:p>
      <w:pPr>
        <w:ind w:left="660" w:hanging="544"/>
        <w:spacing w:after="0"/>
        <w:tabs>
          <w:tab w:leader="none" w:pos="660"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to distribute </w:t>
      </w:r>
      <w:r>
        <w:rPr>
          <w:rFonts w:ascii="Times New Roman" w:cs="Times New Roman" w:eastAsia="Times New Roman" w:hAnsi="Times New Roman"/>
          <w:sz w:val="18"/>
          <w:szCs w:val="18"/>
          <w:b w:val="1"/>
          <w:bCs w:val="1"/>
          <w:i w:val="1"/>
          <w:iCs w:val="1"/>
          <w:color w:val="auto"/>
        </w:rPr>
        <w:t>in specie</w:t>
      </w:r>
    </w:p>
    <w:p>
      <w:pPr>
        <w:spacing w:after="0" w:line="121" w:lineRule="exact"/>
        <w:rPr>
          <w:rFonts w:ascii="Times New Roman" w:cs="Times New Roman" w:eastAsia="Times New Roman" w:hAnsi="Times New Roman"/>
          <w:sz w:val="18"/>
          <w:szCs w:val="18"/>
          <w:b w:val="1"/>
          <w:bCs w:val="1"/>
          <w:color w:val="auto"/>
        </w:rPr>
      </w:pPr>
    </w:p>
    <w:p>
      <w:pPr>
        <w:ind w:left="6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being wound up (whether the liquidation is voluntary, under supervision or by the Court or otherwise), the liquidator may, with the authority of a special resolution of the Company and any other authority required by the Statutes:</w:t>
      </w:r>
    </w:p>
    <w:p>
      <w:pPr>
        <w:spacing w:after="0" w:line="65" w:lineRule="exact"/>
        <w:rPr>
          <w:rFonts w:ascii="Times New Roman" w:cs="Times New Roman" w:eastAsia="Times New Roman" w:hAnsi="Times New Roman"/>
          <w:sz w:val="18"/>
          <w:szCs w:val="18"/>
          <w:b w:val="1"/>
          <w:bCs w:val="1"/>
          <w:color w:val="auto"/>
        </w:rPr>
      </w:pPr>
    </w:p>
    <w:p>
      <w:pPr>
        <w:ind w:left="2520" w:right="260" w:hanging="649"/>
        <w:spacing w:after="0" w:line="267" w:lineRule="auto"/>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 among the members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the whole or any part of the assets of the Company and, for that purpose, value any assets and determine how the division shall be carried out as between the members or different classes of members; or</w:t>
      </w:r>
    </w:p>
    <w:p>
      <w:pPr>
        <w:spacing w:after="0" w:line="80" w:lineRule="exact"/>
        <w:rPr>
          <w:rFonts w:ascii="Times New Roman" w:cs="Times New Roman" w:eastAsia="Times New Roman" w:hAnsi="Times New Roman"/>
          <w:sz w:val="18"/>
          <w:szCs w:val="18"/>
          <w:color w:val="auto"/>
        </w:rPr>
      </w:pPr>
    </w:p>
    <w:p>
      <w:pPr>
        <w:ind w:left="2520" w:right="240" w:hanging="649"/>
        <w:spacing w:after="0" w:line="266" w:lineRule="auto"/>
        <w:tabs>
          <w:tab w:leader="none" w:pos="2520"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the whole or any part of the assets in trustees upon such trusts for the benefit of members as the liquidator, with the like sanction, shall think fit but no member shall be compelled to accept any assets upon which there is any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B-52</w:t>
      </w:r>
    </w:p>
    <w:p>
      <w:pPr>
        <w:sectPr>
          <w:pgSz w:w="11900" w:h="16838" w:orient="portrait"/>
          <w:cols w:equalWidth="0" w:num="1">
            <w:col w:w="11120"/>
          </w:cols>
          <w:pgMar w:left="320" w:top="454" w:right="45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INDEMNITY AND INSURANCE, ETC.</w:t>
      </w:r>
    </w:p>
    <w:p>
      <w:pPr>
        <w:spacing w:after="0" w:line="252" w:lineRule="exact"/>
        <w:rPr>
          <w:sz w:val="20"/>
          <w:szCs w:val="20"/>
          <w:color w:val="auto"/>
        </w:rPr>
      </w:pPr>
    </w:p>
    <w:p>
      <w:pPr>
        <w:ind w:left="660" w:hanging="544"/>
        <w:spacing w:after="0"/>
        <w:tabs>
          <w:tab w:leader="none" w:pos="660" w:val="left"/>
        </w:tabs>
        <w:numPr>
          <w:ilvl w:val="0"/>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indemnity, insurance and defence</w:t>
      </w:r>
    </w:p>
    <w:p>
      <w:pPr>
        <w:spacing w:after="0" w:line="134" w:lineRule="exact"/>
        <w:rPr>
          <w:rFonts w:ascii="Times New Roman" w:cs="Times New Roman" w:eastAsia="Times New Roman" w:hAnsi="Times New Roman"/>
          <w:sz w:val="18"/>
          <w:szCs w:val="18"/>
          <w:b w:val="1"/>
          <w:bCs w:val="1"/>
          <w:color w:val="auto"/>
        </w:rPr>
      </w:pPr>
    </w:p>
    <w:p>
      <w:pPr>
        <w:ind w:left="1860" w:right="80" w:hanging="543"/>
        <w:spacing w:after="0" w:line="255" w:lineRule="auto"/>
        <w:tabs>
          <w:tab w:leader="none" w:pos="18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2006 Act, but without prejudice to any indemnity to which the person concerned may otherwise be entitled, every director or other officer of the Company shall be indemnified out of the assets of the Company against any liability incurred by him for negligence, default, breach of duty, breach of trust or otherwise in relation to the affairs of the Company or of an associated company, or in connection with the activities of the Company, or of an associated company, as a trustee of an occupational pension scheme (as defined in section 235(6) of the 2006 Act), provided that this article shall be deemed not to provide for, or entitle any such person to, indemnification to the extent that it would cause this article, or any element of it, to be treated as void under the 2006 Act or otherwise unlawful under the 2006 Act.</w:t>
      </w:r>
    </w:p>
    <w:p>
      <w:pPr>
        <w:spacing w:after="0" w:line="94" w:lineRule="exact"/>
        <w:rPr>
          <w:rFonts w:ascii="Times New Roman" w:cs="Times New Roman" w:eastAsia="Times New Roman" w:hAnsi="Times New Roman"/>
          <w:sz w:val="18"/>
          <w:szCs w:val="18"/>
          <w:color w:val="auto"/>
        </w:rPr>
      </w:pPr>
    </w:p>
    <w:p>
      <w:pPr>
        <w:ind w:left="1860" w:right="140" w:hanging="543"/>
        <w:spacing w:after="0" w:line="282" w:lineRule="auto"/>
        <w:tabs>
          <w:tab w:leader="none" w:pos="186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foregoing, the Board may exercise all the powers of the Company to purchase and maintain insurance for or for the benefit of any person who is or was:</w:t>
      </w:r>
    </w:p>
    <w:p>
      <w:pPr>
        <w:spacing w:after="0" w:line="67" w:lineRule="exact"/>
        <w:rPr>
          <w:rFonts w:ascii="Times New Roman" w:cs="Times New Roman" w:eastAsia="Times New Roman" w:hAnsi="Times New Roman"/>
          <w:sz w:val="18"/>
          <w:szCs w:val="18"/>
          <w:color w:val="auto"/>
        </w:rPr>
      </w:pPr>
    </w:p>
    <w:p>
      <w:pPr>
        <w:ind w:left="2520" w:hanging="649"/>
        <w:spacing w:after="0" w:line="261" w:lineRule="auto"/>
        <w:tabs>
          <w:tab w:leader="none" w:pos="2520" w:val="left"/>
        </w:tabs>
        <w:numPr>
          <w:ilvl w:val="2"/>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employee or auditor of the Company or any body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85"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2"/>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any pension fund in which employees of the Company or any other body referred to in paragraph (i) above are or have been interested,</w:t>
      </w:r>
    </w:p>
    <w:p>
      <w:pPr>
        <w:spacing w:after="0" w:line="54" w:lineRule="exact"/>
        <w:rPr>
          <w:sz w:val="20"/>
          <w:szCs w:val="20"/>
          <w:color w:val="auto"/>
        </w:rPr>
      </w:pPr>
    </w:p>
    <w:p>
      <w:pPr>
        <w:ind w:left="1880" w:right="280"/>
        <w:spacing w:after="0" w:line="266" w:lineRule="auto"/>
        <w:rPr>
          <w:sz w:val="20"/>
          <w:szCs w:val="20"/>
          <w:color w:val="auto"/>
        </w:rPr>
      </w:pPr>
      <w:r>
        <w:rPr>
          <w:rFonts w:ascii="Times New Roman" w:cs="Times New Roman" w:eastAsia="Times New Roman" w:hAnsi="Times New Roman"/>
          <w:sz w:val="18"/>
          <w:szCs w:val="18"/>
          <w:color w:val="auto"/>
        </w:rPr>
        <w:t>including without limitation insurance against any liability incurred by such person in respect of any act or omission in the actual or purported execution or discharge of his duties or in the exercise or purported exercise of his powers or otherwise in relation to his duties, powers or offices in relation to the relevant body or fund.</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52" w:lineRule="exact"/>
        <w:rPr>
          <w:sz w:val="20"/>
          <w:szCs w:val="20"/>
          <w:color w:val="auto"/>
        </w:rPr>
      </w:pPr>
    </w:p>
    <w:p>
      <w:pPr>
        <w:ind w:left="660" w:hanging="544"/>
        <w:spacing w:after="0"/>
        <w:tabs>
          <w:tab w:leader="none" w:pos="660"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Forum Selection</w:t>
      </w:r>
    </w:p>
    <w:p>
      <w:pPr>
        <w:spacing w:after="0" w:line="134" w:lineRule="exact"/>
        <w:rPr>
          <w:rFonts w:ascii="Times New Roman" w:cs="Times New Roman" w:eastAsia="Times New Roman" w:hAnsi="Times New Roman"/>
          <w:sz w:val="18"/>
          <w:szCs w:val="18"/>
          <w:b w:val="1"/>
          <w:bCs w:val="1"/>
          <w:color w:val="auto"/>
        </w:rPr>
      </w:pPr>
    </w:p>
    <w:p>
      <w:pPr>
        <w:ind w:left="1860" w:right="180" w:hanging="543"/>
        <w:spacing w:after="0" w:line="282" w:lineRule="auto"/>
        <w:tabs>
          <w:tab w:leader="none" w:pos="186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Courts of England and Wales shall, to the fullest extent permitted by law, be the sole and exclusive forum for: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2"/>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30" w:lineRule="exact"/>
        <w:rPr>
          <w:rFonts w:ascii="Times New Roman" w:cs="Times New Roman" w:eastAsia="Times New Roman" w:hAnsi="Times New Roman"/>
          <w:sz w:val="18"/>
          <w:szCs w:val="18"/>
          <w:color w:val="auto"/>
        </w:rPr>
      </w:pPr>
    </w:p>
    <w:p>
      <w:pPr>
        <w:ind w:left="2520" w:right="40" w:hanging="649"/>
        <w:spacing w:after="0" w:line="266" w:lineRule="auto"/>
        <w:tabs>
          <w:tab w:leader="none" w:pos="2520" w:val="left"/>
        </w:tabs>
        <w:numPr>
          <w:ilvl w:val="2"/>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the Company in its own name or on behalf of the Company, asserting a claim of breach of any fiduciary or other duty owed by any director, officer or other employee of the Company (including but not limited to duties arising under the 2006 Act); and/or</w:t>
      </w:r>
    </w:p>
    <w:p>
      <w:pPr>
        <w:spacing w:after="0" w:line="81" w:lineRule="exact"/>
        <w:rPr>
          <w:rFonts w:ascii="Times New Roman" w:cs="Times New Roman" w:eastAsia="Times New Roman" w:hAnsi="Times New Roman"/>
          <w:sz w:val="18"/>
          <w:szCs w:val="18"/>
          <w:color w:val="auto"/>
        </w:rPr>
      </w:pPr>
    </w:p>
    <w:p>
      <w:pPr>
        <w:ind w:left="2520" w:right="80" w:hanging="649"/>
        <w:spacing w:after="0" w:line="258" w:lineRule="auto"/>
        <w:tabs>
          <w:tab w:leader="none" w:pos="2520" w:val="left"/>
        </w:tabs>
        <w:numPr>
          <w:ilvl w:val="2"/>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these articles (pursuant to any provision of the laws of England and Wales or these articles (as either may be may be amended from time to time)) or otherwise in any way relating to the constitution or conduct of the Company, other than any such action in any way relating to the conduct of the Company arising out of a breach of any federal law of the United States of America or the laws of any State of the United States of America.</w:t>
      </w:r>
    </w:p>
    <w:p>
      <w:pPr>
        <w:spacing w:after="0" w:line="88" w:lineRule="exact"/>
        <w:rPr>
          <w:rFonts w:ascii="Times New Roman" w:cs="Times New Roman" w:eastAsia="Times New Roman" w:hAnsi="Times New Roman"/>
          <w:sz w:val="18"/>
          <w:szCs w:val="18"/>
          <w:color w:val="auto"/>
        </w:rPr>
      </w:pPr>
    </w:p>
    <w:p>
      <w:pPr>
        <w:ind w:left="1860" w:right="160" w:hanging="543"/>
        <w:spacing w:after="0" w:line="282" w:lineRule="auto"/>
        <w:tabs>
          <w:tab w:leader="none" w:pos="186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 be the sole and exclusive forum for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B-53</w:t>
      </w:r>
    </w:p>
    <w:p>
      <w:pPr>
        <w:sectPr>
          <w:pgSz w:w="11900" w:h="16838" w:orient="portrait"/>
          <w:cols w:equalWidth="0" w:num="1">
            <w:col w:w="11120"/>
          </w:cols>
          <w:pgMar w:left="320" w:top="454"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right="100"/>
        <w:spacing w:after="0" w:line="282" w:lineRule="auto"/>
        <w:rPr>
          <w:sz w:val="20"/>
          <w:szCs w:val="20"/>
          <w:color w:val="auto"/>
        </w:rPr>
      </w:pPr>
      <w:r>
        <w:rPr>
          <w:rFonts w:ascii="Times New Roman" w:cs="Times New Roman" w:eastAsia="Times New Roman" w:hAnsi="Times New Roman"/>
          <w:sz w:val="18"/>
          <w:szCs w:val="18"/>
          <w:color w:val="auto"/>
        </w:rPr>
        <w:t>resolution of any complaint asserting a cause of action arising under the United States Securities Act of 1933, as amended or any successor thereto.</w:t>
      </w:r>
    </w:p>
    <w:p>
      <w:pPr>
        <w:spacing w:after="0" w:line="67" w:lineRule="exact"/>
        <w:rPr>
          <w:sz w:val="20"/>
          <w:szCs w:val="20"/>
          <w:color w:val="auto"/>
        </w:rPr>
      </w:pPr>
    </w:p>
    <w:p>
      <w:pPr>
        <w:ind w:left="1860" w:hanging="543"/>
        <w:spacing w:after="0" w:line="282" w:lineRule="auto"/>
        <w:tabs>
          <w:tab w:leader="none" w:pos="186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contained in this article 149 shall apply to any action brought to enforce a duty or liability created by the Exchange Act or any successor thereto.</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B-54</w:t>
      </w:r>
    </w:p>
    <w:p>
      <w:pPr>
        <w:sectPr>
          <w:pgSz w:w="11900" w:h="16838" w:orient="portrait"/>
          <w:cols w:equalWidth="0" w:num="1">
            <w:col w:w="10940"/>
          </w:cols>
          <w:pgMar w:left="320" w:top="454" w:right="63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TRANSACTION SUPPORT AGREEMENT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TRANSACTION SUPPORT AGREEMENT, dated as of December 17, 2021 (the “Original Date”)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amended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16, 2023 (the “Amendment Date”),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those certain stockholders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 a private limited liability company registered under the laws of England and Wales (collectively with any predecessor entities,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“Original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“Rezolve”), whose names appear on the signature pages of this Agreement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Rezolve AI Limited a private limited liability company registered under the laws of England and Wales (the “New Company”).</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Armada, Rezolve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Original Company entered into, concurrently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herewith on the Original Date, a Business Combination Agreement, and propose to enter into on the Amendment Date an amended form of the Business Combination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BCA</w:t>
      </w:r>
      <w:r>
        <w:rPr>
          <w:rFonts w:ascii="Times New Roman" w:cs="Times New Roman" w:eastAsia="Times New Roman" w:hAnsi="Times New Roman"/>
          <w:sz w:val="18"/>
          <w:szCs w:val="18"/>
          <w:color w:val="auto"/>
        </w:rPr>
        <w:t>”; terms used but not defined in this Agreement shall have the meanings ascribed to them in the BCA);</w:t>
      </w:r>
    </w:p>
    <w:p>
      <w:pPr>
        <w:spacing w:after="0" w:line="176"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Amendment Date, each Stockholder is the holder of record and “beneficial owner” (within the meaning of Rule 13d-3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Exchange Act) of the number of shares of Original Company Ordinary Shares and Original Company Series A Shares as set forth opposite such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(all such shares of Original Company Ordinary Shares and Original Company Series A Shares and any shares of Original Company Ordinary Shares and Original Company Series A Shares of which ownership of record or the power to vote (including, without limitation, by proxy or power of attorney) is hereafter acquired by any such Stockholder during the period from the date hereof through the Expiration Time (as defined below) are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82"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Armada, and the Original Company and the New Company to enter into the amended form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BCA on the Amendment Date and to consummate the transactions contemplated thereby, including without limitation the Pre-Closing Demerger and the Pre-Closing Reorganization (each term having the meaning given i. the BCA)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 parties hereto desire to agree to certain matters as set forth herein.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17"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and agreements contained herein, and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hereby, the parties hereto hereby agree as follows:</w:t>
      </w:r>
    </w:p>
    <w:p>
      <w:pPr>
        <w:spacing w:after="0" w:line="51" w:lineRule="exact"/>
        <w:rPr>
          <w:sz w:val="20"/>
          <w:szCs w:val="20"/>
          <w:color w:val="auto"/>
        </w:rPr>
      </w:pPr>
    </w:p>
    <w:p>
      <w:pPr>
        <w:ind w:left="120" w:right="80" w:firstLine="436"/>
        <w:spacing w:after="0" w:line="282" w:lineRule="auto"/>
        <w:tabs>
          <w:tab w:leader="none" w:pos="74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Pre-Closing Demerger and Company Reorganization</w:t>
      </w:r>
      <w:r>
        <w:rPr>
          <w:rFonts w:ascii="Times New Roman" w:cs="Times New Roman" w:eastAsia="Times New Roman" w:hAnsi="Times New Roman"/>
          <w:sz w:val="18"/>
          <w:szCs w:val="18"/>
          <w:color w:val="auto"/>
        </w:rPr>
        <w:t>. Each Stockholder agrees that, on or prior to the Company Reorganization Date (as requested by the Original Company), he, she or it will</w:t>
      </w:r>
    </w:p>
    <w:p>
      <w:pPr>
        <w:spacing w:after="0" w:line="67" w:lineRule="exact"/>
        <w:rPr>
          <w:sz w:val="20"/>
          <w:szCs w:val="20"/>
          <w:color w:val="auto"/>
        </w:rPr>
      </w:pPr>
    </w:p>
    <w:p>
      <w:pPr>
        <w:ind w:left="1080" w:right="180" w:hanging="532"/>
        <w:spacing w:after="0" w:line="255" w:lineRule="auto"/>
        <w:tabs>
          <w:tab w:leader="none" w:pos="108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demerger support agreement pursuant to which he will agree to take such steps as are required (including in the case of the Original Company Shareholders, voting in favour of shareholder resolutions required) to effect a demerger pursuant to section 110 Insolvency Act 1986 under which (x)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4" w:right="43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New Company in exchange for the issue of Company Shares of the same classes in the New Company for distribution amongst the Original Company Shareholders in proportion to their holdings of Original Company Shares of each class and (y) the New Company will be assigned, assume and/or reissue the secured Convertible Notes currently issued by the Original Company and (z) the Original Company will then be wound up;</w:t>
      </w:r>
    </w:p>
    <w:p>
      <w:pPr>
        <w:spacing w:after="0" w:line="85" w:lineRule="exact"/>
        <w:rPr>
          <w:sz w:val="20"/>
          <w:szCs w:val="20"/>
          <w:color w:val="auto"/>
        </w:rPr>
      </w:pPr>
    </w:p>
    <w:p>
      <w:pPr>
        <w:ind w:left="1080" w:right="20" w:hanging="532"/>
        <w:spacing w:after="0" w:line="258" w:lineRule="auto"/>
        <w:tabs>
          <w:tab w:leader="none" w:pos="108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favour of all resolutions of the New Company so that the Company Series A Shares will be reclassified as Ordinary Shares and any other necessary resolutions are passed such that immediately following such steps each Company Shareholder will hold his, her or its applicable pro rata portion of the Aggregate Stock Consideration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such additional documents, instruments, conveyances and assurances, and take such further actions as may be reasonably required and within its power to give effect to the </w:t>
      </w:r>
      <w:r>
        <w:rPr>
          <w:rFonts w:ascii="Times New Roman" w:cs="Times New Roman" w:eastAsia="Times New Roman" w:hAnsi="Times New Roman"/>
          <w:sz w:val="18"/>
          <w:szCs w:val="18"/>
          <w:u w:val="single" w:color="auto"/>
          <w:color w:val="auto"/>
        </w:rPr>
        <w:t>Pre-Closing Demerger and the</w:t>
      </w:r>
      <w:r>
        <w:rPr>
          <w:rFonts w:ascii="Times New Roman" w:cs="Times New Roman" w:eastAsia="Times New Roman" w:hAnsi="Times New Roman"/>
          <w:sz w:val="18"/>
          <w:szCs w:val="18"/>
          <w:color w:val="auto"/>
        </w:rPr>
        <w:t xml:space="preserve"> Company Reorganization.</w:t>
      </w:r>
    </w:p>
    <w:p>
      <w:pPr>
        <w:spacing w:after="0" w:line="162" w:lineRule="exact"/>
        <w:rPr>
          <w:sz w:val="20"/>
          <w:szCs w:val="20"/>
          <w:color w:val="auto"/>
        </w:rPr>
      </w:pPr>
    </w:p>
    <w:p>
      <w:pPr>
        <w:ind w:left="120" w:firstLine="436"/>
        <w:spacing w:after="0" w:line="254" w:lineRule="auto"/>
        <w:tabs>
          <w:tab w:leader="none" w:pos="74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During the period commencing from the Amendment Date and ending on the earlier to occur of (a) the Closing and (b) such date and time as the BCA shall be terminated in accordance with Section 7.1 of the BCA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each Stockholder, by this Agreement, with respect to such Stockholder’s Shares, severally and not jointly, unconditionally and irrevocably agrees to, at any meeting of the stockholders of the Original Company and/or the New Company (as applicable) (or any adjournment or postponement thereof), and in any action by written consent of the stockholders of the Original Company and/or the New Company (as applicable), including without limitation the Written Consent as required by the terms of the BCA, such Stockholder shall, if a meeting is held, appear at the meeting, in person or by proxy, or otherwise cause its, his or her Shares to be counted as present thereat for purposes of establishing a quorum, and such Stockholder shall vote or provide consent (or cause to be voted or consented), in person or by proxy, all of its, his or her Shares:</w:t>
      </w:r>
    </w:p>
    <w:p>
      <w:pPr>
        <w:spacing w:after="0" w:line="84" w:lineRule="exact"/>
        <w:rPr>
          <w:sz w:val="20"/>
          <w:szCs w:val="20"/>
          <w:color w:val="auto"/>
        </w:rPr>
      </w:pPr>
    </w:p>
    <w:p>
      <w:pPr>
        <w:ind w:left="120" w:right="200" w:firstLine="436"/>
        <w:spacing w:after="0" w:line="282" w:lineRule="auto"/>
        <w:tabs>
          <w:tab w:leader="none" w:pos="805"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BCA, each Ancillary Document and the Transactions (including, but not limited to, the approval of the Pre-Closing Reorganization and the Pre-Closing Demerger);</w:t>
      </w:r>
    </w:p>
    <w:p>
      <w:pPr>
        <w:spacing w:after="0" w:line="161" w:lineRule="exact"/>
        <w:rPr>
          <w:rFonts w:ascii="Times New Roman" w:cs="Times New Roman" w:eastAsia="Times New Roman" w:hAnsi="Times New Roman"/>
          <w:sz w:val="18"/>
          <w:szCs w:val="18"/>
          <w:color w:val="auto"/>
        </w:rPr>
      </w:pPr>
    </w:p>
    <w:p>
      <w:pPr>
        <w:ind w:left="120" w:firstLine="436"/>
        <w:spacing w:after="0" w:line="289" w:lineRule="auto"/>
        <w:tabs>
          <w:tab w:leader="none" w:pos="815"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upon which a consent or other approval is required under the Original Company and/or the New Company (as applicable) organizational documents or otherwise sought with respect to, or in connection with, the BCA, each Ancillary Document or the Transactions, to vote, consent or approve (or cause to be voted, consented or approved) all of such Stockholder’s Shares held at such time in favor thereof; and</w:t>
      </w:r>
    </w:p>
    <w:p>
      <w:pPr>
        <w:spacing w:after="0" w:line="157" w:lineRule="exact"/>
        <w:rPr>
          <w:rFonts w:ascii="Times New Roman" w:cs="Times New Roman" w:eastAsia="Times New Roman" w:hAnsi="Times New Roman"/>
          <w:sz w:val="17"/>
          <w:szCs w:val="17"/>
          <w:color w:val="auto"/>
        </w:rPr>
      </w:pPr>
    </w:p>
    <w:p>
      <w:pPr>
        <w:ind w:left="120" w:right="120" w:firstLine="436"/>
        <w:spacing w:after="0" w:line="258" w:lineRule="auto"/>
        <w:tabs>
          <w:tab w:leader="none" w:pos="805"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agreement, transaction or proposal that would (i) impede, frustrate, prevent or nullify any provision of this Agreement, the BCA, each Ancillary Document or the Pre-Closing Reorganization or the Pre-Closing Demerger, (ii) result in a breach of any covenant, representation or warranty or any other obligation or agreement of the Original Company and/or the New Company (as applicable) under the BCA or any Ancillary Document or that would reasonably be expected to result in the failure of the Transactions from being consummated. Each Stockholder acknowledges receipt and review of a copy of the BCA and the exhibits thereto.</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Stockholder hereby agrees that it shall not commit or agree to take any action inconsistent with the foregoing save that nothing herein shall prevent a Stockholder taking any action in the exercise of rights that it has under the BCA. Notwithstanding the foregoing, such Stockholder shall not vote or provide consent with respect to any of its, his or her Shares to the extent Stockholder is not a director, officer or affiliate of the Original Company and/or the New Company (as applicable) or holder of Shares representing greater than 5% of the outstanding shares of capital stock of the Original Company and/or the New Company (as applicable), or take any other action, in each case to the extent any such vote, consent or other action would preclude Armada or the New Company from filing with the SEC the Registration Statement / Proxy Statement on Form S-4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4" w:right="45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contemplated by the BCA. Notwithstanding the foregoing, in connection with the actions and obligations contemplated by this Section 2, no Stockholder shall be required pursuant to this Section 2 to incur any costs or expenses, make any payment, or grant any financial concessions or accommodations, including by way of discharge of any liabilities or settling or compromising (or offering to settle or compromise) any claims or rights, to the Original Company and/or the New Company (as applicable), any other Stockholder or any other person.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It is noted that references to “Stockholder” in this paragraph 2, shall mean, in respect of the period after completion of the Pre-Closing Demerger, the stockholders in the New Company immediately after completion of the Pre-Closing Demerger and references to “Stockholders Shares” or equivalent terms shall mean, in respect of the period after completion of the Pre-Closing Demerger, the shares in the capital of the New Company, as the context requires.</w:t>
      </w:r>
    </w:p>
    <w:p>
      <w:pPr>
        <w:spacing w:after="0" w:line="180" w:lineRule="exact"/>
        <w:rPr>
          <w:sz w:val="20"/>
          <w:szCs w:val="20"/>
          <w:color w:val="auto"/>
        </w:rPr>
      </w:pPr>
    </w:p>
    <w:p>
      <w:pPr>
        <w:ind w:left="120" w:right="180" w:firstLine="436"/>
        <w:spacing w:after="0" w:line="282" w:lineRule="auto"/>
        <w:tabs>
          <w:tab w:leader="none" w:pos="74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Each of the Stockholders will deliver, substantially simultaneously with the Effective Time, a duly executed copy of the Investor Rights Agreement substantially in the form attached as Exhibit A to the BCA.</w:t>
      </w:r>
    </w:p>
    <w:p>
      <w:pPr>
        <w:spacing w:after="0" w:line="161" w:lineRule="exact"/>
        <w:rPr>
          <w:rFonts w:ascii="Times New Roman" w:cs="Times New Roman" w:eastAsia="Times New Roman" w:hAnsi="Times New Roman"/>
          <w:sz w:val="18"/>
          <w:szCs w:val="18"/>
          <w:color w:val="auto"/>
        </w:rPr>
      </w:pPr>
    </w:p>
    <w:p>
      <w:pPr>
        <w:ind w:left="120" w:right="380" w:firstLine="436"/>
        <w:spacing w:after="0" w:line="266" w:lineRule="auto"/>
        <w:tabs>
          <w:tab w:leader="none" w:pos="74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 and Dissenters’ Rights</w:t>
      </w:r>
      <w:r>
        <w:rPr>
          <w:rFonts w:ascii="Times New Roman" w:cs="Times New Roman" w:eastAsia="Times New Roman" w:hAnsi="Times New Roman"/>
          <w:sz w:val="18"/>
          <w:szCs w:val="18"/>
          <w:color w:val="auto"/>
        </w:rPr>
        <w:t>. Each Stockholder hereby waives, and agrees not to assert or perfect, any rights of appraisal or rights to dissent from the Pre-Closing Reorganization, the Pre-Closing Demerger or the Closing that the Stockholder may have by virtue of ownership of the Shares, if any.</w:t>
      </w:r>
    </w:p>
    <w:p>
      <w:pPr>
        <w:spacing w:after="0" w:line="175" w:lineRule="exact"/>
        <w:rPr>
          <w:rFonts w:ascii="Times New Roman" w:cs="Times New Roman" w:eastAsia="Times New Roman" w:hAnsi="Times New Roman"/>
          <w:sz w:val="18"/>
          <w:szCs w:val="18"/>
          <w:color w:val="auto"/>
        </w:rPr>
      </w:pPr>
    </w:p>
    <w:p>
      <w:pPr>
        <w:ind w:left="120" w:firstLine="436"/>
        <w:spacing w:after="0" w:line="256" w:lineRule="auto"/>
        <w:tabs>
          <w:tab w:leader="none" w:pos="74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Stockholder Agreements, Related Agreements</w:t>
      </w:r>
      <w:r>
        <w:rPr>
          <w:rFonts w:ascii="Times New Roman" w:cs="Times New Roman" w:eastAsia="Times New Roman" w:hAnsi="Times New Roman"/>
          <w:sz w:val="18"/>
          <w:szCs w:val="18"/>
          <w:color w:val="auto"/>
        </w:rPr>
        <w:t>. Each Stockholder, by this Agreement, with respect to such Stockholder’s Shares, severally and not jointly, hereby terminates, subject to and effective immediately prior to the Closing under the BCA (provided that all Terminating Rights (as defined below) between the New Company and any other holder of New Company capital stock shall also terminate at such time), that certain Shareholder Deed, dated December 18, 2018, by and between DBLP Sea Cow Limited, Daniel Maurice Wagner, Apeiron Investment Group Limited, Bradley Wickens, SYZ Property Invest GmbH and the Original Company (such agreement as novated to the New Company on or around the date of the Pre-Closing Demerger) (the “</w:t>
      </w:r>
      <w:r>
        <w:rPr>
          <w:rFonts w:ascii="Times New Roman" w:cs="Times New Roman" w:eastAsia="Times New Roman" w:hAnsi="Times New Roman"/>
          <w:sz w:val="18"/>
          <w:szCs w:val="18"/>
          <w:u w:val="single" w:color="auto"/>
          <w:color w:val="auto"/>
        </w:rPr>
        <w:t>Stockholder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60" w:firstLine="436"/>
        <w:spacing w:after="0" w:line="252" w:lineRule="auto"/>
        <w:tabs>
          <w:tab w:leader="none" w:pos="74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Hereinafter until the Expiration Time, each Stockholder severally and not jointly, agrees that it shall not, directly or indirectly, (a) sell, assign, transfer (including by operation of law), lien, pledge (except as collateral to any financing source in the ordinary course), dispose of or otherwise encumber any of the Shares or otherwise agree to do any of the foregoing, (b) deposit any Shares into a voting trust or enter into a voting agreement or arrangement or grant any proxy or power of attorney with respect thereto that is inconsistent with this Agreement or (c) enter into any contract, option or other arrangement or undertaking with respect to the direct or indirect acquisition or sale, assignment, transfer (including by operation of law) or other disposition of any Shares; provided, that the foregoing shall not prohibit the transfer of the Shares to the extent referred to in the BCA or the Disclosure Schedules or (A) in respect of up to 10% of the Shares held by a Stockholder at the date hereof (B) if Stockholder is an individual (1) to any member of such Stockholder’s immediate family, or to a trust for the benefit of Stockholder or any member of Stockholder’s immediate family, the sole trustees of which are such Stockholder or any member of such Stockholder’s immediate family or (2) by will, other testamentary document, under the laws of intestacy or by virtue of laws of descent and distribution upon the death of Stockholder; or (C) if Stockholder is an entity, to a Permitted Transferee, but only if, in the case of clause (A), (B) and (C), such transferee shall concurrently execute this Agreement or a joinder agreeing to become a party to this Agreement. Any attempted transfer of Shares or any interest therein in violation of this Section 5 shall be null and void.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 Stockholder, (i) any of its Affiliates or any related or controlled fund or sub-fund, partnership or investment vehicle or any general partner, managing limited partner or management company who holds or manages any business of, or whose business is held or managed by, that Stockholder or any of its Affiliates or (ii) any other person with the prior written consent of the Original Company or the New Company (as appropriate) (not to be unreasonably withheld, delayed or conditioned).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4"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740" w:hanging="184"/>
        <w:spacing w:after="0"/>
        <w:tabs>
          <w:tab w:leader="none" w:pos="74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Stockholder severally and not jointly, represents and warrants as of the Original Date (save in relation to</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which is as of the Amendment Date ) to Armada, and the Original Company as follows:</w:t>
      </w:r>
    </w:p>
    <w:p>
      <w:pPr>
        <w:spacing w:after="0" w:line="98"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56" w:val="left"/>
        </w:tabs>
        <w:numPr>
          <w:ilvl w:val="2"/>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Stockholder of this Agreement and the consummation by such Stockholder of the transactions contemplated hereby do not and will not (i) conflict with or violate any statute, law, ordinance, regulation, rule, code, executive order, injunction, judgment, decree or other order applicable to such Stockholder, (ii) require any consent, approval or authorization of, declaration, filing or registration with, or notice to, any person or entity, (iii) result in the creation of any encumbrance on any Shares (other than under this Agreement, the BCA and the agreements contemplated by the BCA) or (iv) if such Stockholder is an entity, conflict with or result in a breach of or constitute a default under any provision of such Stockholder’s governing documents.</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2"/>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Amendment Date, each Stockholder is the record and beneficial owner (as such term is defined in Rule 13d-3 promulgated under the Exchange Act) of, and has good and valid title to, all of such Stockholder’s Shares set forth opposite the Stockholder’s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free and clear of any security interest, lien, claim, pledge (except as collateral to any financing source in the ordinary course), proxy, option, right of first refusal, agreement, voting restriction, limitation on disposition, charge, adverse claim of ownership or use or other encumbrance of any kind, other than pursuant to (i) this Agreement, (ii) applicable securities laws, and (iii) the Original Company’s articles of association or as set out in the Disclosure Schedules to the BCA. As of the Amendment Date, each Stockholder has the sole power (as currently in effect) to vote and, on the date of transfer, will have, the right, power and authority to sell, transfer and deliver such Shares, and has the power and authority to execute and deliver this Agreement. If this Agreement is being executed in a representative or fiduciary capacity, the person signing this Agreement has full power and authority to enter into this Agreement on behalf of the applicable Stockholder.</w:t>
      </w:r>
    </w:p>
    <w:p>
      <w:pPr>
        <w:spacing w:after="0" w:line="188"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56" w:val="left"/>
        </w:tabs>
        <w:numPr>
          <w:ilvl w:val="2"/>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179" w:lineRule="exact"/>
        <w:rPr>
          <w:rFonts w:ascii="Times New Roman" w:cs="Times New Roman" w:eastAsia="Times New Roman" w:hAnsi="Times New Roman"/>
          <w:sz w:val="18"/>
          <w:szCs w:val="18"/>
          <w:color w:val="auto"/>
        </w:rPr>
      </w:pPr>
    </w:p>
    <w:p>
      <w:pPr>
        <w:ind w:left="120" w:right="120" w:firstLine="987"/>
        <w:spacing w:after="0" w:line="255" w:lineRule="auto"/>
        <w:tabs>
          <w:tab w:leader="none" w:pos="1366" w:val="left"/>
        </w:tabs>
        <w:numPr>
          <w:ilvl w:val="2"/>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Adequate Information</w:t>
      </w:r>
      <w:r>
        <w:rPr>
          <w:rFonts w:ascii="Times New Roman" w:cs="Times New Roman" w:eastAsia="Times New Roman" w:hAnsi="Times New Roman"/>
          <w:sz w:val="18"/>
          <w:szCs w:val="18"/>
          <w:color w:val="auto"/>
        </w:rPr>
        <w:t>. Each Stockholder is a sophisticated stockholder and has adequate information concerning the business and financial condition of Armada, and the Original Company to make an informed decision regarding this Agreement and the transactions contemplated hereby and has independently and without reliance upon Armada and/or the Original Company and based on such information as such Stockholder has deemed appropriate, made its, his or her own analysis and decision to enter into this Agreement. Each Stockholder acknowledges that Armada and the Original Company and the New Company have not made and do not make any representation or warranty, whether express or implied, of any kind or character except as expressly set forth in this Agreement. Such Stockholder acknowledges that the agreements contained herein with respect to the Shares held by such Stockholder are irrevocable.</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2"/>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Each Stockholder has the power, authority and capacity to execute, deliver and perform this Agreement and that this Agreement has been duly authorized, executed and delivered by such Stockholder. Each Stockholder understands and acknowledges that each of Armada, the Original Company and the New Company are entering into the BCA in reliance upon such Stockholder’s execution and delivery of this Agreement.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4" w:right="47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TERMINATION; MISCELLANEOUS</w:t>
      </w:r>
    </w:p>
    <w:p>
      <w:pPr>
        <w:spacing w:after="0" w:line="229" w:lineRule="exact"/>
        <w:rPr>
          <w:sz w:val="20"/>
          <w:szCs w:val="20"/>
          <w:color w:val="auto"/>
        </w:rPr>
      </w:pPr>
    </w:p>
    <w:p>
      <w:pPr>
        <w:ind w:left="740" w:hanging="184"/>
        <w:spacing w:after="0"/>
        <w:tabs>
          <w:tab w:leader="none" w:pos="740"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the Stockholders under this Agreement shall automatically terminate upon the earliest of</w:t>
      </w:r>
    </w:p>
    <w:p>
      <w:pPr>
        <w:spacing w:after="0" w:line="27" w:lineRule="exact"/>
        <w:rPr>
          <w:rFonts w:ascii="Times New Roman" w:cs="Times New Roman" w:eastAsia="Times New Roman" w:hAnsi="Times New Roman"/>
          <w:sz w:val="18"/>
          <w:szCs w:val="18"/>
          <w:color w:val="auto"/>
        </w:rPr>
      </w:pPr>
    </w:p>
    <w:p>
      <w:pPr>
        <w:ind w:left="120" w:right="100" w:hanging="4"/>
        <w:spacing w:after="0" w:line="273" w:lineRule="auto"/>
        <w:tabs>
          <w:tab w:leader="none" w:pos="365" w:val="left"/>
        </w:tabs>
        <w:numPr>
          <w:ilvl w:val="0"/>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Expiration Time and (b) as to each Stockholder, the effective date of a written agreement of the parties hereto terminating this Agreement. Upon termination of this Agreement, neither party shall have any further obligations or liabilities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shall relieve any party of liability for any breach of this Agreement occurring prior to termination. The representations and warranties contained in this Agreement and in any certificate or other writing delivered pursuant hereto shall not survive the Closing or the termination of this Agreement.</w:t>
      </w:r>
    </w:p>
    <w:p>
      <w:pPr>
        <w:spacing w:after="0" w:line="172"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1"/>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Stockholder agrees that he, she or it shall, and shall cause his, her or its respective Affiliates to, execute and deliver such additional documents, instruments, conveyances and assurances, and take such further actions as may be reasonably required to carry out the provisions hereof and the BCA and give effect to the Transactions and the transactions contemplated by this Agreement.</w:t>
      </w:r>
    </w:p>
    <w:p>
      <w:pPr>
        <w:spacing w:after="0" w:line="175" w:lineRule="exact"/>
        <w:rPr>
          <w:rFonts w:ascii="Times New Roman" w:cs="Times New Roman" w:eastAsia="Times New Roman" w:hAnsi="Times New Roman"/>
          <w:sz w:val="18"/>
          <w:szCs w:val="18"/>
          <w:color w:val="auto"/>
        </w:rPr>
      </w:pPr>
    </w:p>
    <w:p>
      <w:pPr>
        <w:ind w:left="120" w:right="400" w:firstLine="987"/>
        <w:spacing w:after="0" w:line="266" w:lineRule="auto"/>
        <w:tabs>
          <w:tab w:leader="none" w:pos="1366"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If to Armada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 Armada Acquisition Corp. I</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Stephen P. Herbert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sherbert@suncvllc.com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1201 W Peachtree St NE #2800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Gerry Williams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gerry.williams@dlapiper.com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If to the Original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Rezolve Limited</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danwagner@rezolve.com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Taylor Wessing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4"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EC4A 3TW</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u w:val="single" w:color="auto"/>
          <w:color w:val="auto"/>
        </w:rPr>
        <w:t>If to the New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80 New Bond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danwagner@rezolve.com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Taylor Wessing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 New Street Square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EC4A 3TW</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r.fenner@taylorwessing.com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If to a Stockholder, to the address or email address set forth for Stockholder on the signature page hereof.</w:t>
      </w:r>
    </w:p>
    <w:p>
      <w:pPr>
        <w:spacing w:after="0" w:line="225" w:lineRule="exact"/>
        <w:rPr>
          <w:sz w:val="20"/>
          <w:szCs w:val="20"/>
          <w:color w:val="auto"/>
        </w:rPr>
      </w:pPr>
    </w:p>
    <w:p>
      <w:pPr>
        <w:ind w:left="120" w:right="100" w:firstLine="987"/>
        <w:spacing w:after="0" w:line="256" w:lineRule="auto"/>
        <w:tabs>
          <w:tab w:leader="none" w:pos="1366"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rFonts w:ascii="Times New Roman" w:cs="Times New Roman" w:eastAsia="Times New Roman" w:hAnsi="Times New Roman"/>
          <w:sz w:val="18"/>
          <w:szCs w:val="18"/>
          <w:color w:val="auto"/>
        </w:rPr>
      </w:pPr>
    </w:p>
    <w:p>
      <w:pPr>
        <w:jc w:val="both"/>
        <w:ind w:left="120" w:right="340" w:firstLine="987"/>
        <w:spacing w:after="0" w:line="312" w:lineRule="auto"/>
        <w:tabs>
          <w:tab w:leader="none" w:pos="1356"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39" w:lineRule="exact"/>
        <w:rPr>
          <w:rFonts w:ascii="Times New Roman" w:cs="Times New Roman" w:eastAsia="Times New Roman" w:hAnsi="Times New Roman"/>
          <w:sz w:val="17"/>
          <w:szCs w:val="17"/>
          <w:color w:val="auto"/>
        </w:rPr>
      </w:pPr>
    </w:p>
    <w:p>
      <w:pPr>
        <w:ind w:left="120" w:right="40" w:firstLine="987"/>
        <w:spacing w:after="0" w:line="282" w:lineRule="auto"/>
        <w:tabs>
          <w:tab w:leader="none" w:pos="1336"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changed, supplemented, waived or otherwise modified or terminated, except upon the execution and delivery of a written agreement executed by Armada, the Original Company, the New Company and the Stockholders.</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77" w:lineRule="auto"/>
        <w:tabs>
          <w:tab w:leader="none" w:pos="1366"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shall be binding upon and inure solely to the benefit of each party hereto (and Armada’s and the Original Company’s and the New Company’s permitted assigns), and nothing in this Agreement, express or implied, is intended to or shall confer upon any other person any right, benefit or remedy of any nature whatsoever under or by reason of this Agreement. No Stockholder shall be liable for the breach by any other Stockholder of this Agreement. This Agreement shall not be assigned (whether pursuant to a merger, by operation of law or otherwise), by any party without the prior express written consent of the other parties hereto, and any such assignment without such consent shall be null and void.</w:t>
      </w:r>
    </w:p>
    <w:p>
      <w:pPr>
        <w:spacing w:after="0" w:line="167" w:lineRule="exact"/>
        <w:rPr>
          <w:rFonts w:ascii="Times New Roman" w:cs="Times New Roman" w:eastAsia="Times New Roman" w:hAnsi="Times New Roman"/>
          <w:sz w:val="17"/>
          <w:szCs w:val="17"/>
          <w:color w:val="auto"/>
        </w:rPr>
      </w:pPr>
    </w:p>
    <w:p>
      <w:pPr>
        <w:ind w:left="120" w:firstLine="987"/>
        <w:spacing w:after="0" w:line="261" w:lineRule="auto"/>
        <w:tabs>
          <w:tab w:leader="none" w:pos="1366"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in the event any provision of this Agreement was not performed in accordance with the terms hereof, and, accordingly, that the parties shall be entitled to specific performance of the terms hereof, in addition to any other remedy at law or inequity.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4" w:right="45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2" w:lineRule="auto"/>
        <w:tabs>
          <w:tab w:leader="none" w:pos="1326"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applicable to Contracts executed in and to be performed in that State. All legal actions and proceedings arising out of or relating to this Agreement shall be heard and determined exclusively in any Delaware Chancery Court; provided, that if jurisdiction is not then available in the Delaware Chancery Court, then any such legal Proceeding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Proceeding arising out of or relating to this Agreement brought by any party hereto, and (b) agree not to commence any Proceeding relating thereto except in the courts described above in Delaware, other than Proceedings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Proceeding arising out of or relating to this Agreement or the transactions contemplated hereby,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Proceeding in any such court is brought in an inconvenient forum, (B) the venue of such Proceeding is improper or (C) this Agreement, or the subject matter hereof, may not be enforced in or by such courts.</w:t>
      </w:r>
    </w:p>
    <w:p>
      <w:pPr>
        <w:spacing w:after="0" w:line="19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or the Transactions.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Transactions, as applicable, by, among other things, the mutual waivers and certifications in this </w:t>
      </w:r>
      <w:r>
        <w:rPr>
          <w:rFonts w:ascii="Times New Roman" w:cs="Times New Roman" w:eastAsia="Times New Roman" w:hAnsi="Times New Roman"/>
          <w:sz w:val="18"/>
          <w:szCs w:val="18"/>
          <w:u w:val="single" w:color="auto"/>
          <w:color w:val="auto"/>
        </w:rPr>
        <w:t>Section 2(k)</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26"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execute and deliver or cause to be executed and delivered such additional documents and instruments and take such further action as may be reasonably necessary to consummate the transactions contemplated by this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20"/>
          </w:cols>
          <w:pgMar w:left="320" w:top="454"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ectPr>
          <w:pgSz w:w="11900" w:h="16838" w:orient="portrait"/>
          <w:cols w:equalWidth="0" w:num="1">
            <w:col w:w="10139"/>
          </w:cols>
          <w:pgMar w:left="320" w:top="454" w:right="1440" w:bottom="1440" w:gutter="0" w:footer="0" w:header="0"/>
        </w:sectPr>
      </w:pP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99"/>
        <w:spacing w:after="0" w:line="289" w:lineRule="auto"/>
        <w:rPr>
          <w:sz w:val="20"/>
          <w:szCs w:val="20"/>
          <w:color w:val="auto"/>
        </w:rPr>
      </w:pPr>
      <w:r>
        <w:rPr>
          <w:rFonts w:ascii="Times New Roman" w:cs="Times New Roman" w:eastAsia="Times New Roman" w:hAnsi="Times New Roman"/>
          <w:sz w:val="17"/>
          <w:szCs w:val="17"/>
          <w:color w:val="auto"/>
        </w:rPr>
        <w:t>/s/ Stephen P. Herbert Stephen P. Herbert Chief Executive Officer</w:t>
      </w:r>
    </w:p>
    <w:p>
      <w:pPr>
        <w:spacing w:after="0" w:line="156" w:lineRule="exact"/>
        <w:rPr>
          <w:sz w:val="20"/>
          <w:szCs w:val="20"/>
          <w:color w:val="auto"/>
        </w:rPr>
      </w:pPr>
    </w:p>
    <w:p>
      <w:pPr>
        <w:sectPr>
          <w:pgSz w:w="11900" w:h="16838" w:orient="portrait"/>
          <w:cols w:equalWidth="0" w:num="2">
            <w:col w:w="7220" w:space="100"/>
            <w:col w:w="2819"/>
          </w:cols>
          <w:pgMar w:left="320" w:top="454" w:right="1440"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Transaction Support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0139"/>
          </w:cols>
          <w:pgMar w:left="320" w:top="454" w:right="1440" w:bottom="1440" w:gutter="0" w:footer="0" w:header="0"/>
          <w:type w:val="continuous"/>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REZOLVE LIMITED</w:t>
      </w:r>
    </w:p>
    <w:p>
      <w:pPr>
        <w:sectPr>
          <w:pgSz w:w="11900" w:h="16838" w:orient="portrait"/>
          <w:cols w:equalWidth="0" w:num="1">
            <w:col w:w="10139"/>
          </w:cols>
          <w:pgMar w:left="320" w:top="454" w:right="1440" w:bottom="1440" w:gutter="0" w:footer="0" w:header="0"/>
        </w:sectPr>
      </w:pP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Daniel Wagner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0" w:lineRule="exact"/>
        <w:rPr>
          <w:sz w:val="20"/>
          <w:szCs w:val="20"/>
          <w:color w:val="auto"/>
        </w:rPr>
      </w:pPr>
    </w:p>
    <w:p>
      <w:pPr>
        <w:sectPr>
          <w:pgSz w:w="11900" w:h="16838" w:orient="portrait"/>
          <w:cols w:equalWidth="0" w:num="2">
            <w:col w:w="7220" w:space="100"/>
            <w:col w:w="2819"/>
          </w:cols>
          <w:pgMar w:left="320" w:top="454" w:right="1440" w:bottom="1440" w:gutter="0" w:footer="0" w:header="0"/>
          <w:type w:val="continuous"/>
        </w:sectPr>
      </w:pP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Transaction Support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0139"/>
          </w:cols>
          <w:pgMar w:left="320" w:top="454" w:right="1440" w:bottom="1440" w:gutter="0" w:footer="0" w:header="0"/>
          <w:type w:val="continuous"/>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145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ectPr>
          <w:pgSz w:w="11900" w:h="16838" w:orient="portrait"/>
          <w:cols w:equalWidth="0" w:num="1">
            <w:col w:w="10139"/>
          </w:cols>
          <w:pgMar w:left="320" w:top="454" w:right="1440" w:bottom="1440" w:gutter="0" w:footer="0" w:header="0"/>
        </w:sectPr>
      </w:pP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Daniel Wagner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Wagner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0" w:lineRule="exact"/>
        <w:rPr>
          <w:sz w:val="20"/>
          <w:szCs w:val="20"/>
          <w:color w:val="auto"/>
        </w:rPr>
      </w:pPr>
    </w:p>
    <w:p>
      <w:pPr>
        <w:sectPr>
          <w:pgSz w:w="11900" w:h="16838" w:orient="portrait"/>
          <w:cols w:equalWidth="0" w:num="2">
            <w:col w:w="7220" w:space="100"/>
            <w:col w:w="2819"/>
          </w:cols>
          <w:pgMar w:left="320" w:top="454" w:right="1440" w:bottom="1440" w:gutter="0" w:footer="0" w:header="0"/>
          <w:type w:val="continuous"/>
        </w:sectPr>
      </w:pP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Transaction Support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0139"/>
          </w:cols>
          <w:pgMar w:left="320" w:top="454" w:right="1440" w:bottom="1440" w:gutter="0" w:footer="0" w:header="0"/>
          <w:type w:val="continuous"/>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0139"/>
          </w:cols>
          <w:pgMar w:left="320" w:top="454" w:right="1440"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Apeiron Investment Group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Julien Hoefer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7"/>
              </w:rPr>
              <w:t>A director</w:t>
            </w:r>
          </w:p>
        </w:tc>
        <w:tc>
          <w:tcPr>
            <w:tcW w:w="366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Julien Hoefer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40"/>
          </w:cols>
          <w:pgMar w:left="320" w:top="454" w:right="43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2560"/>
        <w:spacing w:after="0"/>
        <w:rPr>
          <w:sz w:val="20"/>
          <w:szCs w:val="20"/>
          <w:color w:val="auto"/>
        </w:rPr>
      </w:pPr>
      <w:r>
        <w:rPr>
          <w:rFonts w:ascii="Times New Roman" w:cs="Times New Roman" w:eastAsia="Times New Roman" w:hAnsi="Times New Roman"/>
          <w:sz w:val="18"/>
          <w:szCs w:val="18"/>
          <w:b w:val="1"/>
          <w:bCs w:val="1"/>
          <w:color w:val="auto"/>
        </w:rPr>
        <w:t>DBLP Sea Cow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7"/>
              </w:rPr>
              <w:t>A director</w:t>
            </w:r>
          </w:p>
        </w:tc>
        <w:tc>
          <w:tcPr>
            <w:tcW w:w="366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Transaction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40"/>
          </w:cols>
          <w:pgMar w:left="320" w:top="454" w:right="43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Daniel Wagner</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140"/>
          </w:cols>
          <w:pgMar w:left="320" w:top="454" w:right="43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John Wagner</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 John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Mr</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0</wp:posOffset>
            </wp:positionV>
            <wp:extent cx="231457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40"/>
          </w:cols>
          <w:pgMar w:left="320" w:top="454" w:right="43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Igor Lychagov</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Igor Lychagov</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Igor Lychagov</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00" w:type="dxa"/>
            <w:vAlign w:val="bottom"/>
            <w:vMerge w:val="continue"/>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140"/>
          </w:cols>
          <w:pgMar w:left="320" w:top="454" w:right="4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3080"/>
        <w:spacing w:after="0"/>
        <w:rPr>
          <w:sz w:val="20"/>
          <w:szCs w:val="20"/>
          <w:color w:val="auto"/>
        </w:rPr>
      </w:pPr>
      <w:r>
        <w:rPr>
          <w:rFonts w:ascii="Times New Roman" w:cs="Times New Roman" w:eastAsia="Times New Roman" w:hAnsi="Times New Roman"/>
          <w:sz w:val="18"/>
          <w:szCs w:val="18"/>
          <w:b w:val="1"/>
          <w:bCs w:val="1"/>
          <w:color w:val="auto"/>
        </w:rPr>
        <w:t>Sir David Wright</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Sir David Wright</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Sir David Wright</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40"/>
          </w:cols>
          <w:pgMar w:left="320" w:top="454" w:right="43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8"/>
          <w:szCs w:val="18"/>
          <w:b w:val="1"/>
          <w:bCs w:val="1"/>
          <w:color w:val="auto"/>
        </w:rPr>
        <w:t>Brooks Newmark</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Brooks Newmark</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Brooks Newmark</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1140"/>
          </w:cols>
          <w:pgMar w:left="320" w:top="454" w:right="43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Anthony Sharp</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Anthony Sharp</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Anthony Sharp</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1140"/>
          </w:cols>
          <w:pgMar w:left="320" w:top="454" w:right="43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Steve Perry</w:t>
      </w:r>
    </w:p>
    <w:p>
      <w:pPr>
        <w:spacing w:after="0" w:line="121"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Steve Perry</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 Perry</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w:t>
            </w: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r>
        <w:trPr>
          <w:trHeight w:val="304"/>
        </w:trPr>
        <w:tc>
          <w:tcPr>
            <w:tcW w:w="70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40"/>
          </w:cols>
          <w:pgMar w:left="320" w:top="454" w:right="43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Business Combination Agreement</w:t>
      </w:r>
    </w:p>
    <w:p>
      <w:pPr>
        <w:spacing w:after="0" w:line="1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0139"/>
          </w:cols>
          <w:pgMar w:left="320" w:top="454" w:right="1440"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Company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Deferred shares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1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Radio Frankfurt Media GmbH</w:t>
            </w:r>
          </w:p>
        </w:tc>
        <w:tc>
          <w:tcPr>
            <w:tcW w:w="10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ANTEFRAGMB</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2,885,437</w:t>
            </w:r>
          </w:p>
        </w:tc>
        <w:tc>
          <w:tcPr>
            <w:tcW w:w="20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4"/>
            <w:shd w:val="clear" w:color="auto" w:fill="CCEEFF"/>
          </w:tcPr>
          <w:p>
            <w:pPr>
              <w:jc w:val="right"/>
              <w:ind w:right="360"/>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Lokalradios RLP GmbH</w:t>
            </w:r>
          </w:p>
        </w:tc>
        <w:tc>
          <w:tcPr>
            <w:tcW w:w="106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LOKARLPGMB</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2,885,437</w:t>
            </w:r>
          </w:p>
        </w:tc>
        <w:tc>
          <w:tcPr>
            <w:tcW w:w="180" w:type="dxa"/>
            <w:vAlign w:val="bottom"/>
          </w:tcPr>
          <w:p>
            <w:pPr>
              <w:spacing w:after="0"/>
              <w:rPr>
                <w:sz w:val="18"/>
                <w:szCs w:val="18"/>
                <w:color w:val="auto"/>
              </w:rPr>
            </w:pPr>
          </w:p>
        </w:tc>
        <w:tc>
          <w:tcPr>
            <w:tcW w:w="11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20.000%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Radio Group GmbH</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RADIGROGMB</w:t>
            </w:r>
          </w:p>
        </w:tc>
        <w:tc>
          <w:tcPr>
            <w:tcW w:w="10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8,656,311</w:t>
            </w: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Total Allotted</w:t>
            </w:r>
          </w:p>
        </w:tc>
        <w:tc>
          <w:tcPr>
            <w:tcW w:w="8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6"/>
              </w:rPr>
              <w:t>14,427,185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£0.0001 Ordinary shares</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0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8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4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Agoh, Henry</w:t>
            </w:r>
          </w:p>
        </w:tc>
        <w:tc>
          <w:tcPr>
            <w:tcW w:w="10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gridSpan w:val="2"/>
            <w:vMerge w:val="continue"/>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AGOH-H</w:t>
            </w:r>
          </w:p>
        </w:tc>
        <w:tc>
          <w:tcPr>
            <w:tcW w:w="1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w:t>
            </w:r>
          </w:p>
        </w:tc>
        <w:tc>
          <w:tcPr>
            <w:tcW w:w="1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100" w:type="dxa"/>
            <w:vAlign w:val="bottom"/>
            <w:gridSpan w:val="3"/>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0.398%</w:t>
            </w: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0.387%</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Agor, Gifty Koryoe</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AGOR-GK</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13,169,900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Ahmad, Salman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AHMAD-S_0001</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0.298%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Apeiron Investment Group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APEIINVGRO</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69,036,194</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6.864%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Aquila Investments Ltd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AQUILINVES</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642,900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Ashton, Neil</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ASHTON-N</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7,678,800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0.764%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0.743%</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Azad, Shirin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AZAD-S</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0.373%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Besh Holdings</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BESHHOLDIN</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2,669,900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0.265%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0.258%</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Bitplaces GmbH</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BITPLGMBH</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0.298%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Caplin, Tony</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CAPLIN-T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9,500,000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0.945%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0.919%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CCM Hong Kong Ltd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CCMHK</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10,770,200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 Sunyoon</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CHANG-S</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7,043,200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0.700%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Cohen, Pierre</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COHEN-P</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0.034%</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DBLPSEACOW</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294,743,165</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29.307%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28.512%</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Dein, Gavin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DEIN-G</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0.124%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Dicken, Chris</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DICKEN-C</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0.025%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0.024%</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Eisner, Alan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EISNER-A</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0.068%</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Gouldthorpe, Chris</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GOULDTHO-C</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0.015%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0.015%</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Harbury House Limited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HARBUHOUSE</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0.406%</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H&amp;M Management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HMMAN</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0.099%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0.097%</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Huang, Edward</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HUANG-E</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0.597%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0.580%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Jullen Global Limited</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JULLEGLOBA</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5,289,400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0.526%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0.512%</w:t>
            </w:r>
          </w:p>
        </w:tc>
        <w:tc>
          <w:tcPr>
            <w:tcW w:w="0" w:type="dxa"/>
            <w:vAlign w:val="bottom"/>
          </w:tcPr>
          <w:p>
            <w:pPr>
              <w:spacing w:after="0"/>
              <w:rPr>
                <w:sz w:val="1"/>
                <w:szCs w:val="1"/>
                <w:color w:val="auto"/>
              </w:rPr>
            </w:pPr>
          </w:p>
        </w:tc>
      </w:tr>
      <w:tr>
        <w:trPr>
          <w:trHeight w:val="198"/>
        </w:trPr>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Julius Meller Management Services Ltd</w:t>
            </w: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(RBS A/C D R Meller)</w:t>
            </w:r>
          </w:p>
        </w:tc>
        <w:tc>
          <w:tcPr>
            <w:tcW w:w="1060" w:type="dxa"/>
            <w:vAlign w:val="bottom"/>
            <w:shd w:val="clear" w:color="auto" w:fill="CCEEFF"/>
          </w:tcPr>
          <w:p>
            <w:pPr>
              <w:spacing w:after="0"/>
              <w:rPr>
                <w:sz w:val="20"/>
                <w:szCs w:val="20"/>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JUMMSRADRM</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1,052,100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0.105%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0.102%</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Kalaris, Thomas L</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KALARIS-TL</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Kantor Investment Company LLC</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KANTINVLLC</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360,468</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Khan, Urmee</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KHAN-U</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0.030%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Krupczynski, Adam</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KRUPCZYN-A</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Simon Ware</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LANE-SW</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1,357,200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0.135%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0.131%</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 Joongkun</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LEE-J_000002</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527,100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0.052%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Leighton, Wendy</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LEIGHTON-W_1</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205,900</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0.020%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Trustees of the Levy 2011 Family Trust (jointly)</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LEVY20FATR</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355,500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0.034%</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Levy, Cecil</w:t>
            </w:r>
          </w:p>
        </w:tc>
        <w:tc>
          <w:tcPr>
            <w:tcW w:w="1060" w:type="dxa"/>
            <w:vAlign w:val="bottom"/>
          </w:tcPr>
          <w:p>
            <w:pPr>
              <w:spacing w:after="0"/>
              <w:rPr>
                <w:sz w:val="18"/>
                <w:szCs w:val="18"/>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LEVY-C</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66,364</w:t>
            </w: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0.007%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 Sam</w:t>
            </w:r>
          </w:p>
        </w:tc>
        <w:tc>
          <w:tcPr>
            <w:tcW w:w="1060" w:type="dxa"/>
            <w:vAlign w:val="bottom"/>
            <w:shd w:val="clear" w:color="auto" w:fill="CCEEFF"/>
          </w:tcPr>
          <w:p>
            <w:pPr>
              <w:spacing w:after="0"/>
              <w:rPr>
                <w:sz w:val="18"/>
                <w:szCs w:val="18"/>
                <w:color w:val="auto"/>
              </w:rPr>
            </w:pPr>
          </w:p>
        </w:tc>
        <w:tc>
          <w:tcPr>
            <w:tcW w:w="212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LEWIS-S_0001</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700,000</w:t>
            </w:r>
          </w:p>
        </w:tc>
        <w:tc>
          <w:tcPr>
            <w:tcW w:w="11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0.068%</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C-22</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4" w:right="43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40" w:type="dxa"/>
            <w:vAlign w:val="bottom"/>
          </w:tcPr>
          <w:p>
            <w:pPr>
              <w:spacing w:after="0"/>
              <w:rPr>
                <w:sz w:val="15"/>
                <w:szCs w:val="15"/>
                <w:color w:val="auto"/>
              </w:rPr>
            </w:pP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Lianos, Elias</w:t>
            </w:r>
          </w:p>
        </w:tc>
        <w:tc>
          <w:tcPr>
            <w:tcW w:w="1080" w:type="dxa"/>
            <w:vAlign w:val="bottom"/>
            <w:vMerge w:val="restart"/>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8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LIANOS-E</w:t>
            </w:r>
          </w:p>
        </w:tc>
        <w:tc>
          <w:tcPr>
            <w:tcW w:w="2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992,900</w:t>
            </w:r>
          </w:p>
        </w:tc>
        <w:tc>
          <w:tcPr>
            <w:tcW w:w="26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0.099%</w:t>
            </w:r>
          </w:p>
        </w:tc>
        <w:tc>
          <w:tcPr>
            <w:tcW w:w="8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 Rome</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LIN-R</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Lychagov, Igor</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LYCHAGOV-I</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201,374,832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20.023%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M1 RE Limited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M1RE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1,714,286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Aperitus Limited</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MARCEREICH</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0.994%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0.967%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 Nilesh</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MATE-N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 Investments LLC</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MONSINVLLC</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2,028,500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0.202%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 Brooks</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NEWMARK-B</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8.949%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Stephen</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PERRY-DS</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0.338%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Portelli, Neville</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PORTELLI-N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1,803,600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0.179%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Trustees of the Risol Limited Pension Fund (jointly)</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RISOL</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Jeremy</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SAN-J</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3,333,333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0.331%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SCN/REI Holdings LLC</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SCNRHOLLLC</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2,028,500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0.202%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Shalson, Peter</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SHALSON-P</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1,357,200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0.135%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Sharp, Anthony</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SHARP-A_0001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11,515,800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Shyr, Han Shin</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SHYR-HS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0.199%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Sriphet, Orathai</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SRIPHET-O</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0.249%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0.242%</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Suh, Jung Yoon</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SUH-JY</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242,400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SYZ Property Invest GmbH</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SYZPRINGM</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6,154,000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0.612%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0.595%</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Tanist Group Limited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TANISGROUP</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10,289,400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Vesco, Peter</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VESCO-P</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0.696%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0.677%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Wagner, Adam</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WAGNER-A_001</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0.597%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0.580%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Wagner, Daniel Maurice</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WAGNER-DM_01</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89,790,259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8.928%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Wagner, John</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WAGNER-J</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0.497%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Wickens, Bradley James</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WICKENS-BJ</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47,446,600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Wright GCMG LVO, Sir David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WRIGHT-SD</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0.298%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Hai Yup</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YANG-HY</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242,400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Yang, Noah</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YANG-N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97,400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Yang, Sungwook</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YANG-S</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1,644,800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0.159%</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Yao, Arthur</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YAO-A</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7,000,000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0.677%</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YuanTa Limited</w:t>
            </w:r>
          </w:p>
        </w:tc>
        <w:tc>
          <w:tcPr>
            <w:tcW w:w="31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YUANTA</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1,359,223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0.131%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ZSQ Invest Limited</w:t>
            </w:r>
          </w:p>
        </w:tc>
        <w:tc>
          <w:tcPr>
            <w:tcW w:w="31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ZSQINVEST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15,401,500</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Allotted</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991,285,224</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1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C-23</w:t>
            </w: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4" w:right="43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£0.0001 Series A shares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QuickRef</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 Held</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 %</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Apeiron Investment Group Limited</w:t>
            </w:r>
          </w:p>
        </w:tc>
        <w:tc>
          <w:tcPr>
            <w:tcW w:w="194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2"/>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16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APEIINVGRO</w:t>
            </w:r>
          </w:p>
        </w:tc>
        <w:tc>
          <w:tcPr>
            <w:tcW w:w="1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948,159</w:t>
            </w:r>
          </w:p>
        </w:tc>
        <w:tc>
          <w:tcPr>
            <w:tcW w:w="4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3.382%</w:t>
            </w:r>
          </w:p>
        </w:tc>
        <w:tc>
          <w:tcPr>
            <w:tcW w:w="88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0.092%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 Mark</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ISRAEL-M</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194,763</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0.695%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Kantor Investment Company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KANTINVLLC</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67,141</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0.239%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Justin</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KING-J_00001</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44,044</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0.157%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0.004%</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Lauder, Gary M.</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LAUDER-GM</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486,907</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0.047%</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Levy, Cecil</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LEVY-C</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59,580</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0.212%</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 Sam</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LEWIS-S_0001</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22,022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0.079%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Lychagov, Igor</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LYCHAGOV-I</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11,685,761</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41.676%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 Investments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MONSINVLLC</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1,629,632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5.812%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0.158%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 Brooks</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NEWMARK-B</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3,523,529</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12.566%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0.341%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Patel Family Investment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PATEFAINLL</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243,453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0.868%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0.024%</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Stephen</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PERRY-DS</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61,662</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0.220%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SCN/REI Holdings LLC</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SCNRHOLLLC</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771,982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2.753%</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 FF Nominees Limited</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UKFFNOM</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7,317,488</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26.097%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0.708%</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Wickens, Bradley James</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WICKENS-BJ</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948,159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3.382%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Wright GCMG LVO, Sir David</w:t>
            </w:r>
          </w:p>
        </w:tc>
        <w:tc>
          <w:tcPr>
            <w:tcW w:w="19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WRIGHT-SD</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35,235</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0.126%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0.003%</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Allotted</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28,039,517</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C-24</w:t>
            </w:r>
          </w:p>
        </w:tc>
        <w:tc>
          <w:tcPr>
            <w:tcW w:w="8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4" w:right="43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WARRANT ASSIGNMENT, ASSUMPTION AND AMENDMENT AGREEMENT</w:t>
      </w:r>
    </w:p>
    <w:p>
      <w:pPr>
        <w:spacing w:after="0" w:line="229" w:lineRule="exact"/>
        <w:rPr>
          <w:sz w:val="20"/>
          <w:szCs w:val="20"/>
          <w:color w:val="auto"/>
        </w:rPr>
      </w:pPr>
    </w:p>
    <w:p>
      <w:pPr>
        <w:ind w:left="120" w:right="420" w:firstLine="440"/>
        <w:spacing w:after="0" w:line="255" w:lineRule="auto"/>
        <w:rPr>
          <w:sz w:val="20"/>
          <w:szCs w:val="20"/>
          <w:color w:val="auto"/>
        </w:rPr>
      </w:pPr>
      <w:r>
        <w:rPr>
          <w:rFonts w:ascii="Times New Roman" w:cs="Times New Roman" w:eastAsia="Times New Roman" w:hAnsi="Times New Roman"/>
          <w:sz w:val="18"/>
          <w:szCs w:val="18"/>
          <w:color w:val="auto"/>
        </w:rPr>
        <w:t>This WARRANT ASSIGNMENT, ASSUMPTION AND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 2024, by and among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Rezolve AI PLC, a public limited company registered under the laws of England and Wales with registration number 14573691 (“</w:t>
      </w:r>
      <w:r>
        <w:rPr>
          <w:rFonts w:ascii="Times New Roman" w:cs="Times New Roman" w:eastAsia="Times New Roman" w:hAnsi="Times New Roman"/>
          <w:sz w:val="18"/>
          <w:szCs w:val="18"/>
          <w:u w:val="single" w:color="auto"/>
          <w:color w:val="auto"/>
        </w:rPr>
        <w:t>Rezolve</w:t>
      </w:r>
      <w:r>
        <w:rPr>
          <w:rFonts w:ascii="Times New Roman" w:cs="Times New Roman" w:eastAsia="Times New Roman" w:hAnsi="Times New Roman"/>
          <w:sz w:val="18"/>
          <w:szCs w:val="18"/>
          <w:color w:val="auto"/>
        </w:rPr>
        <w:t>”), Computershare Inc., a Delaware corporation (“</w:t>
      </w:r>
      <w:r>
        <w:rPr>
          <w:rFonts w:ascii="Times New Roman" w:cs="Times New Roman" w:eastAsia="Times New Roman" w:hAnsi="Times New Roman"/>
          <w:sz w:val="18"/>
          <w:szCs w:val="18"/>
          <w:u w:val="single" w:color="auto"/>
          <w:color w:val="auto"/>
        </w:rPr>
        <w:t>Computershare Inc.</w:t>
      </w:r>
      <w:r>
        <w:rPr>
          <w:rFonts w:ascii="Times New Roman" w:cs="Times New Roman" w:eastAsia="Times New Roman" w:hAnsi="Times New Roman"/>
          <w:sz w:val="18"/>
          <w:szCs w:val="18"/>
          <w:color w:val="auto"/>
        </w:rPr>
        <w:t>”) and its affiliate, Computershare Trust Company, N.A., a federally chartered trust company, (collectively with Computershare Inc.,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as successor warrant agent, and Continental Stock Transfer &amp; Trust Company, a New York Corporation (the “</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as former warrant agent. Capitalized terms used but not defined in this Agreement shall have the respective meanings ascribed to such terms in the Business Combination Agreement (as defined below).</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WHEREAS, Armada and Continental are parties to that certain Warrant Agreement, dated as of August 12, 2021, filed with the United States Securities and Exchange Commission on August 18, 2021 (including all Exhibits thereto, the “</w:t>
      </w:r>
      <w:r>
        <w:rPr>
          <w:rFonts w:ascii="Times New Roman" w:cs="Times New Roman" w:eastAsia="Times New Roman" w:hAnsi="Times New Roman"/>
          <w:sz w:val="18"/>
          <w:szCs w:val="18"/>
          <w:u w:val="single" w:color="auto"/>
          <w:color w:val="auto"/>
        </w:rPr>
        <w:t>Existing Warrant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WHEREAS, Armada has issued and sold 7,500,000 warrants as part of the units sold to public investors in a public offering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to purchase Armada common stock with each whole Warrant being exercisable for one share of Armada common stock and with an exercise price of $11.50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all of the Warrants are governed by the Existing Warrant Agreement;</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WHEREAS, Armada, Rezolve, Rezolve Limited, a private limited company organized under the laws of England and Wales and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entered into that certain business combination agreement, dated as of December 17, 2021 (as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WHEREAS, immediately prior to the Merger Effective Time, each issued and outstanding Warrant will be exchanged for one warrant in the capital of Rezolve.</w:t>
      </w:r>
    </w:p>
    <w:p>
      <w:pPr>
        <w:spacing w:after="0" w:line="162"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WHEREAS, as contemplated by Section 4.5 of the Existing Warrant Agreement, the Warrants are no longer exercisable for Armada common stock but instead are exercisable (subject to the terms and conditions of the Existing Warrant Agreement as amended hereby) for Rezolve ordinary shares (the “</w:t>
      </w:r>
      <w:r>
        <w:rPr>
          <w:rFonts w:ascii="Times New Roman" w:cs="Times New Roman" w:eastAsia="Times New Roman" w:hAnsi="Times New Roman"/>
          <w:sz w:val="18"/>
          <w:szCs w:val="18"/>
          <w:u w:val="single" w:color="auto"/>
          <w:color w:val="auto"/>
        </w:rPr>
        <w:t>Rezolve Ordinary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Armada Board has determined that the consummation of the transactions contemplated by the Business Combination Agreement constitutes a “Business Combination” (as such term is defined in Section 3.2 of the Existing Warrant Agreement);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WHEREAS, Rezolve has obtained all necessary corporate approvals to enter into this Agreement and to consummate the transactions contemplated hereby (including the assignment and assumption of the Existing Warrant Agreement and the related issuance of each Warrant, and exchange thereof for a warrant to subscribe for Rezolve Ordinary Shares on the conditions set out herein, and the exclusion of any pre-emptive rights in that respect) and by the Existing Warrant Agreement;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WHEREAS, Armada desires to assign all of its right, title and interest in the Existing Warrant Agreement to Rezolve and Rezolve wishes to accept such assignment;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4" w:right="43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WHEREAS, Section 9.8 of the Existing Warrant Agreement provides that Armada and Continental may amend the Existing Warrant Agreement without the consent of any Registered Holder (as such term is defined in the Existing Warrant Agreement) for the purpose of curing any ambiguity, or curing, correcting or supplementing any defective provision contained therein or adding or changing any other provisions with respect to matters or questions arising under the Existing Warrant Agreement as Armada and Continental may deem necessary or desirable and that Armada and Continental deem shall not adversely affect the interest of the Registered Holders (as such term is defined in the Existing Warrant Agreement) of the Warrants;</w:t>
      </w:r>
    </w:p>
    <w:p>
      <w:pPr>
        <w:spacing w:after="0" w:line="168"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WHEREAS, effective upon Closing, the Company wishes to appoint Computershare to serve as successor warrant agent under the Existing Warrant Agreement (as amended hereby) and in furtherance of the foregoing the Company has waived the requirement in Section 8.2.1 of the Existing Warrant Agreement that the successor warrant agent be a corporation or other entity organized and existing under the laws of the State of New York;</w:t>
      </w:r>
    </w:p>
    <w:p>
      <w:pPr>
        <w:spacing w:after="0" w:line="158"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upon such appointment, Continental wishes to assign all of its rights, interests and obligations as warrant agent under the Existing Warrant Agreement (as amended hereby) to Computershare and Computershare wishes to assume all of such rights, interests and obligations and the Company wishes to approve such assignment and assumption; and</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receipt and sufficiency of which are hereby acknowledged, and intending to be legally bound hereby, the parties hereto agree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ASSIGNMENT AND ASSUMPTION; CONSENT</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Armada hereby assigns to Rezolve all of Armada’s right, title and interest in and to the Existing Warrant Agreement (as amended hereby) and Rezolve hereby assumes, and agrees to pay, perform, satisfy and discharge in full, as the same become due, all of Armada’s liabilities and obligations under the Existing Warrant Agreement (as amended hereby) arising from and after the execution of this Agreement, in each case, as of the Merger Effective Time, and conditioned on the occurrence of the Closing. As a result of the preceding sentence, effective immediately prior Merger Effective Time, each Warrant shall be exchanged for newly issued Rezolve warrants and automatically cease to represent a right to acquire Armada common stock and shall instead represent a right to acquire Rezolve Ordinary Shares pursuant to the terms and conditions of the Existing Warrant Agreement (as amended hereby). Rezolve consents to payment of the Warrant Price (as defined in the Existing Warrant Agreement) upon an exercise of such warrants for Rezolve Ordinary Shares in accordance with the terms of the Existing Warrant Agreement.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Continental hereby consents to the assignment of the Existing Warrant Agreement by Armada to Rezolve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immediately at the Effective Time and conditioned on the occurrence of the Closing, and the assumption of the Existing Warrant Agreement by Rezolve from Armada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effective at the Effective Time and conditioned on the occurrence of the Closing, and to the continuation of the Existing Warrant Agreement in full force and effect from at the Effective Time, subject at all times to the Existing Warrant Agreement (as amended hereby) and to all of the provisions, covenants, agreements, terms and conditions of the Existing Warrant Agreement and this Agreement.</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Rezolve hereby appoints Computershare to serve as successor warrant agent to Continental under the Existing Warrant Agreement (as amended hereby) effective upon the Closing, and Continental hereby assigns to Computershare, and Computershare hereby agrees to accept and assume, with effect from Closing all of Continental’s rights, interests and obligations in, and under the Existing Warrant Agreement (as amended hereby) and the Warrants, as warrant agent; provided that, Computershare shall not assume any of Continental’s liabilities and obligations under the Existing Warrant Agreement (as amended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4" w:right="45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hereby) arising prior to the Closing. Unless otherwise provided or the context otherwise requires, from and after Closing, any references in the Existing Warrant Agreement (as amended hereby) to the “Warrant Agent” shall mean Computershare.</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EXISTING WARRANT AGREEMENT</w:t>
      </w:r>
    </w:p>
    <w:p>
      <w:pPr>
        <w:spacing w:after="0" w:line="20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Rezolve and Computershare hereby amend the Existing Warrant Agreement as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effective at the Merger Effective Time and conditioned on the occurrence of the Closing, and acknowledge and agree that the amendments to the Existing Warrant Agreement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necessary or desirable and that such amendments do not adversely affect the interests of the Registered Holders (as such term is defined in the Existing Warrant Agreement).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All references to “Armada Acquisition Corp. I, a Delaware corporation, with offices at 2005 Market Street, Suite 3120, Philadelphia, PA 19103” in the Existing Warrant Agreement shall refer instead to “Rezolve AI PLC, a public limited company registered under the laws of England and Wales with offices at 3rd Floor, 80 New Bond Street London, W1S 1SB, United Kingdom.” As a result thereof, all references to the “Company” in the Existing Warrant Agreement shall be references to Rezolve AI PLC rather than to Armada Acquisition Corp. I. All references to “Continental Stock Transfer &amp; Trust Company, a New York limited purpose trust company, with offices at 1 State Street, New York, New York 10004” in the Existing Warrant Agreement shall refer instead to “Computershare Inc., a Delaware corporation (“</w:t>
      </w:r>
      <w:r>
        <w:rPr>
          <w:rFonts w:ascii="Times New Roman" w:cs="Times New Roman" w:eastAsia="Times New Roman" w:hAnsi="Times New Roman"/>
          <w:sz w:val="18"/>
          <w:szCs w:val="18"/>
          <w:u w:val="single" w:color="auto"/>
          <w:color w:val="auto"/>
        </w:rPr>
        <w:t>Computershare Inc.</w:t>
      </w:r>
      <w:r>
        <w:rPr>
          <w:rFonts w:ascii="Times New Roman" w:cs="Times New Roman" w:eastAsia="Times New Roman" w:hAnsi="Times New Roman"/>
          <w:sz w:val="18"/>
          <w:szCs w:val="18"/>
          <w:color w:val="auto"/>
        </w:rPr>
        <w:t>”) and its affiliate, Computershare Trust Company, N.A., a federally chartered trust company, (collectively with Computershare Inc.,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As a result thereof, all references to the “Warrant Agent” in the Existing Warrant Agreement shall be references to Computershare rather than to Armada Continental.</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“common stock” or “Common Stock” in the Existing Warrant Agreement shall refer instead to “ordinary shares” or “Shares”, respectively. As a result thereof, all references to “common stock” or “Common Stock” in the Existing Warrant Agreement shall be references to Rezolve Ordinary Shares rather than to Armada Common Stock. All references to “par value” in the Existing Warrant Agreement shall refer instead to “nominal value”.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shall be inserted into the Existing Warrant Agreement:</w:t>
      </w:r>
    </w:p>
    <w:p>
      <w:pPr>
        <w:spacing w:after="0" w:line="11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among other things, the Company shall reorganize its share capital and re-register as a public company limited by shares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 thereafter, Armada shall be merged with and into Merger Sub (a wholly-owned subsidiary of the Company), with Armada surviving as a subsidiary of the Company (the “Merger” and the date on which it closed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terms having the same meanings as defined in the Business Combination Agreement);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the holders of Armada warrants for a total of [•]Warrants;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F-4,</w:t>
      </w:r>
    </w:p>
    <w:p>
      <w:pPr>
        <w:spacing w:after="0" w:line="27"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No. 333-272751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Warrants;”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060"/>
          </w:cols>
          <w:pgMar w:left="320" w:top="454" w:right="51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The following preambles in the Existing Warrant Agreement are hereby deleted in their entirety:</w:t>
      </w:r>
    </w:p>
    <w:p>
      <w:pPr>
        <w:spacing w:after="0" w:line="117"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“WHEREAS, the Company is engaged in a public offering (“</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of up to 17,250,000 units, each unit (“</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comprised of one share of common stock of the Company, par value $0.0001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one-half of one warrant, where each whole warrant entitles the holder to purchase one share of Common Stock at a price of $11.50 per share, subject to adjustment as described herein, and, in connection therewith, will issue and deliver up to 8,625,000 warrants (the “</w:t>
      </w:r>
      <w:r>
        <w:rPr>
          <w:rFonts w:ascii="Times New Roman" w:cs="Times New Roman" w:eastAsia="Times New Roman" w:hAnsi="Times New Roman"/>
          <w:sz w:val="17"/>
          <w:szCs w:val="17"/>
          <w:u w:val="single" w:color="auto"/>
          <w:color w:val="auto"/>
        </w:rPr>
        <w:t>Public Warrants</w:t>
      </w:r>
      <w:r>
        <w:rPr>
          <w:rFonts w:ascii="Times New Roman" w:cs="Times New Roman" w:eastAsia="Times New Roman" w:hAnsi="Times New Roman"/>
          <w:sz w:val="17"/>
          <w:szCs w:val="17"/>
          <w:color w:val="auto"/>
        </w:rPr>
        <w:t>”) to the public investors in connection with the Public Offering;”</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S-1,</w:t>
      </w:r>
    </w:p>
    <w:p>
      <w:pPr>
        <w:spacing w:after="0" w:line="27"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No. 333-257692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Public Warrants;”</w:t>
      </w:r>
    </w:p>
    <w:p>
      <w:pPr>
        <w:spacing w:after="0" w:line="18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“WHEREAS, following consummation of the Public Offering, the Company may issue additional warrants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connection with, or following the consummation by the Company of, a Business Combination (defined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 xml:space="preserve"> All references to “Public Warrants” in the Existing Warrant Agreement shall refer instead to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Section 2.2 of the Existing Warrant Agreement is hereby amended and restated in its entirety as follows: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Section 2.3 of the Existing Warrant Agreement is hereby amended to add the following immediately after the first full sentence thereof:</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Warrants shall be countersigned by the Warrant Agent either manually or by facsimile or other electronic signature.”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Section 2.5 of the Existing Warrant Agreement is hereby deleted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xml:space="preserve"> Section 2.6 of the Existing Warrant Agreement is hereby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-7620</wp:posOffset>
            </wp:positionV>
            <wp:extent cx="285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xml:space="preserve"> Section 3.1 of the Existing Warrant Agreement is hereby amended and restated in its entirety as follows:</w:t>
      </w:r>
    </w:p>
    <w:p>
      <w:pPr>
        <w:spacing w:after="0" w:line="5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4" w:right="45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Section 3.2 of the Existing Warrant Agreement is hereby amended and restated in its entirety as follows: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p.m., New York City time on the earlier to occur of (i) five years from the Closing Date, (ii) the Redemption Date as provided in Section 6.2 of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until the expiration of the Warrants shall hereafter be referred to as the “Exercise Period.” Except with respect to the right to receive the Redemption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Price (as set forth in Section 6 hereunder), as applicable, each Warrant not exercised on or before the Expiration Date shall become void, and all rights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thereunder and all rights in respect thereof under this Agreement shall cease at the close of business on the Expiration Date. The Company in its sole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may extend the duration of the Warrants by delaying the Expiration Date; provided, however, that the Company will provide at least twenty</w:t>
      </w:r>
    </w:p>
    <w:p>
      <w:pPr>
        <w:spacing w:after="0" w:line="9" w:lineRule="exact"/>
        <w:rPr>
          <w:sz w:val="20"/>
          <w:szCs w:val="20"/>
          <w:color w:val="auto"/>
        </w:rPr>
      </w:pPr>
    </w:p>
    <w:p>
      <w:pPr>
        <w:ind w:left="120" w:right="60" w:hanging="4"/>
        <w:spacing w:after="0" w:line="260" w:lineRule="auto"/>
        <w:tabs>
          <w:tab w:leader="none" w:pos="465"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any such extension to Registered Holders and, provided further that any such extension shall be applied consistently to all of the Warrants.”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Section 3.3.1 of the Existing Warrant Agreement is hereby amended and restated in its entirety as follows:</w:t>
      </w:r>
    </w:p>
    <w:p>
      <w:pPr>
        <w:spacing w:after="0" w:line="11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principal office of the Warrant Agent or to the office of one of its agents as may be designated by the Warrant Agent from time to time, or at the office of its successor as Warrant Agent, with the subscription form, as set forth in the Warrant, properly completed and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 In the event of a cash exercise, the Company hereby instructs the Warrant Agent to record cost basis for newly issued Shares in a manner to be subsequently communicated by the Company in writing to the Warrant Agent. The Warrant Agent shall not have any duty or obligation to take any action under any section of this Agreement that requires the payment of taxes and/or charges unless and until it is satisfied that all such payments have been made. The Warrant Agent shall forward funds received for warrant exercises in a given month by the 5th business day of the following month by wire transfer to an account designated by the Company.”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Section 3.3.2 of the Existing Warrant Agreement is hereby amended and restated in its entirety as follows: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4" w:right="45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such Warrant for cash and such Warrant may have no value and expire worthless. Warrants may not be exercised by, or securities issued to, any Registered Holder in any state or country in which such exercise would be unlawful. The Warrant Agent shall not be liable for the Company’s failure to timely deliver the Shares pursuant to the terms of the Warrants, nor shall the Warrant Agent be liable for any liquidated damages or any other damages associated therewith.”</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Section 3.3.5 of the Existing Warrant Agreement is hereby amended and restated in its entirety as follows:</w:t>
      </w:r>
    </w:p>
    <w:p>
      <w:pPr>
        <w:spacing w:after="0" w:line="11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If the Company is a “foreign private issuer” under as defined under Rule 3b-4(c)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for so long as the 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upon receipt of written notice from the Company that such person (together with such person’s affiliates) would beneficially own in excess of 9.8%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A new subsection 3.3.6 is hereby inserted in the Existing Warrant Agreement as follows:</w:t>
      </w:r>
    </w:p>
    <w:p>
      <w:pPr>
        <w:spacing w:after="0" w:line="117" w:lineRule="exact"/>
        <w:rPr>
          <w:sz w:val="20"/>
          <w:szCs w:val="20"/>
          <w:color w:val="auto"/>
        </w:rPr>
      </w:pPr>
    </w:p>
    <w:p>
      <w:pPr>
        <w:ind w:left="120" w:right="4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In the event of a cashless exercise, the Company shall provide cost basis for Shares issued pursuant to a cashless exercise at the time the Company confirms the number of Shares issuable in connection with the cashless exercise to the Warrant Agent pursuant to Section [  ] hereof. In connection with any cashless exercise of Warrants, the Company shall calculate and transmit to the Warrant Agent, and the Warrant Agent shall have no duty under this Agreement to determine, the number of Shares to be issued on such cashless exercise, and the Warrant Agent shall have no duty or obligation to calculate or confirm whether the Company’s determination of the number of Shares to be issued on such exercise is accurate.”]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4" w:right="45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xml:space="preserve"> Section 4.3 of the Existing Warrant Agreement is hereby amended and restated in its entirety as follows:</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 dividends or cash distributions which, when 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Issuance in connection with a Business Combination.</w:t>
      </w:r>
      <w:r>
        <w:rPr>
          <w:rFonts w:ascii="Times New Roman" w:cs="Times New Roman" w:eastAsia="Times New Roman" w:hAnsi="Times New Roman"/>
          <w:sz w:val="18"/>
          <w:szCs w:val="18"/>
          <w:color w:val="auto"/>
        </w:rPr>
        <w:t xml:space="preserve"> Section 4.6 of the Existing Warrant Agreement is hereby deleted and replaced with the following:</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Section 4.7 of the Existing Warrant Agreement is hereby amended to add the following immediately after the first full sentence thereof:</w:t>
      </w:r>
    </w:p>
    <w:p>
      <w:pPr>
        <w:spacing w:after="0" w:line="5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Warrant Agent shall be entitled to rely on such notice and any adjustment or statement therein contained and shall have no duty or liability with respect thereto and shall not be deemed to have knowledge of any such adjustment or any such event unless and until it shall have received such notice. The Company shall also provide to the Warrant Agent any new or amended exercise terms.”</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Section 4.9 of the Existing Warrant Agreement is hereby amended by deleting the last sentence thereof in its entirety and replacing it with the following:</w:t>
      </w:r>
    </w:p>
    <w:p>
      <w:pPr>
        <w:spacing w:after="0" w:line="5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“However, the Company may at any time in its sole discretion make any change in the form of Warrant that the Company may deem appropriate and that does not affect the substance thereof or the rights, duties, obligations or immunities of the Warrant Agent,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xml:space="preserve"> Section 5.1 of the Existing Warrant Agreement is hereby amended by deleting the first full sentence thereof and replacing it with the following: “The Warrant Agent shall register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120"/>
          </w:cols>
          <w:pgMar w:left="320" w:top="454" w:right="45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transfer, from time to time, of any outstanding Warrant upon the Warrant Register, upon surrender of such Warrant for transfer, in the case of certificated Warrants, properly endorsed with signatures properly guaranteed (which may include any evidence of authority that may be required by the Warrant Agent, including but not limited to, a signature guarantee from an eligible guarantor institution participating in a signature guarantee program approved by the Securities Transfer Association) and accompanied by appropriate instructions for transfer.”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xml:space="preserve"> Section 5.3 of the Existing Warrant Agreement is hereby amended and restated in its entirety as follows: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Section 5.7 of the Existing Warrant Agreement is hereby deleted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Section 6.1 of the Existing Warrant Agreement is hereby amended and restated in its entirety as follows: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Section 6.3 is hereby amended and restated in its entirety as follows:</w:t>
      </w:r>
    </w:p>
    <w:p>
      <w:pPr>
        <w:spacing w:after="0" w:line="11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xml:space="preserve">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6"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Section 7.2 of the Existing Warrant Agreement is hereby amended and restated in its entirety as follows:</w:t>
      </w:r>
    </w:p>
    <w:p>
      <w:pPr>
        <w:spacing w:after="0" w:line="5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may include the receipt by the Warrant Agent of an open penalty surety bond satisfactory to it and holding it and the Company harmless), absent notice to the Warrant Agent that such certificates have been acquired by a bona fide purchaser, and which shall, in the case of a mutilated Warrant, include the surrender thereof, issue a new Warrant of like denomination, tenor, and date as the Warrant so lost, stolen, mutilated, or destroyed. The Warrant Agent may, at its option, issue replacement Warrants for mutilated certificates upon presentation thereof without such indemnity. Any such new Warrant shall constitute a substitute contractual obligation of the Company, whether or not the allegedly lost, stolen, mutilated, or destroyed Warrant shall be at any time enforceable by anyone.”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140"/>
          </w:cols>
          <w:pgMar w:left="320" w:top="454" w:right="43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2.25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Section 7.3 of the Existing Warrant Agreement is hereby amended and restated in its entirety as follows:</w:t>
      </w:r>
    </w:p>
    <w:p>
      <w:pPr>
        <w:spacing w:after="0" w:line="5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Section 7.4 of the Existing Warrant Agreement is hereby amended and restated in its entirety as follows:</w:t>
      </w:r>
    </w:p>
    <w:p>
      <w:pPr>
        <w:spacing w:after="0" w:line="54"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Registration of Shares of Common Stock</w:t>
      </w:r>
      <w:r>
        <w:rPr>
          <w:rFonts w:ascii="Times New Roman" w:cs="Times New Roman" w:eastAsia="Times New Roman" w:hAnsi="Times New Roman"/>
          <w:sz w:val="17"/>
          <w:szCs w:val="17"/>
          <w:color w:val="auto"/>
        </w:rPr>
        <w:t>. The Company agrees that as soon as practicable after the Closing Date,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2.27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xml:space="preserve"> A new subsection 7.5 is hereby inserted in the Existing Warrant Agreement as follows: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provide an opinion of counsel prior to the Effective Time to set up a reserve of Warrants and related Shares. The opinion shall state that all Warrants or Shares issuable upon exercise of the Warrants, as applicable: (i) were offered, sold or issued as part of an offering that was registered in compliance with the Securities or pursuant to an exemption from the registration requirements of the Securities Act; (ii) were issued in compliance with all applicable state securities or “blue sky” laws; and (iii) are validly issued, fully paid and non-assessable.”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2.28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Section 8.1 of the Existing Warrant Agreement is hereby amended and restated in its entirety as follows:</w:t>
      </w:r>
    </w:p>
    <w:p>
      <w:pPr>
        <w:spacing w:after="0" w:line="11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2.29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Section 8.2.1 of the Existing Warrant Agreement is hereby amended as follows:</w:t>
      </w:r>
    </w:p>
    <w:p>
      <w:pPr>
        <w:spacing w:after="0" w:line="131" w:lineRule="exact"/>
        <w:rPr>
          <w:sz w:val="20"/>
          <w:szCs w:val="20"/>
          <w:color w:val="auto"/>
        </w:rPr>
      </w:pPr>
    </w:p>
    <w:p>
      <w:pPr>
        <w:ind w:left="1080" w:hanging="532"/>
        <w:spacing w:after="0"/>
        <w:tabs>
          <w:tab w:leader="none" w:pos="108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“sixty (60)” in the first full sentence thereof and replacing it with “thirty (30)”; and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the following to the end of the last sentence thereof: “; provided that, such predecessor Warrant Agent shall not be required to make any additional expenditure (without prompt reimbursement by the Company) or assume any additional liability in connection with the foregoing.”</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2.30 </w:t>
      </w:r>
      <w:r>
        <w:rPr>
          <w:rFonts w:ascii="Times New Roman" w:cs="Times New Roman" w:eastAsia="Times New Roman" w:hAnsi="Times New Roman"/>
          <w:sz w:val="18"/>
          <w:szCs w:val="18"/>
          <w:u w:val="single" w:color="auto"/>
          <w:color w:val="auto"/>
        </w:rPr>
        <w:t>Merger or Consolidation of the Warrant Agent</w:t>
      </w:r>
      <w:r>
        <w:rPr>
          <w:rFonts w:ascii="Times New Roman" w:cs="Times New Roman" w:eastAsia="Times New Roman" w:hAnsi="Times New Roman"/>
          <w:sz w:val="18"/>
          <w:szCs w:val="18"/>
          <w:color w:val="auto"/>
        </w:rPr>
        <w:t>. Section 8.2.1 of the Existing Warrant Agreement is hereby amended by replacing each instance of “corporation” with “entity”.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Subsection 8.3.1 of the Existing Warrant Agreement is hereby deleted in its entirety and replaced with the following:</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in accordance with a fee schedule to be mutually agreed upon and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20"/>
          </w:cols>
          <w:pgMar w:left="320" w:top="454"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reimburse the Warrant Agent upon demand for all of its reasonable and documented expenses (including reasonable and documented counsel fees and expenses) incurred in connection with the preparation, delivery, negotiation, amendment, administration and execution of this Agreement and the exercise and performance of its duties hereunder.”</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2.32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Subsection 8.4.1 of the Existing Warrant Agreement is hereby deleted in its entirety and replaced with the following:</w:t>
      </w:r>
    </w:p>
    <w:p>
      <w:pPr>
        <w:spacing w:after="0" w:line="5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Agreement in reasonable reliance upon such certificate. The Warrant Agent shall not be held to have notice of any change of authority of any authorized officer, until receipt of written notice thereof from Company.”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2.33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Subsection 8.4.2 of the Existing Warrant Agreement is hereby deleted in its entirety and replaced with the following:</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the Warrant Agent and save it harmless against any and all liability, loss, damage, judgment, fine, penalty, claim, demand, settlement, cost or expense that is paid, incurred or to which it becomes subject, including judgments, costs and reasonable and documented counsel fees, for anything done or omitted by the Warrant Agent for any action taken, suffered or omitted to be taken by the Warrant Agent in connection with the execution, acceptance, administration, exercise and performance of its duties under this Agreement, including the reasonable and documented costs and expenses of defending against any claim of liability arising therefrom, directly or indirectly, or of enforcing its rights under this Agreement, except as a result of the Warrant Agent’s fraud, gross negligence, willful misconduct or bad faith (in each case as determined by a final, non-appealable judgment of a court of competent jurisdiction). The Warrant Agent shall be liable hereunder only for its own fraud, gross negligence, willful misconduct or bad faith (in each case, as determined by a final, non-appealable judgment of a court of competent jurisdiction). Notwithstanding anything to the contrary herein, any liability of the Warrant Agent under this Agreement shall be limited to the amount of fees (but not including any reimbursed costs) paid by the Company to the Warrant Agent during the twelve (12) months immediately preceding the event for which recovery from the Warrant Agent is being sought.”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2.34 </w:t>
      </w:r>
      <w:r>
        <w:rPr>
          <w:rFonts w:ascii="Times New Roman" w:cs="Times New Roman" w:eastAsia="Times New Roman" w:hAnsi="Times New Roman"/>
          <w:sz w:val="18"/>
          <w:szCs w:val="18"/>
          <w:u w:val="single" w:color="auto"/>
          <w:color w:val="auto"/>
        </w:rPr>
        <w:t>Liability of the Warrant Agent</w:t>
      </w:r>
      <w:r>
        <w:rPr>
          <w:rFonts w:ascii="Times New Roman" w:cs="Times New Roman" w:eastAsia="Times New Roman" w:hAnsi="Times New Roman"/>
          <w:sz w:val="18"/>
          <w:szCs w:val="18"/>
          <w:color w:val="auto"/>
        </w:rPr>
        <w:t>. Section 8.4 of the Existing Warrant Agreement is amended to insert the following new subsections:</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 xml:space="preserve">“8.4.4.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Warrant Agent may consult with legal counsel selected by it (who may be legal counsel for the Company), and the opinion or advice of such counsel shall be full and complete authorization and protection to the Warrant Agent as to any action taken or omitted by it in accordance with such advice or opinion.</w:t>
      </w:r>
    </w:p>
    <w:p>
      <w:pPr>
        <w:spacing w:after="0" w:line="68"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 xml:space="preserve">8.4.5. </w:t>
      </w:r>
      <w:r>
        <w:rPr>
          <w:rFonts w:ascii="Times New Roman" w:cs="Times New Roman" w:eastAsia="Times New Roman" w:hAnsi="Times New Roman"/>
          <w:sz w:val="18"/>
          <w:szCs w:val="18"/>
          <w:u w:val="single" w:color="auto"/>
          <w:color w:val="auto"/>
        </w:rPr>
        <w:t>Reliance on Agreement and Warrants</w:t>
      </w:r>
      <w:r>
        <w:rPr>
          <w:rFonts w:ascii="Times New Roman" w:cs="Times New Roman" w:eastAsia="Times New Roman" w:hAnsi="Times New Roman"/>
          <w:sz w:val="18"/>
          <w:szCs w:val="18"/>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68"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20"/>
          </w:cols>
          <w:pgMar w:left="320" w:top="454" w:right="45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Warrant Agent under this Agreement. Nothing herein shall preclude the Warrant Agent or any such stockholder, director, officer or employee of the Warrant Agent from acting in any other capacity for the Company or for any other legal entity.</w:t>
      </w:r>
    </w:p>
    <w:p>
      <w:pPr>
        <w:spacing w:after="0" w:line="54"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 xml:space="preserve">8.4.7.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Agreement shall require the Warrant Agent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spacing w:after="0" w:line="68"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 xml:space="preserve">8.4.8.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75" w:lineRule="exact"/>
        <w:rPr>
          <w:sz w:val="20"/>
          <w:szCs w:val="20"/>
          <w:color w:val="auto"/>
        </w:rPr>
      </w:pPr>
    </w:p>
    <w:p>
      <w:pPr>
        <w:ind w:left="560" w:right="100"/>
        <w:spacing w:after="0" w:line="256" w:lineRule="auto"/>
        <w:rPr>
          <w:sz w:val="20"/>
          <w:szCs w:val="20"/>
          <w:color w:val="auto"/>
        </w:rPr>
      </w:pPr>
      <w:r>
        <w:rPr>
          <w:rFonts w:ascii="Times New Roman" w:cs="Times New Roman" w:eastAsia="Times New Roman" w:hAnsi="Times New Roman"/>
          <w:sz w:val="18"/>
          <w:szCs w:val="18"/>
          <w:color w:val="auto"/>
        </w:rPr>
        <w:t xml:space="preserve">8.4.9. </w:t>
      </w:r>
      <w:r>
        <w:rPr>
          <w:rFonts w:ascii="Times New Roman" w:cs="Times New Roman" w:eastAsia="Times New Roman" w:hAnsi="Times New Roman"/>
          <w:sz w:val="18"/>
          <w:szCs w:val="18"/>
          <w:u w:val="single" w:color="auto"/>
          <w:color w:val="auto"/>
        </w:rPr>
        <w:t>Ambiguity</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shall seek clarification. If such clarification is not provided within a reasonable amount of time,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79" w:lineRule="exact"/>
        <w:rPr>
          <w:sz w:val="20"/>
          <w:szCs w:val="20"/>
          <w:color w:val="auto"/>
        </w:rPr>
      </w:pPr>
    </w:p>
    <w:p>
      <w:pPr>
        <w:ind w:left="560" w:right="620"/>
        <w:spacing w:after="0" w:line="266" w:lineRule="auto"/>
        <w:rPr>
          <w:sz w:val="20"/>
          <w:szCs w:val="20"/>
          <w:color w:val="auto"/>
        </w:rPr>
      </w:pPr>
      <w:r>
        <w:rPr>
          <w:rFonts w:ascii="Times New Roman" w:cs="Times New Roman" w:eastAsia="Times New Roman" w:hAnsi="Times New Roman"/>
          <w:sz w:val="18"/>
          <w:szCs w:val="18"/>
          <w:color w:val="auto"/>
        </w:rPr>
        <w:t xml:space="preserve">8.4.10. </w:t>
      </w:r>
      <w:r>
        <w:rPr>
          <w:rFonts w:ascii="Times New Roman" w:cs="Times New Roman" w:eastAsia="Times New Roman" w:hAnsi="Times New Roman"/>
          <w:sz w:val="18"/>
          <w:szCs w:val="18"/>
          <w:u w:val="single" w:color="auto"/>
          <w:color w:val="auto"/>
        </w:rPr>
        <w:t>Non-Registration</w:t>
      </w:r>
      <w:r>
        <w:rPr>
          <w:rFonts w:ascii="Times New Roman" w:cs="Times New Roman" w:eastAsia="Times New Roman" w:hAnsi="Times New Roman"/>
          <w:sz w:val="18"/>
          <w:szCs w:val="18"/>
          <w:color w:val="auto"/>
        </w:rPr>
        <w:t>. 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68"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 xml:space="preserve">8.4.11.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72"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 xml:space="preserve">8.4.12.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absent fraud, gross negligence, willful misconduct or bad faith (each as determined by a final, non-appealable judgment of a court of competent jurisdiction) in the selection and continued employment thereof.</w:t>
      </w:r>
    </w:p>
    <w:p>
      <w:pPr>
        <w:spacing w:after="0" w:line="75" w:lineRule="exact"/>
        <w:rPr>
          <w:sz w:val="20"/>
          <w:szCs w:val="20"/>
          <w:color w:val="auto"/>
        </w:rPr>
      </w:pPr>
    </w:p>
    <w:p>
      <w:pPr>
        <w:jc w:val="both"/>
        <w:ind w:left="560" w:right="80"/>
        <w:spacing w:after="0" w:line="261" w:lineRule="auto"/>
        <w:rPr>
          <w:sz w:val="20"/>
          <w:szCs w:val="20"/>
          <w:color w:val="auto"/>
        </w:rPr>
      </w:pPr>
      <w:r>
        <w:rPr>
          <w:rFonts w:ascii="Times New Roman" w:cs="Times New Roman" w:eastAsia="Times New Roman" w:hAnsi="Times New Roman"/>
          <w:sz w:val="18"/>
          <w:szCs w:val="18"/>
          <w:color w:val="auto"/>
        </w:rPr>
        <w:t xml:space="preserve">8.4.13.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Notwithstanding anything to the contrary herein, neither party to this Agreement shall be liable to the other party for any consequential, indirect, punitive, special or incidental damages under any provisions of this Agreement or for any consequential, indirect, punitive, special or incidental damages arising out of any act or failure to act hereunder even if that party has been advised of or has foreseen the possibility of such damages.”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2.35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Section 8.5 of the Existing Warrant Agreement shall be deleted in its entirety and replaced with the following:</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promptly to the Company with respect to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D-11</w:t>
      </w:r>
    </w:p>
    <w:p>
      <w:pPr>
        <w:sectPr>
          <w:pgSz w:w="11900" w:h="16838" w:orient="portrait"/>
          <w:cols w:equalWidth="0" w:num="1">
            <w:col w:w="11140"/>
          </w:cols>
          <w:pgMar w:left="320" w:top="454" w:right="43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exercised and concurrently account for all monies received by the Warrant Agent for the subscription for Shares through the exercise of the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Section 8 of the Existing Warrant Agreement shall have a new subsection 8.6 inserted as follows: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 the resignation, replacement or removal of the Warrant Agent and the exercise, termination and expiration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Section 9.2 of the Existing Warrant Agreement is hereby amended as follows:</w:t>
      </w:r>
    </w:p>
    <w:p>
      <w:pPr>
        <w:spacing w:after="0" w:line="131" w:lineRule="exact"/>
        <w:rPr>
          <w:sz w:val="20"/>
          <w:szCs w:val="20"/>
          <w:color w:val="auto"/>
        </w:rPr>
      </w:pPr>
    </w:p>
    <w:p>
      <w:pPr>
        <w:ind w:left="1080" w:right="260" w:hanging="532"/>
        <w:spacing w:after="0" w:line="282" w:lineRule="auto"/>
        <w:tabs>
          <w:tab w:leader="none" w:pos="10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notices to Armada and Continental set forth in Section 9.2 of the Existing Warrant Agreement are hereby amended and restated in its entirety as follows:</w:t>
      </w:r>
    </w:p>
    <w:p>
      <w:pPr>
        <w:spacing w:after="0" w:line="5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W1S 1SB</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112" w:lineRule="exact"/>
        <w:rPr>
          <w:sz w:val="20"/>
          <w:szCs w:val="20"/>
          <w:color w:val="auto"/>
        </w:rPr>
      </w:pPr>
    </w:p>
    <w:p>
      <w:pPr>
        <w:ind w:left="1080" w:hanging="532"/>
        <w:spacing w:after="0"/>
        <w:tabs>
          <w:tab w:leader="none" w:pos="1080"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each instance of “within five days after” and replacing it with “upon”</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2.37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xml:space="preserve"> Section 9.5 of the Existing Warrant Agreement is hereby by deleting “, in the Borough of Manhattan, City and State of New York,”.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Section 9.8 of the Existing Warrant Agreement is hereby amended and restated in its entirety as follows: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D-12</w:t>
      </w:r>
    </w:p>
    <w:p>
      <w:pPr>
        <w:sectPr>
          <w:pgSz w:w="11900" w:h="16838" w:orient="portrait"/>
          <w:cols w:equalWidth="0" w:num="1">
            <w:col w:w="11060"/>
          </w:cols>
          <w:pgMar w:left="320" w:top="454" w:right="51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is not obligated to, execute any amendment, supplement or waiver that affects the Warrant Agent’s own rights, duties or immunities under this Agreement. No supplement or amendment to this Agreement shall be effective unless duly executed by the Warrant Agent.”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2.39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xml:space="preserve"> Section 9.9 of the Existing Warrant Agreement is hereby deleted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2.40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Section 9.9 of the Existing Warrant Agreement is hereby amended by deleting the first full sentence thereof in its entirety and replacing it with the following:</w:t>
      </w:r>
    </w:p>
    <w:p>
      <w:pPr>
        <w:spacing w:after="0" w:line="5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Agreement shall be deemed severable, and the invalidity or unenforceability of any term or provision hereof shall not affect the validity or enforceability of this Agreement or of any other term or provision hereof; provided, however, that if such prohibited and invalid provision shall adversely affect the rights, immunities, liabilities, duties or obligations of the Warrant Agent, the Warrant Agent shall be entitled to resign immediately upon written notice to the Company.”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2.41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 new Section 9.8 is hereby inserted as follows:</w:t>
      </w:r>
    </w:p>
    <w:p>
      <w:pPr>
        <w:spacing w:after="0" w:line="117"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Bank Accounts</w:t>
      </w:r>
      <w:r>
        <w:rPr>
          <w:rFonts w:ascii="Times New Roman" w:cs="Times New Roman" w:eastAsia="Times New Roman" w:hAnsi="Times New Roman"/>
          <w:sz w:val="17"/>
          <w:szCs w:val="17"/>
          <w:color w:val="auto"/>
        </w:rPr>
        <w:t>. All funds received by Computershare under this Agreement that are to be distributed or applied by Computershare in the performance of Services (the “</w:t>
      </w:r>
      <w:r>
        <w:rPr>
          <w:rFonts w:ascii="Times New Roman" w:cs="Times New Roman" w:eastAsia="Times New Roman" w:hAnsi="Times New Roman"/>
          <w:sz w:val="17"/>
          <w:szCs w:val="17"/>
          <w:u w:val="single" w:color="auto"/>
          <w:color w:val="auto"/>
        </w:rPr>
        <w:t>Funds</w:t>
      </w:r>
      <w:r>
        <w:rPr>
          <w:rFonts w:ascii="Times New Roman" w:cs="Times New Roman" w:eastAsia="Times New Roman" w:hAnsi="Times New Roman"/>
          <w:sz w:val="17"/>
          <w:szCs w:val="17"/>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7"/>
          <w:szCs w:val="17"/>
          <w:u w:val="single" w:color="auto"/>
          <w:color w:val="auto"/>
        </w:rPr>
        <w:t>S&amp;P</w:t>
      </w:r>
      <w:r>
        <w:rPr>
          <w:rFonts w:ascii="Times New Roman" w:cs="Times New Roman" w:eastAsia="Times New Roman" w:hAnsi="Times New Roman"/>
          <w:sz w:val="17"/>
          <w:szCs w:val="17"/>
          <w:color w:val="auto"/>
        </w:rPr>
        <w:t>”) or Moody’s Investors Service, Inc. (“</w:t>
      </w:r>
      <w:r>
        <w:rPr>
          <w:rFonts w:ascii="Times New Roman" w:cs="Times New Roman" w:eastAsia="Times New Roman" w:hAnsi="Times New Roman"/>
          <w:sz w:val="17"/>
          <w:szCs w:val="17"/>
          <w:u w:val="single" w:color="auto"/>
          <w:color w:val="auto"/>
        </w:rPr>
        <w:t>Moody’s</w:t>
      </w:r>
      <w:r>
        <w:rPr>
          <w:rFonts w:ascii="Times New Roman" w:cs="Times New Roman" w:eastAsia="Times New Roman" w:hAnsi="Times New Roman"/>
          <w:sz w:val="17"/>
          <w:szCs w:val="17"/>
          <w:color w:val="auto"/>
        </w:rPr>
        <w:t>”), respectively; (c) Government and Treasury backed AAA-rated Fixed NAV money market funds that comply with Rule 2a-7 of the Investment Company Act of 1940, as amended; or</w:t>
      </w:r>
    </w:p>
    <w:p>
      <w:pPr>
        <w:spacing w:after="0" w:line="5" w:lineRule="exact"/>
        <w:rPr>
          <w:sz w:val="20"/>
          <w:szCs w:val="20"/>
          <w:color w:val="auto"/>
        </w:rPr>
      </w:pPr>
    </w:p>
    <w:p>
      <w:pPr>
        <w:ind w:left="120" w:hanging="4"/>
        <w:spacing w:after="0" w:line="252" w:lineRule="auto"/>
        <w:tabs>
          <w:tab w:leader="none" w:pos="375"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2.42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 new Section 9.9 is hereby inserted as follows:</w:t>
      </w:r>
    </w:p>
    <w:p>
      <w:pPr>
        <w:spacing w:after="0" w:line="117"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D-13</w:t>
      </w:r>
    </w:p>
    <w:p>
      <w:pPr>
        <w:sectPr>
          <w:pgSz w:w="11900" w:h="16838" w:orient="portrait"/>
          <w:cols w:equalWidth="0" w:num="1">
            <w:col w:w="11100"/>
          </w:cols>
          <w:pgMar w:left="320" w:top="456" w:right="47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2.43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A new Section 9.10 is hereby inserted as follows:</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a fee schedule to be mutually agreed upon, shall remain confidential, and shall not be voluntarily disclosed to any other person, except as may be required by law, including, without limitation, pursuant to subpoenas from state or federal government authorities (e.g., in divorce and criminal actions).”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 new Section 9.11 is hereby inserted as follows:</w:t>
      </w:r>
    </w:p>
    <w:p>
      <w:pPr>
        <w:spacing w:after="0" w:line="11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the express terms of this Agreement control and supersede any provision in the Warrants concerning the rights, duties, obligations, protections, immunities and liability of the Warrant Agent. The Company shall not amend any provisions of the Warrants without the prior consent of the Warrant Agent, not to be unreasonably withheld or delayed.”</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Each of the parties hereto acknowledges and agrees that the effectiveness of this Agreement shall be contingent upon the occurrence of the Closing.</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Examination of the Existing Warrant Agreement</w:t>
      </w:r>
      <w:r>
        <w:rPr>
          <w:rFonts w:ascii="Times New Roman" w:cs="Times New Roman" w:eastAsia="Times New Roman" w:hAnsi="Times New Roman"/>
          <w:sz w:val="18"/>
          <w:szCs w:val="18"/>
          <w:color w:val="auto"/>
        </w:rPr>
        <w:t>. A copy of this Agreement shall be available at all reasonable times at the office of Computershare in the United States of America, for inspection by the Registered Holder (as such term is defined in the Existing Warrant Agreement) of any Warrant. Computershare may require any such holder to submit such holder’s Warrant for inspection by Computershare.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shall be construed to confer upon, or give to, any person or entity other than the parties hereto and the Registered Holders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will be deemed an original but all of which together will constitute one and the same instrument.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Except to the extent specifically amended or superseded by the terms of this Agreement, all of the provisions of the Existing Warrant Agreement shall remain in full force and effect, as assigned and assumed by the parties hereto, to the extent in effect on the date hereof,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This Agreement and the Existing Warrant Agreement, as assigned and modified by this Agreement, constitutes the complete agreement between the parties and supersedes any prior written or oral agreements, writings, communications or understandings with respect to the subject matter hereof.</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D-14</w:t>
      </w:r>
    </w:p>
    <w:p>
      <w:pPr>
        <w:sectPr>
          <w:pgSz w:w="11900" w:h="16838" w:orient="portrait"/>
          <w:cols w:equalWidth="0" w:num="1">
            <w:col w:w="11120"/>
          </w:cols>
          <w:pgMar w:left="320" w:top="455" w:right="45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Rezolve, Armada, Continental and Computershare have duly executed this Agreement, all as of the date first written above.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ACQUISITON CORP. I</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consenting to the amendments to Sections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 7.4, 9.4 and 9.8)</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COMPUTERSHARE TRUST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on behalf of both parties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Assumption Agreement</w:t>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6" w:right="63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AMENDED AND RESTATED WARRANT AGREEMENT</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agreement is made as of [•], 2024 between Rezolve AI PLC, a public company incorporated under the laws of England and Wales with registration number 14573691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Computershare Inc., a Delaware corporation (“Computershare Inc.”) and its affiliate, Computershare Trust Company, N.A., a federally chartered trust company, (collectively with Computershare Inc., “Computershare”)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WHEREAS, the Company,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and Rezolve Merger Sub, Inc., a Delaware corporation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are parties to a Business Combination Agreement originally dated as of 17 December 2021 and amended as of [•] 2023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 Agreement</w:t>
      </w:r>
      <w:r>
        <w:rPr>
          <w:rFonts w:ascii="Times New Roman" w:cs="Times New Roman" w:eastAsia="Times New Roman" w:hAnsi="Times New Roman"/>
          <w:sz w:val="18"/>
          <w:szCs w:val="18"/>
          <w:color w:val="auto"/>
        </w:rPr>
        <w:t>”), pursuant to which, among other things, the Company shall reorganize its share capital and re-register as a public company limited by shares (the “</w:t>
      </w:r>
      <w:r>
        <w:rPr>
          <w:rFonts w:ascii="Times New Roman" w:cs="Times New Roman" w:eastAsia="Times New Roman" w:hAnsi="Times New Roman"/>
          <w:sz w:val="18"/>
          <w:szCs w:val="18"/>
          <w:u w:val="single" w:color="auto"/>
          <w:color w:val="auto"/>
        </w:rPr>
        <w:t>Company Reorganization</w:t>
      </w:r>
      <w:r>
        <w:rPr>
          <w:rFonts w:ascii="Times New Roman" w:cs="Times New Roman" w:eastAsia="Times New Roman" w:hAnsi="Times New Roman"/>
          <w:sz w:val="18"/>
          <w:szCs w:val="18"/>
          <w:color w:val="auto"/>
        </w:rPr>
        <w:t>”), and thereafter, Armada shall be merged with and into Merger Sub (a wholly-owned subsidiary of the Company), with Armada surviving as a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date on which it closed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with such terms having the same meanings as defined in the Business Combination Agreement);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WHEREAS, prior to the Merger, Armada had in issue a number of Armada Units consisting of one share of Armada common stock and one-half of one redeemable Armada warrant (which traded on Nasdaq under the symbol “AACIW”). Each whole Armada warrant entitled the holder to purchase one share of Armada common stock at a price of $11.50 per share, subject to adjustment. Pursuant to the Business Combination Agreement, upon the consummation of the Merger, each issued and outstanding Armada warrant is exchanged for one warrant issued by the Company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the holders of Armada warrants for a total of [•]Warrants;</w:t>
      </w:r>
    </w:p>
    <w:p>
      <w:pPr>
        <w:spacing w:after="0" w:line="183" w:lineRule="exact"/>
        <w:rPr>
          <w:sz w:val="20"/>
          <w:szCs w:val="20"/>
          <w:color w:val="auto"/>
        </w:rPr>
      </w:pPr>
    </w:p>
    <w:p>
      <w:pPr>
        <w:ind w:left="120" w:right="540"/>
        <w:spacing w:after="0" w:line="312" w:lineRule="auto"/>
        <w:rPr>
          <w:sz w:val="20"/>
          <w:szCs w:val="20"/>
          <w:color w:val="auto"/>
        </w:rPr>
      </w:pPr>
      <w:r>
        <w:rPr>
          <w:rFonts w:ascii="Times New Roman" w:cs="Times New Roman" w:eastAsia="Times New Roman" w:hAnsi="Times New Roman"/>
          <w:sz w:val="17"/>
          <w:szCs w:val="17"/>
          <w:color w:val="auto"/>
        </w:rPr>
        <w:t>WHEREAS, the Company has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Registration Statement on Form F-4, No. 333-[•]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for the registration, under the Securities Act of 1933, as amended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of, among other securities, the Warrants;</w:t>
      </w:r>
    </w:p>
    <w:p>
      <w:pPr>
        <w:spacing w:after="0" w:line="14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117" w:lineRule="exact"/>
        <w:rPr>
          <w:sz w:val="20"/>
          <w:szCs w:val="20"/>
          <w:color w:val="auto"/>
        </w:rPr>
      </w:pPr>
    </w:p>
    <w:p>
      <w:pPr>
        <w:ind w:left="120" w:right="60" w:hanging="4"/>
        <w:spacing w:after="0" w:line="261" w:lineRule="auto"/>
        <w:tabs>
          <w:tab w:leader="none" w:pos="30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in accordance with the express terms and conditions hereof (and no implied terms and conditions), and the Warrant Agent hereby accepts such appointment and agrees to perform the same in accordance with the express terms and conditions (and no duties or obligations shall be inferred or implied) set forth in this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5" w:right="43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300" w:hanging="184"/>
        <w:spacing w:after="0"/>
        <w:tabs>
          <w:tab w:leader="none" w:pos="30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Chairman of the Board of Directors or Chief Executive Officer and Treasurer, Secretary or Assistant Secretary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manually or by facsimile or other electronic signature by the Warrant Agent pursuant to this Agreement, a Warrant shall be invalid and of no effect and may not be exercised by the holder thereof.</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6"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left="300" w:hanging="184"/>
        <w:spacing w:after="0"/>
        <w:tabs>
          <w:tab w:leader="none" w:pos="300"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Warrant shall, when countersigned by the Warrant Agent (except with respect to uncertificated Warrants), entitle the registered holder thereof, subject to the provisions of such Warrant and of this Agreement, to subscribe for the number of newly issued fully paid ordinary shares in the capital of the Company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stated therein, at the price of $11.50 per share, subject to the adjustments provided in Section 4 hereof and in the last sentence of this Section 3.1. The term “Warrant Price” as used in this Agreement refers to the price per share at which the Shares may be subscribed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commencing on 30 days after the Closing Date, and terminating at</w:t>
      </w:r>
    </w:p>
    <w:p>
      <w:pPr>
        <w:spacing w:after="0" w:line="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5:00 p.m., New York City time on the earlier to occur of (i) five years from the Closing Date, (ii) the Redemption Date as provided in Section 6.2 of this Agreement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 until the expiration of the Warrants shall hereafter be referred to as the “Exercise Period.” Except with respect to</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6" w:right="45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principal office of the Warrant Agent or to the office of one of its agents as may be designated by the Warrant Agent from time to time, or at the office of its successor as Warrant Agent, with the subscription form, as set forth in the Warrant, properly completed and duly executed, and by paying in full the Warrant Price for each Share as to which the Warrant is exercised and any and all applicable taxes due in connection with the exercise of the Warrant by good certified check or good bank draft payable to the order of the Warrant Agent or wire transfer. In the event of a cash exercise, the Company hereby instructs the Warrant Agent to record cost basis for newly issued Shares in a manner to be subsequently communicated by the Company in writing to the Warrant Agent. The Warrant Agent shall not have any duty or obligation to take any action under any section of this Agreement that requires the payment of taxes and/or charges unless and until it is satisfied that all such payments have been made. The Warrant Agent shall forward funds received for warrant exercises in a given month by the 5th business day of the following month by wire transfer to an account designated by the Company.</w:t>
      </w:r>
    </w:p>
    <w:p>
      <w:pPr>
        <w:spacing w:after="0" w:line="19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upon exercise of a Warrant unless the Shares issuable upon such Warrant exercise has been registered, qualified or deemed to be exempt under the securities laws of the state or country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Warrants may not be exercised by, or securities issued to, any registered holder in any state or country in which such exercise would be unlawful. The Warrant Agent shall not be liable for the Company’s failure to timely deliver the Shares pursuant to the terms of the Warrants, nor shall the Warrant Agent be liable for any liquidated damages or any other damages associated therewith.</w:t>
      </w:r>
    </w:p>
    <w:p>
      <w:pPr>
        <w:spacing w:after="0" w:line="190" w:lineRule="exact"/>
        <w:rPr>
          <w:sz w:val="20"/>
          <w:szCs w:val="20"/>
          <w:color w:val="auto"/>
        </w:rPr>
      </w:pPr>
    </w:p>
    <w:p>
      <w:pPr>
        <w:ind w:left="120"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issued upon the proper exercise of a Warrant in conformity with this Agreement shall be validly issued, fully paid and nonassessable.</w:t>
      </w:r>
    </w:p>
    <w:p>
      <w:pPr>
        <w:spacing w:after="0" w:line="16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Shares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8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If the Company is a “foreign private issuer” under as defined under Rule 3b-4(c) of the Securities Exchange Act of 1934, as amended (the “Exchange Act”) and for so long as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5" w:right="45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Company remains a foreign private issuer,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upon receipt of written notice from the Company that such person would beneficially own in excess of 9.8%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outstanding immediately after giving effect to such exercise. For purposes of the foregoing sentence, the aggregate number of Shares beneficially owned by such person and its affiliates shall include the number of Shares issuable upon exercise of the Warrant with respect to which the determination of such sentence is being made, but shall exclude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Exchange Act. For purposes of the Warrant, in determining the number of outstanding Shares, the holder may rely on the number of outstanding Shares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outstanding. For any reason at any time, upon the written request of the holder of the Warrant, the Company shall, within two (2) Business Days, confirm orally and in writing to such holder the number of Shares then outstanding. In any case, the number of outstanding Shares shall be determined after giving effect to the conversion or exercise of equity securities of the Company by the holder and its affiliates since the date as of which such number of outstanding Shares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88" w:lineRule="exact"/>
        <w:rPr>
          <w:sz w:val="20"/>
          <w:szCs w:val="20"/>
          <w:color w:val="auto"/>
        </w:rPr>
      </w:pPr>
    </w:p>
    <w:p>
      <w:pPr>
        <w:ind w:left="300" w:hanging="184"/>
        <w:spacing w:after="0"/>
        <w:tabs>
          <w:tab w:leader="none" w:pos="300"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Stock Dividends; Split Ups</w:t>
      </w:r>
      <w:r>
        <w:rPr>
          <w:rFonts w:ascii="Times New Roman" w:cs="Times New Roman" w:eastAsia="Times New Roman" w:hAnsi="Times New Roman"/>
          <w:sz w:val="17"/>
          <w:szCs w:val="17"/>
          <w:color w:val="auto"/>
        </w:rPr>
        <w:t>. If after the date hereof, and subject to the provisions of Section 4.6 below, the number of outstanding Shares is increased by a stock dividend payable in Shares, or by a split up of Shares, or other similar event, then, on the effective date of such stock dividend, split up or similar event, the number of Shares issuable on exercise of each Warrant shall be increased in proportion to such increase in outstanding Shares.</w:t>
      </w:r>
    </w:p>
    <w:p>
      <w:pPr>
        <w:spacing w:after="0" w:line="15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Shares is decreased by a consolidation, combination, reverse stock split or reclassification of Shares or other similar event, then, on the effective date of such consolidation, combination, reverse stock split, reclassification or similar event, the number of Shares issuable on exercise of each Warrant shall be decreased in proportion to such decrease in outstanding Shares.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or other shares in the capital of the Company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or (b) any cash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00"/>
          </w:cols>
          <w:pgMar w:left="320" w:top="456" w:right="47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dividends or cash distributions which, when combined on a per share basis with all other cash dividends and cash distributions paid on the Shares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issuable on exercise of each Warrant)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w:t>
      </w:r>
    </w:p>
    <w:p>
      <w:pPr>
        <w:spacing w:after="0" w:line="4" w:lineRule="exact"/>
        <w:rPr>
          <w:sz w:val="20"/>
          <w:szCs w:val="20"/>
          <w:color w:val="auto"/>
        </w:rPr>
      </w:pPr>
    </w:p>
    <w:p>
      <w:pPr>
        <w:jc w:val="both"/>
        <w:ind w:left="120" w:right="140" w:hanging="4"/>
        <w:spacing w:after="0" w:line="253" w:lineRule="auto"/>
        <w:tabs>
          <w:tab w:leader="none" w:pos="375"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cash dividends and cash distributions paid or made in such 365-day period prior to such $0.35 dividend)). Furthermore, solely for the purposes of illustration, if following the Closing Date,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purchasable upon the exercise of the Warrants immediately prior to such adjustment, and (y) the denominator of which shall be the number of Shares so purchasable immediately thereafter.</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In case of any reclassification or reorganization of the outstanding Shares (other than a change covered by Section 4.1, 4.2 or 4.3 hereof or that solely affects the nominal value of the Shares), or in the case of any merger or consolidation of the Company with or into another corporation (other than a consolidation or merger in which the Company is the continuing corporation and that does not result in any reclassification or reorganization of the outstanding Shares),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Shares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nominal value per Share issuable upon exercise of the Warrant.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The Warrant Agent shall be entitled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5" w:right="45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rely on such notice and any adjustment or statement therein contained and shall have no duty or liability with respect thereto and shall not be deemed to have knowledge of any such adjustment or any such event unless and until it shall have received such notice. The Company shall also provide to the Warrant Agent any new or amended exercise terms. Upon the occurrence of any event specified in Sections 4.1, 4.2, 4.3, 4.4, or 4.5,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 provision contained in this Agreement to the contrary, the Company shall not issue fractional number of Shares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to be issued to such holder.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or the rights, duties, obligations or immunities of the Warrant Agent,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89" w:lineRule="exact"/>
        <w:rPr>
          <w:sz w:val="20"/>
          <w:szCs w:val="20"/>
          <w:color w:val="auto"/>
        </w:rPr>
      </w:pPr>
    </w:p>
    <w:p>
      <w:pPr>
        <w:ind w:left="300" w:hanging="184"/>
        <w:spacing w:after="0"/>
        <w:tabs>
          <w:tab w:leader="none" w:pos="30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in the case of certificated Warrants, properly endorsed with signatures properly guaranteed (which may include any evidence of authority that may be required by the Warrant Agent, including but not limited to, a signature guarantee from an eligible guarantor institution participating in a signature guarantee program approved by the Securities Transfer Association)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at the expense of the Company, to the Company from time to time upon request.</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56" w:right="45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The Warrant Agent shall not be required to effect any registration of transfer or exchange which will result in the issuance of a Warrant certificate or book-entry position for a fraction of a Warrant.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76" w:lineRule="exact"/>
        <w:rPr>
          <w:sz w:val="20"/>
          <w:szCs w:val="20"/>
          <w:color w:val="auto"/>
        </w:rPr>
      </w:pPr>
    </w:p>
    <w:p>
      <w:pPr>
        <w:ind w:left="300" w:hanging="184"/>
        <w:spacing w:after="0"/>
        <w:tabs>
          <w:tab w:leader="none" w:pos="30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Redemption</w:t>
      </w:r>
      <w:r>
        <w:rPr>
          <w:rFonts w:ascii="Times New Roman" w:cs="Times New Roman" w:eastAsia="Times New Roman" w:hAnsi="Times New Roman"/>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7"/>
          <w:szCs w:val="17"/>
          <w:u w:val="single" w:color="auto"/>
          <w:color w:val="auto"/>
        </w:rPr>
        <w:t>Redemption Price</w:t>
      </w:r>
      <w:r>
        <w:rPr>
          <w:rFonts w:ascii="Times New Roman" w:cs="Times New Roman" w:eastAsia="Times New Roman" w:hAnsi="Times New Roman"/>
          <w:sz w:val="17"/>
          <w:szCs w:val="17"/>
          <w:color w:val="auto"/>
        </w:rPr>
        <w:t>”), provided that the last sales price of the Shares equals or exceeds $18.00 per share (subject to adjustment in accordance with Section 4 hereof), on each of twenty</w:t>
      </w:r>
    </w:p>
    <w:p>
      <w:pPr>
        <w:spacing w:after="0" w:line="2" w:lineRule="exact"/>
        <w:rPr>
          <w:sz w:val="20"/>
          <w:szCs w:val="20"/>
          <w:color w:val="auto"/>
        </w:rPr>
      </w:pPr>
    </w:p>
    <w:p>
      <w:pPr>
        <w:ind w:left="120" w:hanging="4"/>
        <w:spacing w:after="0" w:line="252" w:lineRule="auto"/>
        <w:tabs>
          <w:tab w:leader="none" w:pos="465"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thirty (30) trading day period commencing after the Warrants become exercisable and ending on the third trading day prior to the date on which notice of redemption is given and provided that there is an effective registration statement covering the Shares issuable upon exercise of the Warrants, and a current prospectus relating thereto, available throughout the 30-day redemption,; provided, however, that if and when the Warrants become redeemable by the Company, the Company may not exercise such redemption right if the issuance of Shares upon exercise of the Warrants is not exempt from registration or qualification under applicable state blue sky laws or the Company is unable to effect such registration or qualification.</w:t>
      </w:r>
    </w:p>
    <w:p>
      <w:pPr>
        <w:spacing w:after="0" w:line="190"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at any time after notice of redemption shall have been given by the Company pursuant to Section 6.2 hereof and prior to the Redemption Date. On and after the Redemption Date, the record holder of the Warrants shall have no further rights except to receive, upon surrender of the Warrants, the Redemption Price.</w:t>
      </w:r>
    </w:p>
    <w:p>
      <w:pPr>
        <w:spacing w:after="0" w:line="176" w:lineRule="exact"/>
        <w:rPr>
          <w:sz w:val="20"/>
          <w:szCs w:val="20"/>
          <w:color w:val="auto"/>
        </w:rPr>
      </w:pPr>
    </w:p>
    <w:p>
      <w:pPr>
        <w:ind w:left="300" w:hanging="184"/>
        <w:spacing w:after="0"/>
        <w:tabs>
          <w:tab w:leader="none" w:pos="30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may include the receipt by the Warrant Agent of an open penalty surety bond satisfactory to it and holding it and the Company harmless), absent notice to the Warrant Agent that such certificates have been acquired by a bona fide purchaser, and which shall, in the case of a mutilated Warrant, include the surrender thereof, issue a new Warrant of like denomination, tenor, and date as the Warrant so lost,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080"/>
          </w:cols>
          <w:pgMar w:left="320" w:top="455" w:right="49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stolen, mutilated, or destroyed. The Warrant Agent may, at its option, issue replacement Warrants for mutilated certificates upon presentation thereof without such indemnity. Any such new Warrant shall constitute a substitute contractual obligation of the Company, whether or not the allegedly lost, stolen, mutilated, or destroyed Warrant shall be at any time enforceable by anyone.</w:t>
      </w:r>
    </w:p>
    <w:p>
      <w:pPr>
        <w:spacing w:after="0" w:line="176"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Authorisation of Shares</w:t>
      </w:r>
      <w:r>
        <w:rPr>
          <w:rFonts w:ascii="Times New Roman" w:cs="Times New Roman" w:eastAsia="Times New Roman" w:hAnsi="Times New Roman"/>
          <w:sz w:val="17"/>
          <w:szCs w:val="17"/>
          <w:color w:val="auto"/>
        </w:rPr>
        <w:t>. The Company shall at all times ensure the Board is empowered under section 551 of the Companies Act 2006 (UK) to allot a number of Shares (or grant rights to subscribe for or to convert any security into Shares) that will be sufficient to permit the exercise in full of all outstanding Warrants issued pursuant to this Agreement, and procure that the requisite shareholder approvals (if required) is obtained to waive any pre-emptive rights under section 561 of the Companies Act 2006 (UK) in relation to the Shares that may be exercisable under all outstanding Warrants.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w:t>
      </w:r>
      <w:r>
        <w:rPr>
          <w:rFonts w:ascii="Times New Roman" w:cs="Times New Roman" w:eastAsia="Times New Roman" w:hAnsi="Times New Roman"/>
          <w:sz w:val="18"/>
          <w:szCs w:val="18"/>
          <w:color w:val="auto"/>
        </w:rPr>
        <w:t>. The Company agrees that as soon as practicable after the Closing Date it shall use its best efforts to file with the Securities and Exchange Commission a registration statement for the registration, under the Act, of the Shares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w:t>
      </w:r>
    </w:p>
    <w:p>
      <w:pPr>
        <w:spacing w:after="0" w:line="18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provide an opinion of counsel prior to the Effective Time to set up a reserve of Warrants and related Shares. The opinion shall state that all Warrants or Shares issuable upon exercise of the Warrants, as applicable: (i) were offered, sold or issued as part of an offering that was registered in compliance with the Securities or pursuant to an exemption from the registration requirements of the Securities Act;</w:t>
      </w:r>
    </w:p>
    <w:p>
      <w:pPr>
        <w:spacing w:after="0" w:line="1" w:lineRule="exact"/>
        <w:rPr>
          <w:sz w:val="20"/>
          <w:szCs w:val="20"/>
          <w:color w:val="auto"/>
        </w:rPr>
      </w:pPr>
    </w:p>
    <w:p>
      <w:pPr>
        <w:ind w:left="120" w:right="760" w:hanging="4"/>
        <w:spacing w:after="0" w:line="490" w:lineRule="auto"/>
        <w:tabs>
          <w:tab w:leader="none" w:pos="385"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were issued in compliance with all applicable state securities or “blue sky” laws; and (iii) are validly issued, fully paid and non-assessable. 8. </w:t>
      </w: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upon the exercise of Warrants, but the Company shall not be obligated to pay any transfer taxes or stamp duty in respect of the Warrants or such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thirty (30)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20"/>
          </w:cols>
          <w:pgMar w:left="320" w:top="456" w:right="45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provided that, such predecessor Warrant Agent shall not be required to make any additional expenditure (without prompt reimbursement by the Company) or assume any additional liability in connection with the foregoing.</w:t>
      </w:r>
    </w:p>
    <w:p>
      <w:pPr>
        <w:spacing w:after="0" w:line="187"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not later than the effective date of any such appointment.</w:t>
      </w:r>
    </w:p>
    <w:p>
      <w:pPr>
        <w:spacing w:after="0" w:line="162"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in accordance with a fee schedule to be mutually agreed upon and will reimburse the Warrant Agent upon demand for all of its reasonable and documented expenses (including reasonable and documented counsel fees and expenses) incurred in connection with the preparation, delivery, negotiation, amendment, administration and execution of this Agreement and the exercise and performance of its duties hereunder.</w:t>
      </w:r>
    </w:p>
    <w:p>
      <w:pPr>
        <w:spacing w:after="0" w:line="180" w:lineRule="exact"/>
        <w:rPr>
          <w:sz w:val="20"/>
          <w:szCs w:val="20"/>
          <w:color w:val="auto"/>
        </w:rPr>
      </w:pPr>
    </w:p>
    <w:p>
      <w:pPr>
        <w:ind w:left="120"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and such certificate shall be full authorization and protection to the Warrant Agent and the Warrant Agent shall incur no liability for or in respect of any action taken, suffered or omitted to be taken by it under the provisions of this Agreement in reasonable reliance upon such certificate. The Warrant Agent shall not be held to have notice of any change of authority of any authorized officer, until receipt of written notice thereof from Company.</w:t>
      </w:r>
    </w:p>
    <w:p>
      <w:pPr>
        <w:spacing w:after="0" w:line="189"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Company agrees to indemnify the Warrant Agent and save it harmless against any and all liability, loss, damage, judgment, fine, penalty, claim, demand, settlement, cost or expense that is paid, incurred or to which it becomes subject, including judgments, costs and reasonable and documented counsel fees, for anything done or omitted by the Warrant Agent for any action taken, suffered or omitted to be taken by the Warrant Agent in connection with the execution, acceptance, administration, exercise and performance of its duties under this Agreement, including the reasonable and documented costs and expenses of defending against any claim of liability arising therefrom, directly or indirectly, or of enforcing its rights under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20"/>
          </w:cols>
          <w:pgMar w:left="320" w:top="455" w:right="45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Agreement, except as a result of the Warrant Agent’s fraud, gross negligence, willful misconduct or bad faith (in each case as determined by a final, non-appealable judgment of a court of competent jurisdiction). The Warrant Agent shall be liable hereunder only for its own fraud, gross negligence, willful misconduct or bad faith (in each case, as determined by a final, non-appealable judgment of a court of competent jurisdiction). Notwithstanding anything to the contrary herein, any liability of the Warrant Agent under this Agreement shall be limited to the amount of fees (but not including any reimbursed costs) paid by the Company to the Warrant Agent during the twelve (12) months immediately preceding the event for which recovery from the Warrant Agent is being sought.</w:t>
      </w:r>
    </w:p>
    <w:p>
      <w:pPr>
        <w:spacing w:after="0" w:line="187"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of any Shares to be issued pursuant to this Agreement or any Warrant or as to whether any Shares will, when issued, be valid and fully paid and nonassessable.</w:t>
      </w:r>
    </w:p>
    <w:p>
      <w:pPr>
        <w:spacing w:after="0" w:line="187" w:lineRule="exact"/>
        <w:rPr>
          <w:sz w:val="20"/>
          <w:szCs w:val="20"/>
          <w:color w:val="auto"/>
        </w:rPr>
      </w:pPr>
    </w:p>
    <w:p>
      <w:pPr>
        <w:jc w:val="both"/>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8.4.4. </w:t>
      </w:r>
      <w:r>
        <w:rPr>
          <w:rFonts w:ascii="Times New Roman" w:cs="Times New Roman" w:eastAsia="Times New Roman" w:hAnsi="Times New Roman"/>
          <w:sz w:val="18"/>
          <w:szCs w:val="18"/>
          <w:u w:val="single" w:color="auto"/>
          <w:color w:val="auto"/>
        </w:rPr>
        <w:t>Legal Counsel</w:t>
      </w:r>
      <w:r>
        <w:rPr>
          <w:rFonts w:ascii="Times New Roman" w:cs="Times New Roman" w:eastAsia="Times New Roman" w:hAnsi="Times New Roman"/>
          <w:sz w:val="18"/>
          <w:szCs w:val="18"/>
          <w:color w:val="auto"/>
        </w:rPr>
        <w:t>. The Warrant Agent may consult with legal counsel selected by it and agreed with the Company (who may be legal counsel for the Company), and the opinion or advice of such counsel shall be full and complete authorization and protection to the Warrant Agent as to any action taken or omitted by it in accordance with such advice or opinion.</w:t>
      </w:r>
    </w:p>
    <w:p>
      <w:pPr>
        <w:spacing w:after="0" w:line="176" w:lineRule="exact"/>
        <w:rPr>
          <w:sz w:val="20"/>
          <w:szCs w:val="20"/>
          <w:color w:val="auto"/>
        </w:rPr>
      </w:pPr>
    </w:p>
    <w:p>
      <w:pPr>
        <w:ind w:left="120"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8.4.5. </w:t>
      </w:r>
      <w:r>
        <w:rPr>
          <w:rFonts w:ascii="Times New Roman" w:cs="Times New Roman" w:eastAsia="Times New Roman" w:hAnsi="Times New Roman"/>
          <w:sz w:val="18"/>
          <w:szCs w:val="18"/>
          <w:u w:val="single" w:color="auto"/>
          <w:color w:val="auto"/>
        </w:rPr>
        <w:t>Reliance on Agreement and Warrants</w:t>
      </w:r>
      <w:r>
        <w:rPr>
          <w:rFonts w:ascii="Times New Roman" w:cs="Times New Roman" w:eastAsia="Times New Roman" w:hAnsi="Times New Roman"/>
          <w:sz w:val="18"/>
          <w:szCs w:val="18"/>
          <w:color w:val="auto"/>
        </w:rPr>
        <w:t>. The Warrant Agent shall not be liable for or by reason of any of the statements of fact or recitals contained in this Agreement or in the Warrants (except as to its countersignature thereof) or be required to verify the same, but all such statements and recitals are and shall be deemed to have been made by the Company only.</w:t>
      </w:r>
    </w:p>
    <w:p>
      <w:pPr>
        <w:spacing w:after="0" w:line="176"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8.4.6. </w:t>
      </w:r>
      <w:r>
        <w:rPr>
          <w:rFonts w:ascii="Times New Roman" w:cs="Times New Roman" w:eastAsia="Times New Roman" w:hAnsi="Times New Roman"/>
          <w:sz w:val="18"/>
          <w:szCs w:val="18"/>
          <w:u w:val="single" w:color="auto"/>
          <w:color w:val="auto"/>
        </w:rPr>
        <w:t>Freedom to Trade in Company Securities</w:t>
      </w:r>
      <w:r>
        <w:rPr>
          <w:rFonts w:ascii="Times New Roman" w:cs="Times New Roman" w:eastAsia="Times New Roman" w:hAnsi="Times New Roman"/>
          <w:sz w:val="18"/>
          <w:szCs w:val="18"/>
          <w:color w:val="auto"/>
        </w:rPr>
        <w:t>. 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Agreement. Nothing herein shall preclude the Warrant Agent or any such stockholder, director, officer or employee of the Warrant Agent from acting in any other capacity for the Company or for any other legal entity. Without limiting the foregoing, this Section 8.4.6 shall not limit or eliminate the obligations of the Warrant Agent or any stockholder, director, officer or employee of Warrant Agent from complying with applicable laws or other obligations applicable to such person in engaging in such transactions or actions or acting in any other capacity.</w:t>
      </w:r>
    </w:p>
    <w:p>
      <w:pPr>
        <w:spacing w:after="0" w:line="189" w:lineRule="exact"/>
        <w:rPr>
          <w:sz w:val="20"/>
          <w:szCs w:val="20"/>
          <w:color w:val="auto"/>
        </w:rPr>
      </w:pPr>
    </w:p>
    <w:p>
      <w:pPr>
        <w:ind w:left="120"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8.4.7. </w:t>
      </w:r>
      <w:r>
        <w:rPr>
          <w:rFonts w:ascii="Times New Roman" w:cs="Times New Roman" w:eastAsia="Times New Roman" w:hAnsi="Times New Roman"/>
          <w:sz w:val="18"/>
          <w:szCs w:val="18"/>
          <w:u w:val="single" w:color="auto"/>
          <w:color w:val="auto"/>
        </w:rPr>
        <w:t>No Risk of Own Funds</w:t>
      </w:r>
      <w:r>
        <w:rPr>
          <w:rFonts w:ascii="Times New Roman" w:cs="Times New Roman" w:eastAsia="Times New Roman" w:hAnsi="Times New Roman"/>
          <w:sz w:val="18"/>
          <w:szCs w:val="18"/>
          <w:color w:val="auto"/>
        </w:rPr>
        <w:t>. No provision of this Agreement shall require the Warrant Agent (acting in its capacity as warrant agent under this Agreement) to expend or risk its own funds or otherwise incur any financial liability in the performance of any of its duties hereunder or in the exercise any of its rights or powers if it shall reasonably believe that repayment of such funds or adequate indemnification against such risk or liability is not reasonably assured to it.</w:t>
      </w:r>
    </w:p>
    <w:p>
      <w:pPr>
        <w:spacing w:after="0" w:line="180"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8.4.8. </w:t>
      </w:r>
      <w:r>
        <w:rPr>
          <w:rFonts w:ascii="Times New Roman" w:cs="Times New Roman" w:eastAsia="Times New Roman" w:hAnsi="Times New Roman"/>
          <w:sz w:val="18"/>
          <w:szCs w:val="18"/>
          <w:u w:val="single" w:color="auto"/>
          <w:color w:val="auto"/>
        </w:rPr>
        <w:t>No Notice</w:t>
      </w:r>
      <w:r>
        <w:rPr>
          <w:rFonts w:ascii="Times New Roman" w:cs="Times New Roman" w:eastAsia="Times New Roman" w:hAnsi="Times New Roman"/>
          <w:sz w:val="18"/>
          <w:szCs w:val="18"/>
          <w:color w:val="auto"/>
        </w:rPr>
        <w:t>. 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120"/>
          </w:cols>
          <w:pgMar w:left="320" w:top="456" w:right="45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8.4.9. </w:t>
      </w:r>
      <w:r>
        <w:rPr>
          <w:rFonts w:ascii="Times New Roman" w:cs="Times New Roman" w:eastAsia="Times New Roman" w:hAnsi="Times New Roman"/>
          <w:sz w:val="18"/>
          <w:szCs w:val="18"/>
          <w:u w:val="single" w:color="auto"/>
          <w:color w:val="auto"/>
        </w:rPr>
        <w:t>Ambiguity</w:t>
      </w:r>
      <w:r>
        <w:rPr>
          <w:rFonts w:ascii="Times New Roman" w:cs="Times New Roman" w:eastAsia="Times New Roman" w:hAnsi="Times New Roman"/>
          <w:sz w:val="18"/>
          <w:szCs w:val="18"/>
          <w:color w:val="auto"/>
        </w:rPr>
        <w:t>. In the event the Warrant Agent believes any ambiguity or uncertainty exists hereunder or in any notice, instruction, direction, request or other communication, paper or document received by the Warrant Agent shall seek clarification. If such clarification is not provided within a reasonable amount of time, the Warrant Agent, may, in its sole discretion, refrain from taking any action, and shall be fully protected and shall not be liable in any way to Company, the holder of any Warrant or any other person for refraining from taking such action, unless the Warrant Agent receives written instructions signed by the Company which eliminates such ambiguity or uncertainty to the satisfaction of Warrant Agent.</w:t>
      </w:r>
    </w:p>
    <w:p>
      <w:pPr>
        <w:spacing w:after="0" w:line="183"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8.4.10. </w:t>
      </w:r>
      <w:r>
        <w:rPr>
          <w:rFonts w:ascii="Times New Roman" w:cs="Times New Roman" w:eastAsia="Times New Roman" w:hAnsi="Times New Roman"/>
          <w:sz w:val="18"/>
          <w:szCs w:val="18"/>
          <w:u w:val="single" w:color="auto"/>
          <w:color w:val="auto"/>
        </w:rPr>
        <w:t>Non-Registration</w:t>
      </w:r>
      <w:r>
        <w:rPr>
          <w:rFonts w:ascii="Times New Roman" w:cs="Times New Roman" w:eastAsia="Times New Roman" w:hAnsi="Times New Roman"/>
          <w:sz w:val="18"/>
          <w:szCs w:val="18"/>
          <w:color w:val="auto"/>
        </w:rPr>
        <w:t>. The Warrant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76"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8.4.11. </w:t>
      </w:r>
      <w:r>
        <w:rPr>
          <w:rFonts w:ascii="Times New Roman" w:cs="Times New Roman" w:eastAsia="Times New Roman" w:hAnsi="Times New Roman"/>
          <w:sz w:val="18"/>
          <w:szCs w:val="18"/>
          <w:u w:val="single" w:color="auto"/>
          <w:color w:val="auto"/>
        </w:rPr>
        <w:t>Signature Guarantee</w:t>
      </w:r>
      <w:r>
        <w:rPr>
          <w:rFonts w:ascii="Times New Roman" w:cs="Times New Roman" w:eastAsia="Times New Roman" w:hAnsi="Times New Roman"/>
          <w:sz w:val="18"/>
          <w:szCs w:val="18"/>
          <w:color w:val="auto"/>
        </w:rPr>
        <w:t>. 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related law, act, regulation or any interpretation of the same.</w:t>
      </w:r>
    </w:p>
    <w:p>
      <w:pPr>
        <w:spacing w:after="0" w:line="180"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8.4.12. </w:t>
      </w:r>
      <w:r>
        <w:rPr>
          <w:rFonts w:ascii="Times New Roman" w:cs="Times New Roman" w:eastAsia="Times New Roman" w:hAnsi="Times New Roman"/>
          <w:sz w:val="18"/>
          <w:szCs w:val="18"/>
          <w:u w:val="single" w:color="auto"/>
          <w:color w:val="auto"/>
        </w:rPr>
        <w:t>Reliance on Attorneys and Agents</w:t>
      </w:r>
      <w:r>
        <w:rPr>
          <w:rFonts w:ascii="Times New Roman" w:cs="Times New Roman" w:eastAsia="Times New Roman" w:hAnsi="Times New Roman"/>
          <w:sz w:val="18"/>
          <w:szCs w:val="18"/>
          <w:color w:val="auto"/>
        </w:rPr>
        <w:t>. The Warrant Agent may execute and exercise any of the rights or powers hereby vested in it or perform any duty hereunder either itself or by or through its attorneys or agents, and the Warrant Agent shall not be answerable or accountable for any act, omission, default, neglect or misconduct of any such attorneys or agents or for any loss to the Company resulting from any such act, omission, default, neglect or misconduct, save to the extent arising from the fraud, gross negligence, willful misconduct or bad faith (each as determined by a final, non-appealable judgment of a court of competent jurisdiction) of such attorneys or agents.</w:t>
      </w:r>
    </w:p>
    <w:p>
      <w:pPr>
        <w:spacing w:after="0" w:line="183" w:lineRule="exact"/>
        <w:rPr>
          <w:sz w:val="20"/>
          <w:szCs w:val="20"/>
          <w:color w:val="auto"/>
        </w:rPr>
      </w:pPr>
    </w:p>
    <w:p>
      <w:pPr>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8.4.13. </w:t>
      </w:r>
      <w:r>
        <w:rPr>
          <w:rFonts w:ascii="Times New Roman" w:cs="Times New Roman" w:eastAsia="Times New Roman" w:hAnsi="Times New Roman"/>
          <w:sz w:val="18"/>
          <w:szCs w:val="18"/>
          <w:u w:val="single" w:color="auto"/>
          <w:color w:val="auto"/>
        </w:rPr>
        <w:t>Indirect Damages</w:t>
      </w:r>
      <w:r>
        <w:rPr>
          <w:rFonts w:ascii="Times New Roman" w:cs="Times New Roman" w:eastAsia="Times New Roman" w:hAnsi="Times New Roman"/>
          <w:sz w:val="18"/>
          <w:szCs w:val="18"/>
          <w:color w:val="auto"/>
        </w:rPr>
        <w:t>. Notwithstanding anything to the contrary herein, neither party to this Agreement shall be liable to the other party for any indirect, punitive, or special damages under any provisions of this Agreement or for any indirect, punitive, or special damages arising out of any act or failure to act hereunder.</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express terms and conditions (and no implied terms and conditions) herein set forth and among other things, shall account promptly to the Company with respect to Warrants exercised and concurrently account for all monies received by the Warrant Agent for the purchase of Shares through the exercise of Warrants. The Warrant Agent shall act hereunder solely as agent for the Company. The Warrant Agent shall not assume any obligations or relationship of agency or trust with any of the owners or holders of the Warrants or Shares. The Warrant Agent shall not have any duty or responsibility in the case of the receipt of any written demand from any holder of Warrants or Shares with respect to any action or default by the Company, including, without limiting the generality of the foregoing, any duty or responsibility to initiate or attempt to initiate any proceedings at law or otherwise or to make any demand upon the Company. The Warrant Agent shall have no responsibility to the Company, any holders of Warrants, any holders of Shares or any other person for interest or earnings on any moneys held by the Warrant Agent pursuant to this Agreement.</w:t>
      </w:r>
    </w:p>
    <w:p>
      <w:pPr>
        <w:spacing w:after="0" w:line="18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Section 8 shall survive the termination of this Agreement, the resignation, replacement or removal of the Warrant Agent and the exercise, termination and expiration of the Warrants.</w:t>
      </w:r>
    </w:p>
    <w:p>
      <w:pPr>
        <w:spacing w:after="0" w:line="162" w:lineRule="exact"/>
        <w:rPr>
          <w:sz w:val="20"/>
          <w:szCs w:val="20"/>
          <w:color w:val="auto"/>
        </w:rPr>
      </w:pPr>
    </w:p>
    <w:p>
      <w:pPr>
        <w:ind w:left="300" w:hanging="184"/>
        <w:spacing w:after="0"/>
        <w:tabs>
          <w:tab w:leader="none" w:pos="30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120"/>
          </w:cols>
          <w:pgMar w:left="320" w:top="455" w:right="45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upon deposit of such notice, postage prepaid, addressed (until another address is filed in writing by the Company with the Warrant Agent), as follows: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3rd Floor, 80 New Bond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Mayfair, London, W1S 1SB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Kingdom Email: [•]</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any other address as notified in writing by the Company to the Warrant Agent.</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upon deposit of such notice, postage prepaid, addressed (until another address is filed in writing by the Warrant Agent with the Company), as follows:</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Royal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Client Services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Exclusive Forum</w:t>
      </w:r>
      <w:r>
        <w:rPr>
          <w:rFonts w:ascii="Times New Roman" w:cs="Times New Roman" w:eastAsia="Times New Roman" w:hAnsi="Times New Roman"/>
          <w:sz w:val="18"/>
          <w:szCs w:val="18"/>
          <w:color w:val="auto"/>
        </w:rPr>
        <w:t>. The validity, interpretation, and performance of this Agreement and of the Warrants shall be governed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respects by the laws of the State of New York, without giving effect to conflicts of law principles that would result in the application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substantive laws of another jurisdiction. The Company hereby agrees that any action, proceeding or claim against it arising out of or relating in any way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this Agreement shall be brought and enforced in the courts of the State of New York or the United States District Court for the Southern District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and irrevocably submits to such jurisdiction, which jurisdiction shall be the exclusive forum for any such action, proceeding or claim.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hereby waives any objection to such exclusive jurisdiction and that such courts represent an inconvenient forum. Any such process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summons to be served upon the Company may be served by transmitting a copy thereof by registered or certified mail, return receipt requested, postage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addressed to it at the address set forth in Section 9.2 hereof. Such mailing shall be deemed personal service and shall be legal and binding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in any action, proceeding or claim. Notwithstanding the foregoing, the provisions of this paragraph will not apply to suits brought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enforce any liability or duty created by the Exchange Act or any other claim for which the federal district courts of the United States of America are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sole and exclusive forum. Any person or entity purchasing or otherwise acquiring any interest in the Warrants shall be deemed to have notice of and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consented to the forum provisions in this Section 9.3. If any action, the subject matter of which is within the scope the forum provisions above,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filed in a court other than a court located within the State of New York or the United States District Court for the Southern District of New York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warrant holder, such warrant holder shall be deemed to have consented to: (x) the personal jurisdiction of the state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and federal courts located within the State of New York or the United States District Court for the Southern District of New York in connection with any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action brought in any such court to enforce the forum provisions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(y) having service of process made upon such warrant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in any Enforcement Action by service upon such warrant holder’s counsel in the Foreign Action as agent for such warrant holder.</w:t>
      </w:r>
    </w:p>
    <w:p>
      <w:pPr>
        <w:spacing w:after="0" w:line="207"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Persons Having Rights under this Agreement</w:t>
      </w:r>
      <w:r>
        <w:rPr>
          <w:rFonts w:ascii="Times New Roman" w:cs="Times New Roman" w:eastAsia="Times New Roman" w:hAnsi="Times New Roman"/>
          <w:sz w:val="17"/>
          <w:szCs w:val="17"/>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Warrant Agreement or of any covenant, condition, stipulation,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E-12</w:t>
      </w:r>
    </w:p>
    <w:p>
      <w:pPr>
        <w:sectPr>
          <w:pgSz w:w="11900" w:h="16838" w:orient="portrait"/>
          <w:cols w:equalWidth="0" w:num="1">
            <w:col w:w="11120"/>
          </w:cols>
          <w:pgMar w:left="320" w:top="456" w:right="45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62"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Examination of the Warrant Agreement</w:t>
      </w:r>
      <w:r>
        <w:rPr>
          <w:rFonts w:ascii="Times New Roman" w:cs="Times New Roman" w:eastAsia="Times New Roman" w:hAnsi="Times New Roman"/>
          <w:sz w:val="17"/>
          <w:szCs w:val="17"/>
          <w:color w:val="auto"/>
        </w:rPr>
        <w:t>. A copy of this Agreement shall be available at all reasonable times at the office of the Warrant Agent for inspection by the registered holder of any Warrant. The Warrant Agent may require any such holder to submit his Warrant for inspection by it.</w:t>
      </w:r>
    </w:p>
    <w:p>
      <w:pPr>
        <w:spacing w:after="0" w:line="14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a majority of the then outstanding Warrants.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is not obligated to, execute any amendment, supplement or waiver that affects the Warrant Agent’s own rights, duties or immunities under this Agreement.</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provided, however, that if such prohibited and invalid provision shall adversely affect the rights, immunities, liabilities, duties or obligations of the Warrant Agent, the Warrant Agent shall be entitled to resign immediately upon written notice to the Company.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All funds received by Computershare under this Agreement that are to be distributed or applied by Computershare in the performance of Services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or Moody’s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E-13</w:t>
      </w:r>
    </w:p>
    <w:p>
      <w:pPr>
        <w:sectPr>
          <w:pgSz w:w="11900" w:h="16838" w:orient="portrait"/>
          <w:cols w:equalWidth="0" w:num="1">
            <w:col w:w="11140"/>
          </w:cols>
          <w:pgMar w:left="320" w:top="455" w:right="43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Investors Service, Inc. (“</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The Warrant Agent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The Warrant Agent shall not be obligated to pay such interest, dividends or earnings to the Company, any holder or any other party.</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 in performance resulting from acts beyond its reasonable control including, without limitation, acts of God, epidemic, pandemic,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 business of the other party, including inter alia, personal, non-public warrant holder information, which are exchanged or received pursuant to the negotiation or the carrying out of this Agreement, including the fees for services set forth in a fee schedule to be mutually agreed upon, shall remain confidential, and shall not be voluntarily disclosed to any other person, except as may be required by law or applicable regulation, including, without limitation, pursuant to subpoenas from state or federal government authorities (e.g., in divorce and criminal actions).</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Warrants,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hereof. Notwithstanding anything to the contrary contained in this Agreement, the express terms of this Agreement control and supersede any provision in the Warrants concerning the rights, duties, obligations, protections, immunities and liability of the Warrant Agent.</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shall not amend any provisions of the Warrants without the prior consent of the Warrant Agent, not to be unreasonably withheld or delayed.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AI LIMITED</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1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COMPUTERSHARE TRUST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 as Warrant Agent</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to Warrant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E-14</w:t>
      </w:r>
    </w:p>
    <w:p>
      <w:pPr>
        <w:sectPr>
          <w:pgSz w:w="11900" w:h="16838" w:orient="portrait"/>
          <w:cols w:equalWidth="0" w:num="1">
            <w:col w:w="11120"/>
          </w:cols>
          <w:pgMar w:left="320" w:top="456" w:right="45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INVESTOR RIGHTS AGREEMENT</w:t>
      </w:r>
    </w:p>
    <w:p>
      <w:pPr>
        <w:spacing w:after="0" w:line="2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This Investor Rights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{{DATE}}, 2024 is made and entered into by and among Rezolve Group Limited, a private limited liability company registered under the laws of England and Wales with registration number 14573691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and the parties listed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Capitalized terms used but not defined herein have the meanings assigned to them in the Business Combination Agreement originally dated as of December 17, 2021 and amended on November 10, 2022 and further amended and restated as of {{BCADATE}} 2024 (the “</w:t>
      </w:r>
      <w:r>
        <w:rPr>
          <w:rFonts w:ascii="Times New Roman" w:cs="Times New Roman" w:eastAsia="Times New Roman" w:hAnsi="Times New Roman"/>
          <w:sz w:val="17"/>
          <w:szCs w:val="17"/>
          <w:b w:val="1"/>
          <w:bCs w:val="1"/>
          <w:color w:val="auto"/>
        </w:rPr>
        <w:t>Business Combination Agreement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BCA</w:t>
      </w:r>
      <w:r>
        <w:rPr>
          <w:rFonts w:ascii="Times New Roman" w:cs="Times New Roman" w:eastAsia="Times New Roman" w:hAnsi="Times New Roman"/>
          <w:sz w:val="17"/>
          <w:szCs w:val="17"/>
          <w:color w:val="auto"/>
        </w:rPr>
        <w:t>”), by and among the Company, Rezolve Limited, a private limited liability company registered under the laws of England and Wales with registration number 09773823 (the “</w:t>
      </w:r>
      <w:r>
        <w:rPr>
          <w:rFonts w:ascii="Times New Roman" w:cs="Times New Roman" w:eastAsia="Times New Roman" w:hAnsi="Times New Roman"/>
          <w:sz w:val="17"/>
          <w:szCs w:val="17"/>
          <w:b w:val="1"/>
          <w:b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Rezolve Merger Sub, Inc., a Delaware corporation (the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Armada Acquisition Corp. I, a Delaware corporation (“</w:t>
      </w:r>
      <w:r>
        <w:rPr>
          <w:rFonts w:ascii="Times New Roman" w:cs="Times New Roman" w:eastAsia="Times New Roman" w:hAnsi="Times New Roman"/>
          <w:sz w:val="17"/>
          <w:szCs w:val="17"/>
          <w:b w:val="1"/>
          <w:bCs w:val="1"/>
          <w:color w:val="auto"/>
        </w:rPr>
        <w:t>Armada</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WHEREAS, as a condition to Closing occurring under the Business Combination Agreement, the Original Company, the Company and certain of the shareholders in the Original Company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Company Shareholders</w:t>
      </w:r>
      <w:r>
        <w:rPr>
          <w:rFonts w:ascii="Times New Roman" w:cs="Times New Roman" w:eastAsia="Times New Roman" w:hAnsi="Times New Roman"/>
          <w:sz w:val="18"/>
          <w:szCs w:val="18"/>
          <w:color w:val="auto"/>
        </w:rPr>
        <w:t>”) entered into a demerger support agreement dated June 16, 2024 pursuant to which they effected a demerger pursuant to section 110 Insolvency Act 1986 under which the Original Company entered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were transferred to the Company in exchange for the issue of shares in the capital of the Company for distribution amongst the Original Company Shareholders in proportion to their holdings of shares of each class in the Original Company the “</w:t>
      </w:r>
      <w:r>
        <w:rPr>
          <w:rFonts w:ascii="Times New Roman" w:cs="Times New Roman" w:eastAsia="Times New Roman" w:hAnsi="Times New Roman"/>
          <w:sz w:val="18"/>
          <w:szCs w:val="18"/>
          <w:b w:val="1"/>
          <w:bCs w:val="1"/>
          <w:color w:val="auto"/>
        </w:rPr>
        <w:t>Pre-Closing Demerger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the Original Company, Armada and Rezolve Merger Sub are parties to the Business Combination Agreement, pursuant to which, among other things, after completion of the Pre-Closing Demerger, the Company reorganized its share capital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and thereafter, Armada merged with and into Merger Sub (a wholly-owned subsidiary of the Company), with Armada surviving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WHEREAS, Armada and Armada Sponsor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and each other Holder designated as an “Original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are parties to the Registration Rights Agreement dated as of August 12, 2021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to the Prior Agreement desire to terminate the Prior Agreement and to provide for certain rights and obligations included herein and to include the New Holders; and</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Shareholder Parties (as defined below) wish to establish certain board nomination, corporate governance and other investor rights in respect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5" w:right="43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covenants and agreements contained herein, and certain other good and valuable consideration, the receipt and sufficiency of which are hereby acknowledged, the parties hereby agree as follows: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For purposes of this Agreement, the following terms and variations thereof have the meanings set forth below:</w:t>
      </w:r>
    </w:p>
    <w:p>
      <w:pPr>
        <w:spacing w:after="0" w:line="117" w:lineRule="exact"/>
        <w:rPr>
          <w:sz w:val="20"/>
          <w:szCs w:val="20"/>
          <w:color w:val="auto"/>
        </w:rPr>
      </w:pPr>
    </w:p>
    <w:p>
      <w:pPr>
        <w:ind w:left="120" w:right="1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Advance Subscription</w:t>
      </w:r>
      <w:r>
        <w:rPr>
          <w:rFonts w:ascii="Times New Roman" w:cs="Times New Roman" w:eastAsia="Times New Roman" w:hAnsi="Times New Roman"/>
          <w:sz w:val="17"/>
          <w:szCs w:val="17"/>
          <w:color w:val="auto"/>
        </w:rPr>
        <w:t>” means the $500,000 advance subscription provided by Apeiron Investment Group Limited to the Original Company pursuant to an advance subscription agreement dated June 15, 2023 between the Original Company, the Company and Apeiron Investment Group Limited.</w:t>
      </w:r>
    </w:p>
    <w:p>
      <w:pPr>
        <w:spacing w:after="0" w:line="13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would materially impede, delay or interfere with any significant financing, significant acquisition, significant corporate reorganization or other significant transaction then pending or proposed to be taken by the Company or any of its subsidiaries (or any negotiations, discussions or pending proposals with respect thereto), or would otherwise materially adversely affect the Company.</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of any Person means any other Person which (i) directly, or indirectly through one or more intermediaries, controls, or is controlled by, or is under common control with, such Person, and (ii) as to any individual, in addition to any Person in clause (i), (a) any member of the immediate family of an individual Holder, including parents, siblings, spouse and children (including those by adoption), the parents, siblings, spouse, or children (including those by adoption) of such immediate family member, and, in any such case, any trust whose primary beneficiary is such individual Holder or one or more members of such immediate family and/or such Holder’s lineal descendants, and (b) the legal representative or guardian of such individual Holder or of any such immediate family member in the event such individual Holder or any such immediate family member becomes mentally incompetent;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Company or any of its subsidiaries be deemed an Affiliate of any Holder. The term “control” (including the terms “controlling,” “controlled” and “under common control with”) as used with respect to any Person means the possession, direct or indirect, of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Armada Shares”</w:t>
      </w:r>
      <w:r>
        <w:rPr>
          <w:rFonts w:ascii="Times New Roman" w:cs="Times New Roman" w:eastAsia="Times New Roman" w:hAnsi="Times New Roman"/>
          <w:sz w:val="18"/>
          <w:szCs w:val="18"/>
          <w:color w:val="auto"/>
        </w:rPr>
        <w:t xml:space="preserve"> has the meaning attributed thereto in the BCA.</w:t>
      </w:r>
    </w:p>
    <w:p>
      <w:pPr>
        <w:spacing w:after="0" w:line="225" w:lineRule="exact"/>
        <w:rPr>
          <w:sz w:val="20"/>
          <w:szCs w:val="20"/>
          <w:color w:val="auto"/>
        </w:rPr>
      </w:pPr>
    </w:p>
    <w:p>
      <w:pPr>
        <w:jc w:val="both"/>
        <w:ind w:left="120" w:right="2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have the meaning assigned to such terms in Rule 13d-3 under the Exchange Act, and a Person’s beneficial ownership of securities shall be calculated in accordance with the provisions of such Rule (in each case, irrespective of whether or not such Rule is actually applicable in such circumstance). For the purposes of calculating any Holder’s Beneficial Ownership, rights and obligations under this Agreement shall not be taken into account.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Seat Period</w:t>
      </w:r>
      <w:r>
        <w:rPr>
          <w:rFonts w:ascii="Times New Roman" w:cs="Times New Roman" w:eastAsia="Times New Roman" w:hAnsi="Times New Roman"/>
          <w:sz w:val="18"/>
          <w:szCs w:val="18"/>
          <w:color w:val="auto"/>
        </w:rPr>
        <w:t xml:space="preserve">” shall mean, with respect to any Holder, the period during which such Holder is entitled to appoint designees to the Board pursuant to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6" w:right="45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are authorized or required by law to remain closed.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Public Warrants</w:t>
      </w:r>
      <w:r>
        <w:rPr>
          <w:rFonts w:ascii="Times New Roman" w:cs="Times New Roman" w:eastAsia="Times New Roman" w:hAnsi="Times New Roman"/>
          <w:sz w:val="18"/>
          <w:szCs w:val="18"/>
          <w:color w:val="auto"/>
        </w:rPr>
        <w:t>” shall have the meaning given in the BCA.</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all information (irrespective of the form of communication) received by or on behalf of a Holder or its Representatives from the Company, its Affiliates or their respective Representatives, through the Beneficial Ownership of Equity Securities or through the rights granted pursuant hereto, other than information which (i) was or becomes generally available to the public other than as a result of a breach of this Agreement by such Holder, its Affiliates or their respective Representatives, (ii) was or becomes available to such Holder, its Affiliates or their respective Representatives on a non-confidential basis from a source other than the Company, its Affiliates or their respective Representatives, or any other Holder or its Representatives, as the case may be, provided, that the source thereof is not known by such Holder or such of its Affiliates or their respective Representatives to be bound by an obligation of confidentiality to the Company or any of its Affiliates, or (iii) is independently developed by such Holder, its Affiliates or their respective Representatives without the use of any information that would otherwise be Confidential Information hereunder.</w:t>
      </w:r>
    </w:p>
    <w:p>
      <w:pPr>
        <w:spacing w:after="0" w:line="188"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Notes</w:t>
      </w:r>
      <w:r>
        <w:rPr>
          <w:rFonts w:ascii="Times New Roman" w:cs="Times New Roman" w:eastAsia="Times New Roman" w:hAnsi="Times New Roman"/>
          <w:sz w:val="18"/>
          <w:szCs w:val="18"/>
          <w:color w:val="auto"/>
        </w:rPr>
        <w:t>” means the certain loan notes issued by the Company to certain of the Holders pursuant to that certain loan note instrument constituting up to $49,892,080 secured convertible Loan Notes, originally dated December 16, 2021 as amended and restated on November 21, 2022 and May 24, 2023, as further amended on December 18, 2023 and December 29, 2023 and as further amended and restated on 26 January 2024, as the same may be amended and/or amended and restated from time to time and as novated to the Company by the Original Company in connection with the Pre-Closing Demerger.</w:t>
      </w:r>
    </w:p>
    <w:p>
      <w:pPr>
        <w:spacing w:after="0" w:line="179" w:lineRule="exact"/>
        <w:rPr>
          <w:sz w:val="20"/>
          <w:szCs w:val="20"/>
          <w:color w:val="auto"/>
        </w:rPr>
      </w:pPr>
    </w:p>
    <w:p>
      <w:pPr>
        <w:ind w:left="120" w:right="28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Promissory Loan Notes</w:t>
      </w:r>
      <w:r>
        <w:rPr>
          <w:rFonts w:ascii="Times New Roman" w:cs="Times New Roman" w:eastAsia="Times New Roman" w:hAnsi="Times New Roman"/>
          <w:sz w:val="18"/>
          <w:szCs w:val="18"/>
          <w:color w:val="auto"/>
        </w:rPr>
        <w:t>” means those certain convertible promissory notes issued on February 2, 2024 by the Company to certain of the Holders pursuant to subscription agreements originally dated February 2, 2024 between the Original Company, the Company and each such Holder, as the same may be amended and/or amended and restated from time to time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EBC</w:t>
      </w:r>
      <w:r>
        <w:rPr>
          <w:rFonts w:ascii="Times New Roman" w:cs="Times New Roman" w:eastAsia="Times New Roman" w:hAnsi="Times New Roman"/>
          <w:sz w:val="18"/>
          <w:szCs w:val="18"/>
          <w:color w:val="auto"/>
        </w:rPr>
        <w:t>” means EarlyBird Capital, Inc;</w:t>
      </w:r>
    </w:p>
    <w:p>
      <w:pPr>
        <w:spacing w:after="0" w:line="22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shall mean (i) all shares of capital stock of the Company, (ii) all securities convertible into or exchangeable for shares of capital stock of the Company, and (iii) all options, warrants or other rights to purchase or otherwise acquire from the Company shares of such capital stock, or securities convertible into or exchangeable for shares of such capital stock.</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F-1</w:t>
      </w:r>
      <w:r>
        <w:rPr>
          <w:rFonts w:ascii="Times New Roman" w:cs="Times New Roman" w:eastAsia="Times New Roman" w:hAnsi="Times New Roman"/>
          <w:sz w:val="18"/>
          <w:szCs w:val="18"/>
          <w:color w:val="auto"/>
        </w:rPr>
        <w:t>” shall mean a Registration Statement on Form F-1 or any comparable successor form or forms thereto.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F-3</w:t>
      </w:r>
      <w:r>
        <w:rPr>
          <w:rFonts w:ascii="Times New Roman" w:cs="Times New Roman" w:eastAsia="Times New Roman" w:hAnsi="Times New Roman"/>
          <w:sz w:val="18"/>
          <w:szCs w:val="18"/>
          <w:color w:val="auto"/>
        </w:rPr>
        <w:t>” shall mean a Registration Statement on Form F-3 or any comparable successor form or forms thereto.</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60"/>
          </w:cols>
          <w:pgMar w:left="320" w:top="455" w:right="51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collectively (i) the 5,087,500 Armada Shares held by Armada’s sponsor, officers and directors, and (ii) 162,500 Armada Shares held by EBC (the “</w:t>
      </w:r>
      <w:r>
        <w:rPr>
          <w:rFonts w:ascii="Times New Roman" w:cs="Times New Roman" w:eastAsia="Times New Roman" w:hAnsi="Times New Roman"/>
          <w:sz w:val="18"/>
          <w:szCs w:val="18"/>
          <w:b w:val="1"/>
          <w:bCs w:val="1"/>
          <w:color w:val="auto"/>
        </w:rPr>
        <w:t>EBC Shares</w:t>
      </w:r>
      <w:r>
        <w:rPr>
          <w:rFonts w:ascii="Times New Roman" w:cs="Times New Roman" w:eastAsia="Times New Roman" w:hAnsi="Times New Roman"/>
          <w:sz w:val="18"/>
          <w:szCs w:val="18"/>
          <w:color w:val="auto"/>
        </w:rPr>
        <w:t>”) that were issued prior to consummation of Armada’s initial public offering.</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5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xml:space="preserve">” shall have the meaning given in the Preamble (and any Person to whom rights under this Agreement is assigned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Insider Letter</w:t>
      </w:r>
      <w:r>
        <w:rPr>
          <w:rFonts w:ascii="Times New Roman" w:cs="Times New Roman" w:eastAsia="Times New Roman" w:hAnsi="Times New Roman"/>
          <w:sz w:val="17"/>
          <w:szCs w:val="17"/>
          <w:color w:val="auto"/>
        </w:rPr>
        <w:t>” shall mean that certain letter agreement, dated as of August 12, 2021, by and among Armada, the Sponsor and the other parties thereto.</w:t>
      </w:r>
    </w:p>
    <w:p>
      <w:pPr>
        <w:spacing w:after="0" w:line="23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statute, law, ordinance, rule, treaty, code, directive, regulation, governmental approval (whether granted or required) or order, in each case, of any Governmental Authority.</w:t>
      </w:r>
    </w:p>
    <w:p>
      <w:pPr>
        <w:spacing w:after="0" w:line="15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shall mean the Initial Lockup Period (as defined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as may expire earlier with respect to such portion of the 10% Lockup Shares in accordance with the terms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Shareholder</w:t>
      </w:r>
      <w:r>
        <w:rPr>
          <w:rFonts w:ascii="Times New Roman" w:cs="Times New Roman" w:eastAsia="Times New Roman" w:hAnsi="Times New Roman"/>
          <w:sz w:val="18"/>
          <w:szCs w:val="18"/>
          <w:color w:val="auto"/>
        </w:rPr>
        <w:t>” means any individual or entity that Beneficially Owns, as of the Closing Date, after giving effect to the consummation of the transactions contemplated by the Business Combination Agreement, 10% or more of the issued and outstanding Ordinary Shares.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shall mean the Company’s Memorandum and Articles of Association, effective as of the Closing Date, as may be amended or amended and restated.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(and in the case of any Prospectus and any preliminary Prospectus, in the light of the circumstances under which they were made) not misleading.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Holders</w:t>
      </w:r>
      <w:r>
        <w:rPr>
          <w:rFonts w:ascii="Times New Roman" w:cs="Times New Roman" w:eastAsia="Times New Roman" w:hAnsi="Times New Roman"/>
          <w:sz w:val="18"/>
          <w:szCs w:val="18"/>
          <w:color w:val="auto"/>
        </w:rPr>
        <w:t xml:space="preserve">” shall mean each Holder designated as a “New Holder”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shall mean the ordinary shares of the Company.</w:t>
      </w:r>
    </w:p>
    <w:p>
      <w:pPr>
        <w:spacing w:after="0" w:line="22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Distribution in Kind</w:t>
      </w:r>
      <w:r>
        <w:rPr>
          <w:rFonts w:ascii="Times New Roman" w:cs="Times New Roman" w:eastAsia="Times New Roman" w:hAnsi="Times New Roman"/>
          <w:sz w:val="18"/>
          <w:szCs w:val="18"/>
          <w:color w:val="auto"/>
        </w:rPr>
        <w:t>” shall mean a distribution by a Holder of all or substantially all the Ordinary Shares or Company Public Warrants (as applicable) held by such Holder or its Permitted Transferees to the holders of capital stock of such Holder.</w:t>
      </w:r>
    </w:p>
    <w:p>
      <w:pPr>
        <w:spacing w:after="0" w:line="155"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with respect to a Holder, (a) any of its Affiliates or any related or controlled fund or sub-fund, partnership or investment vehicle or any general partner, managing limited partner or</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6" w:right="45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management company who holds or manages any business of, or whose business is held or managed by, that Holder or any of its Affiliates or (b) any other person with the prior written consent of the Company (not to be unreasonably withheld, delayed or conditioned). With respect to the Sponsor,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shall also include any Person to whom the Sponsor is required or permitted to transfer its Registrable Securities prior to the expiration of the applicable Lockup Period and/or under any other applicable Agreement between the Sponsor and Armada. With respect to a Holder that is an individual, a “</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shall also include (x) as to any member of such Holder’s immediate family, or to a trust for the benefit of Holder or any member of Holder’s immediate family, the sole trustees of which are such Holder or any member of such Holder’s immediate family or</w:t>
      </w:r>
    </w:p>
    <w:p>
      <w:pPr>
        <w:spacing w:after="0" w:line="5" w:lineRule="exact"/>
        <w:rPr>
          <w:sz w:val="20"/>
          <w:szCs w:val="20"/>
          <w:color w:val="auto"/>
        </w:rPr>
      </w:pPr>
    </w:p>
    <w:p>
      <w:pPr>
        <w:jc w:val="both"/>
        <w:ind w:left="120" w:right="340" w:hanging="4"/>
        <w:spacing w:after="0" w:line="255" w:lineRule="auto"/>
        <w:tabs>
          <w:tab w:leader="none" w:pos="375"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under the laws of intestacy or by virtue of laws of descent and distribution upon the death of Holder. In all cases, a Permitted Transferee, shall concurrently with any assignment, transfer or conveyance of Registrable Securities execute a counterpart to this Agreement or a joinder agreeing to become a party to this Agreement.</w:t>
      </w:r>
    </w:p>
    <w:p>
      <w:pPr>
        <w:spacing w:after="0" w:line="18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trust, incorporated organization, association, corporation, institution, public benefit corporation, Governmental Authority or any other entity.</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PIPE Subscription Agreement</w:t>
      </w:r>
      <w:r>
        <w:rPr>
          <w:rFonts w:ascii="Times New Roman" w:cs="Times New Roman" w:eastAsia="Times New Roman" w:hAnsi="Times New Roman"/>
          <w:sz w:val="17"/>
          <w:szCs w:val="17"/>
          <w:color w:val="auto"/>
        </w:rPr>
        <w:t>” shall mean that certain subscription agreement, dated [•] 2023 by and among the Company, Armada and [Betsy Cohen], pursuant to which Betsy Cohen has agreed to subscribe for shares in the Company for an aggregate subscription amount of USD$500,000.</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Shares</w:t>
      </w:r>
      <w:r>
        <w:rPr>
          <w:rFonts w:ascii="Times New Roman" w:cs="Times New Roman" w:eastAsia="Times New Roman" w:hAnsi="Times New Roman"/>
          <w:sz w:val="18"/>
          <w:szCs w:val="18"/>
          <w:color w:val="auto"/>
        </w:rPr>
        <w:t>” means the 459,500 Armada Shares the Sponsor privately purchased simultaneously with the consummation of Armada’s initial public offering.</w:t>
      </w:r>
    </w:p>
    <w:p>
      <w:pPr>
        <w:spacing w:after="0" w:line="155"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(i) any outstanding Ordinary Shares, and (ii) any other Equity Security (including the Ordinary Shares issued or issuable upon the exercise of any other Equity Security) of the Company held by a Holder as of the Closing Date (including the Ordinary Shares issued by the Company pursuant to the Pre-Closing Demerger, the Reorganization, the Business Combination Agreement, the PIPE Subscription Agreement and/or the conversion of either the Convertible Loan Notes or the Convertible Promissory Notes or the exercise of the Warrants and/or the repayment of the Advance Subscription Agreement). For clarity, Registrable Securities include any warrants, Ordinary Shares or other securities of the Company issued to the Original Holders with respect to or in exchange for or in replacement of such Founder Shares, Private Shares and Working Capital Shares (if any) pursuant to the Reorganization, or otherwise pursuant to the Business Combination Agreement.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shall have been sold without registration pursuant to Section 4(a)(1) of the Securities Act or Rule 144 (or any successor rule promulgated thereafter by the Commission), (d) the Registrable Securities are freely saleable under Rule 144 under the Securities Act without manner of sale or volume limitations, or (e) the Registrable Securities shall have been sold to, or through, a broker, dealer or underwriter in a public distribution or other public securities transaction.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5" w:right="45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Registration (including any Underwritten Offering), including the following:</w:t>
      </w:r>
    </w:p>
    <w:p>
      <w:pPr>
        <w:spacing w:after="0" w:line="121" w:lineRule="exact"/>
        <w:rPr>
          <w:sz w:val="20"/>
          <w:szCs w:val="20"/>
          <w:color w:val="auto"/>
        </w:rPr>
      </w:pPr>
    </w:p>
    <w:p>
      <w:pPr>
        <w:ind w:left="120" w:right="80" w:hanging="4"/>
        <w:spacing w:after="0" w:line="282" w:lineRule="auto"/>
        <w:tabs>
          <w:tab w:leader="none" w:pos="415"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listing fees of any securities exchange on which any Ordinary Shares are then listed;</w:t>
      </w:r>
    </w:p>
    <w:p>
      <w:pPr>
        <w:spacing w:after="0" w:line="161" w:lineRule="exact"/>
        <w:rPr>
          <w:rFonts w:ascii="Times New Roman" w:cs="Times New Roman" w:eastAsia="Times New Roman" w:hAnsi="Times New Roman"/>
          <w:sz w:val="18"/>
          <w:szCs w:val="18"/>
          <w:color w:val="auto"/>
        </w:rPr>
      </w:pPr>
    </w:p>
    <w:p>
      <w:pPr>
        <w:ind w:left="120" w:right="860" w:hanging="4"/>
        <w:spacing w:after="0" w:line="282" w:lineRule="auto"/>
        <w:tabs>
          <w:tab w:leader="none" w:pos="405"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400" w:hanging="284"/>
        <w:spacing w:after="0"/>
        <w:tabs>
          <w:tab w:leader="none" w:pos="40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counsel for the Company;</w:t>
      </w:r>
    </w:p>
    <w:p>
      <w:pPr>
        <w:spacing w:after="0" w:line="225" w:lineRule="exact"/>
        <w:rPr>
          <w:rFonts w:ascii="Times New Roman" w:cs="Times New Roman" w:eastAsia="Times New Roman" w:hAnsi="Times New Roman"/>
          <w:sz w:val="18"/>
          <w:szCs w:val="18"/>
          <w:color w:val="auto"/>
        </w:rPr>
      </w:pPr>
    </w:p>
    <w:p>
      <w:pPr>
        <w:ind w:left="120" w:right="160" w:hanging="4"/>
        <w:spacing w:after="0" w:line="282" w:lineRule="auto"/>
        <w:tabs>
          <w:tab w:leader="none" w:pos="395"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all independent registered public accountants of the Company incurred specifically in connection with such Registration or Underwritten Offering;</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expenses with respect to any roadshow related to the Registration or Underwritten Offering;</w:t>
      </w:r>
    </w:p>
    <w:p>
      <w:pPr>
        <w:spacing w:after="0" w:line="225"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the Company’s transfer agent; and</w:t>
      </w:r>
    </w:p>
    <w:p>
      <w:pPr>
        <w:spacing w:after="0" w:line="225" w:lineRule="exact"/>
        <w:rPr>
          <w:rFonts w:ascii="Times New Roman" w:cs="Times New Roman" w:eastAsia="Times New Roman" w:hAnsi="Times New Roman"/>
          <w:sz w:val="18"/>
          <w:szCs w:val="18"/>
          <w:color w:val="auto"/>
        </w:rPr>
      </w:pPr>
    </w:p>
    <w:p>
      <w:pPr>
        <w:ind w:left="120" w:hanging="4"/>
        <w:spacing w:after="0" w:line="282" w:lineRule="auto"/>
        <w:tabs>
          <w:tab w:leader="none" w:pos="415"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or the majority-in interest of the Takedown Requesting Holders, as applicable.</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Notwithstanding the foregoing, under no circumstances shall the Company be obligated to pay any fees, discounts and/or commissions to any Underwriter or broker with respect to the Registrable Securities.</w:t>
      </w:r>
    </w:p>
    <w:p>
      <w:pPr>
        <w:spacing w:after="0" w:line="158"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Person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Purchase</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Designee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 Parties</w:t>
      </w:r>
      <w:r>
        <w:rPr>
          <w:rFonts w:ascii="Times New Roman" w:cs="Times New Roman" w:eastAsia="Times New Roman" w:hAnsi="Times New Roman"/>
          <w:sz w:val="18"/>
          <w:szCs w:val="18"/>
          <w:color w:val="auto"/>
        </w:rPr>
        <w:t xml:space="preserve">” shall mean the individuals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the Sponsor Group.</w:t>
      </w:r>
    </w:p>
    <w:p>
      <w:pPr>
        <w:spacing w:after="0" w:line="1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6" w:right="45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have the meaning given in the Recitals.</w:t>
      </w:r>
    </w:p>
    <w:p>
      <w:pPr>
        <w:spacing w:after="0" w:line="22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Group</w:t>
      </w:r>
      <w:r>
        <w:rPr>
          <w:rFonts w:ascii="Times New Roman" w:cs="Times New Roman" w:eastAsia="Times New Roman" w:hAnsi="Times New Roman"/>
          <w:sz w:val="18"/>
          <w:szCs w:val="18"/>
          <w:color w:val="auto"/>
        </w:rPr>
        <w:t>” shall mean the Sponsor, any of its Permitted Transferees or any other Holder that has received Registrable Securities from the Sponsor or any of its Permitted Transferees pursuant to the Merger or through a Permitted Distribution in Kind.</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shall mean the trading price of the Ordinary Shares reported on The Nasdaq Stock Market LLC, the New York Stock Exchange or other national stock exchange (or if not then reported on a national exchange, the average bid and ask price as reported on an over-the-counter bulletin board, “pink sheets” or other quotation service).</w:t>
      </w:r>
    </w:p>
    <w:p>
      <w:pPr>
        <w:spacing w:after="0" w:line="17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warrants issued by the Company to certain of the Holders pursuant to a warrant instrument dated [●] 2024, as the same may be amended and/or amended and restated from time to time.</w:t>
      </w:r>
    </w:p>
    <w:p>
      <w:pPr>
        <w:spacing w:after="0" w:line="15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Shares</w:t>
      </w:r>
      <w:r>
        <w:rPr>
          <w:rFonts w:ascii="Times New Roman" w:cs="Times New Roman" w:eastAsia="Times New Roman" w:hAnsi="Times New Roman"/>
          <w:sz w:val="18"/>
          <w:szCs w:val="18"/>
          <w:color w:val="auto"/>
        </w:rPr>
        <w:t>” means any Armada Shares held by the Sponsor or any of Armada’s officer, director or their respective affiliates which may be issued in payment of working capital loans made to Armada prior to the effective time of the Merger.</w:t>
      </w: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Demand Registration.</w:t>
      </w:r>
    </w:p>
    <w:p>
      <w:pPr>
        <w:spacing w:after="0" w:line="22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at any time and from time to time following the Closing Date, Holders of Registrable Securities representing at least five percent (5%) of the Ordinary Shares then outstanding or members of the Sponsor Group holding Registrable Securities of any amount (such Holders or members of the Sponsor Group, the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may make a written demand for Registration of all or part of their Registrable Securities on Form F-3 (or, if Form F-3 is not available to be used by the Company at such time, on Form F-1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The Company shall, no later than fifteen (15) days following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u w:val="single" w:color="auto"/>
          <w:color w:val="auto"/>
        </w:rPr>
        <w:t>Demand Requesting Holder</w:t>
      </w:r>
      <w:r>
        <w:rPr>
          <w:rFonts w:ascii="Times New Roman" w:cs="Times New Roman" w:eastAsia="Times New Roman" w:hAnsi="Times New Roman"/>
          <w:sz w:val="18"/>
          <w:szCs w:val="18"/>
          <w:color w:val="auto"/>
        </w:rPr>
        <w:t>”) shall so notify the Company, in writing, within five (5) days after the receipt by the Holder of the notice from the Company. Upon receipt by the Company of any such written notification from a Demand Requesting Holder to the Company, such Demand Requesting Holder shall be entitled to have its Registrable Securities included in a Registration pursuant to a Demand Registration and the Company shall effect, as soon thereafter as practicable, the Registration of all Registrable Securities requested by the Demanding Holder and the Demand Requesting Holder(s), if any, pursuant to such Demand Registration, including by filing a Registration Statement relating thereto as soon as practicable, but no more than forty-five (45) days immediately</w:t>
      </w:r>
    </w:p>
    <w:p>
      <w:pPr>
        <w:spacing w:after="0" w:line="1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60"/>
          </w:cols>
          <w:pgMar w:left="320" w:top="455" w:right="51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after the Company’s receipt of the Demand Registration or, if applicable and if later than such 45-day period, the expiration of the Initial Lock-Up Period. The Company shall not be obligated to effect more than an aggregate of two (2) Demand Registrations under this Section 2.1.1 on behalf of the Sponsor Group and an aggregate of two (2) Demand Registrations under this Section 2.1.1 on behalf of the other Holders, in each case in respect of all Registrable Securities. The Company’s obligations to include the Registrable Securities held by a Holder in a Demand Registration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shareholder in similar situations.</w:t>
      </w:r>
    </w:p>
    <w:p>
      <w:pPr>
        <w:spacing w:after="0" w:line="192"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Effective Registration</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subsection 2.1.1</w:t>
      </w:r>
      <w:r>
        <w:rPr>
          <w:rFonts w:ascii="Times New Roman" w:cs="Times New Roman" w:eastAsia="Times New Roman" w:hAnsi="Times New Roman"/>
          <w:sz w:val="17"/>
          <w:szCs w:val="17"/>
          <w:color w:val="auto"/>
        </w:rPr>
        <w:t xml:space="preser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w:t>
      </w:r>
      <w:r>
        <w:rPr>
          <w:rFonts w:ascii="Times New Roman" w:cs="Times New Roman" w:eastAsia="Times New Roman" w:hAnsi="Times New Roman"/>
          <w:sz w:val="17"/>
          <w:szCs w:val="17"/>
          <w:u w:val="single" w:color="auto"/>
          <w:color w:val="auto"/>
        </w:rPr>
        <w:t>subsection 2.1.1</w:t>
      </w:r>
      <w:r>
        <w:rPr>
          <w:rFonts w:ascii="Times New Roman" w:cs="Times New Roman" w:eastAsia="Times New Roman" w:hAnsi="Times New Roman"/>
          <w:sz w:val="17"/>
          <w:szCs w:val="17"/>
          <w:color w:val="auto"/>
        </w:rPr>
        <w:t xml:space="preserve"> unless and until (i) such stop order or injunction is removed, rescinded or otherwise terminated, and (ii) the Demanding Holder initiating such Demand Registration thereafter affirmatively elects to continue with such Registration and so notifies the Company in writing within five (5) days of written notice of such removal, rescission or 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82"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if the Demanding Holders advise the Company as part of its Demand Registration that the offering of the Registrable Securities pursuant to such Demand Registration shall be in the form of an Underwritten Offering, then the right of such Demanding Holder or any Demand Requesting Holder(s)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majority-in-interest of the Demanding Holder and any Demand Requesting Holder(s) participating in the Demand Registration, subject to the Company’s prior approval which shall not be unreasonably withheld, conditioned or delayed.</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 and any other Demand Requesting Holders in writing that the dollar amount or number of Registrable Securities that the Demanding Holder and the Demand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in reasonable opinion of the Underwriter or Underwriters, being likely to adversely affect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 and the Demand Requesting Holders (if any) (on a pro rata basis based on the respective number of Registrable Securities then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00"/>
          </w:cols>
          <w:pgMar w:left="320" w:top="456" w:right="47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owned by such Demanding Holder and each Demand Requesting Holder (if any) in relation to the aggregate number of Registrable Securities owned by such Demanding Holder and each Demand Requesting Holder (if any)), which can be sold without exceeding the Maximum Number of Securities and for which a Registration Statement with respect to the sale of such Registrable Securities shall not have already become effective under the Securities Act; (ii) second, to the extent that the Maximum Number of Securities has not been reached under the foregoing clause (i), Ordinary Shares or other Equity Securities that the Company desires to sell, which can be sold without exceeding the Maximum Number of Securities; and (iii) third, to the extent that the Maximum Number of Securities has not been reached under the foregoing clauses (i) and (ii), Ordinary Shares or other Equity Securities of other Persons that the Company is obligated to register in a Registration pursuant to separate written contractual arrangements with such Persons and that can be sold without exceeding the Maximum Number of Securities. Notwithstanding the foregoing, the Underwriter or Underwriters shall consult with the Board and the Sponsor in advance of Closing with regard to the Maximum Number of Securities (including the number of Registrable Securities that the Demanding Holder and the Demand Requesting Holders (if any) desire to sell in connection therewith) and the allocation of securities in connection with the Underwritten Offering. The final allocation shall be subject to the prior written approval of the Board and Sponsor (not be unreasonably withheld or delayed).</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in the case of an Underwritten Registration pursuant to Rule 415 under the Securities Act, at least two (2) Business Days prior to the time of pricing of the applicable offering). If a Demanding Holder initiating a Demand Registration withdraws from a proposed offering pursuant to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 xml:space="preserve">, then such registration shall not count as a Demand Registration provided for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Notwithstanding anything to the contrary in this Agreement, (i) the Company may effect any Underwritten Registration pursuant to any then effective Registration Statement, including a Form F-3, that is then available for such offering, and</w:t>
      </w:r>
    </w:p>
    <w:p>
      <w:pPr>
        <w:spacing w:after="0" w:line="1" w:lineRule="exact"/>
        <w:rPr>
          <w:sz w:val="20"/>
          <w:szCs w:val="20"/>
          <w:color w:val="auto"/>
        </w:rPr>
      </w:pPr>
    </w:p>
    <w:p>
      <w:pPr>
        <w:ind w:left="120" w:right="120" w:hanging="4"/>
        <w:spacing w:after="0" w:line="260" w:lineRule="auto"/>
        <w:tabs>
          <w:tab w:leader="none" w:pos="38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color w:val="auto"/>
        </w:rPr>
        <w:t>Piggyback Registration.</w:t>
      </w:r>
    </w:p>
    <w:p>
      <w:pPr>
        <w:spacing w:after="0" w:line="229" w:lineRule="exact"/>
        <w:rPr>
          <w:sz w:val="20"/>
          <w:szCs w:val="20"/>
          <w:color w:val="auto"/>
        </w:rPr>
      </w:pPr>
    </w:p>
    <w:p>
      <w:pPr>
        <w:ind w:left="120" w:right="180"/>
        <w:spacing w:after="0" w:line="270"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If at any time and from time to time following the Closing Date, the Company proposes to file a Registration Statement under the Securities Act with respect to an offering of Equity Securities for its own account or for the account of shareholders of the Company (or by the Company and by the shareholders of the Company, including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other than a Registration Statement (i) filed in connection with any employee share option or other benefit plan, (ii) for an exchange offer or offering of securities solely to the Company’s existing shareholders,</w:t>
      </w:r>
    </w:p>
    <w:p>
      <w:pPr>
        <w:spacing w:after="0" w:line="3" w:lineRule="exact"/>
        <w:rPr>
          <w:sz w:val="20"/>
          <w:szCs w:val="20"/>
          <w:color w:val="auto"/>
        </w:rPr>
      </w:pPr>
    </w:p>
    <w:p>
      <w:pPr>
        <w:ind w:left="120" w:right="40" w:hanging="4"/>
        <w:spacing w:after="0" w:line="251" w:lineRule="auto"/>
        <w:tabs>
          <w:tab w:leader="none" w:pos="435"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offering of debt that is convertible into shares of capital stock of the Company, (iv) for a dividend reinvestment plan, or (v) a Form F-4 or S-4 (or any successor form thereto) in connection with a business combination, then the Company shall give written notice of such proposed registration to all of the Holders of Registrable Securities as soon as practicable but no later than ten (10) days prior to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 xml:space="preserve">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Ordinary Shares that the Company desires to sell, taken together with (x) the Ordinary Shares, if any, as to which Registration has been demanded pursuant to separate written contractual arrangements with Persons other than the Holders of Registrable Securities hereunder, (y)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(z) the Ordinary Shares, if any, as to which Registration has been requested pursuant to separate written contractual piggyback registration rights of other shareholders of the Company, exceeds the Maximum Number of Securities, then:</w:t>
      </w:r>
    </w:p>
    <w:p>
      <w:pPr>
        <w:spacing w:after="0" w:line="81" w:lineRule="exact"/>
        <w:rPr>
          <w:sz w:val="20"/>
          <w:szCs w:val="20"/>
          <w:color w:val="auto"/>
        </w:rPr>
      </w:pPr>
    </w:p>
    <w:p>
      <w:pPr>
        <w:jc w:val="both"/>
        <w:ind w:left="560" w:right="380" w:firstLine="419"/>
        <w:spacing w:after="0" w:line="276" w:lineRule="auto"/>
        <w:tabs>
          <w:tab w:leader="none" w:pos="1198" w:val="left"/>
        </w:tabs>
        <w:numPr>
          <w:ilvl w:val="1"/>
          <w:numId w:val="6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Ordinary Shares or other Equity Securities that the Company desires to sell, which can be sold without exceeding the Maximum Number of Securities;</w:t>
      </w:r>
    </w:p>
    <w:p>
      <w:pPr>
        <w:ind w:left="560" w:right="100" w:hanging="4"/>
        <w:spacing w:after="0" w:line="252" w:lineRule="auto"/>
        <w:tabs>
          <w:tab w:leader="none" w:pos="84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each Holder has so requested be included in such Piggyback Registration and the aggregate number of Registrable Securities that Holders have requested be included in such Piggyback Registration, which can be sold without exceeding the Maximum Number of Securities; and (C) third, to the extent that the Maximum Number of Securities has not been reached under the foregoing clauses (A) and (B), Ordinary Shares, if any, as to which Registration has been requested pursuant to written contractual piggyback registration rights of other shareholders of the Company, which can be sold without exceeding the Maximum Number of Securities; and</w:t>
      </w:r>
    </w:p>
    <w:p>
      <w:pPr>
        <w:spacing w:after="0" w:line="80" w:lineRule="exact"/>
        <w:rPr>
          <w:rFonts w:ascii="Times New Roman" w:cs="Times New Roman" w:eastAsia="Times New Roman" w:hAnsi="Times New Roman"/>
          <w:sz w:val="18"/>
          <w:szCs w:val="18"/>
          <w:color w:val="auto"/>
        </w:rPr>
      </w:pPr>
    </w:p>
    <w:p>
      <w:pPr>
        <w:ind w:left="560" w:firstLine="419"/>
        <w:spacing w:after="0" w:line="255" w:lineRule="auto"/>
        <w:tabs>
          <w:tab w:leader="none" w:pos="1248"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pursuant to a request by Persons other than the Holders of Registrable Securities, then the Company shall include in any such Registration (A) first, Ordinary Shares or other Equity Securities, if any, of such requesting Persons,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w:t>
      </w:r>
    </w:p>
    <w:p>
      <w:pPr>
        <w:spacing w:after="0" w:line="2" w:lineRule="exact"/>
        <w:rPr>
          <w:rFonts w:ascii="Times New Roman" w:cs="Times New Roman" w:eastAsia="Times New Roman" w:hAnsi="Times New Roman"/>
          <w:sz w:val="18"/>
          <w:szCs w:val="18"/>
          <w:color w:val="auto"/>
        </w:rPr>
      </w:pPr>
    </w:p>
    <w:p>
      <w:pPr>
        <w:ind w:left="5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pro rata, based on the respective number of Registrable Securities that each Holder has requested be included in such Piggyback Registration and the aggregate number of Registrable Securities that the Holders have requested be included in such Piggyback Registration, which can be sold without exceeding the Maximum Number of Securities; (C) third, to the extent that the Maximum Number of Securities has not been reached under the foregoing clauses (A) and (B), Ordinary Shares or other Equity Securities that the Company desires to sell, which can be sold without exceeding the Maximum Number of Securities; and (D) fourth, to the extent that the Maximum Number of Securities has not been reached under the foregoing clauses (A), (B) and (C), Ordinary Shares or other Equity Securities for the account of other Persons that the Company is obligated to register pursuant to separate written contractual arrangements with such Persons, which can be sold without exceeding the Maximum Number of Securities.</w:t>
      </w:r>
    </w:p>
    <w:p>
      <w:pPr>
        <w:spacing w:after="0" w:line="19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at least two (2) Business Days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6" w:right="47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 xml:space="preserve">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7"/>
          <w:szCs w:val="17"/>
          <w:u w:val="single" w:color="auto"/>
          <w:color w:val="auto"/>
        </w:rPr>
        <w:t>subsection 2.2.3</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left="120"/>
        <w:spacing w:after="0" w:line="312" w:lineRule="auto"/>
        <w:rPr>
          <w:sz w:val="20"/>
          <w:szCs w:val="20"/>
          <w:color w:val="auto"/>
        </w:rPr>
      </w:pPr>
      <w:r>
        <w:rPr>
          <w:rFonts w:ascii="Times New Roman" w:cs="Times New Roman" w:eastAsia="Times New Roman" w:hAnsi="Times New Roman"/>
          <w:sz w:val="17"/>
          <w:szCs w:val="17"/>
          <w:color w:val="auto"/>
        </w:rPr>
        <w:t xml:space="preserve">2.2.4 </w:t>
      </w:r>
      <w:r>
        <w:rPr>
          <w:rFonts w:ascii="Times New Roman" w:cs="Times New Roman" w:eastAsia="Times New Roman" w:hAnsi="Times New Roman"/>
          <w:sz w:val="17"/>
          <w:szCs w:val="17"/>
          <w:u w:val="single" w:color="auto"/>
          <w:color w:val="auto"/>
        </w:rPr>
        <w:t>Unlimited Piggyback Registration Rights</w:t>
      </w:r>
      <w:r>
        <w:rPr>
          <w:rFonts w:ascii="Times New Roman" w:cs="Times New Roman" w:eastAsia="Times New Roman" w:hAnsi="Times New Roman"/>
          <w:sz w:val="17"/>
          <w:szCs w:val="17"/>
          <w:color w:val="auto"/>
        </w:rPr>
        <w:t xml:space="preserve">. For purposes of clarity, any Registration effected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hereof shall not be counted as a Registration pursuant to a Demand Registration effected under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hereof, and there shall be no limit on the number of Piggyback Registrations.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color w:val="auto"/>
        </w:rPr>
        <w:t>Shelf Registration Rights</w:t>
      </w:r>
    </w:p>
    <w:p>
      <w:pPr>
        <w:spacing w:after="0" w:line="12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u w:val="single" w:color="auto"/>
          <w:color w:val="auto"/>
        </w:rPr>
        <w:t>Registration Statement Covering Resale of Registrable Securities</w:t>
      </w:r>
      <w:r>
        <w:rPr>
          <w:rFonts w:ascii="Times New Roman" w:cs="Times New Roman" w:eastAsia="Times New Roman" w:hAnsi="Times New Roman"/>
          <w:sz w:val="17"/>
          <w:szCs w:val="17"/>
          <w:color w:val="auto"/>
        </w:rPr>
        <w:t>. The Holders of Registrable Securities at any time and from time to time following the Closing Date (but subject to the Lockup Period) may request in writing that the Company register the resale of any or all of such Registrable Securities on Form F-3 or any similar short-form registration which may be available at such time (“</w:t>
      </w:r>
      <w:r>
        <w:rPr>
          <w:rFonts w:ascii="Times New Roman" w:cs="Times New Roman" w:eastAsia="Times New Roman" w:hAnsi="Times New Roman"/>
          <w:sz w:val="17"/>
          <w:szCs w:val="17"/>
          <w:b w:val="1"/>
          <w:bCs w:val="1"/>
          <w:u w:val="single" w:color="auto"/>
          <w:color w:val="auto"/>
        </w:rPr>
        <w:t>Form F-3</w:t>
      </w:r>
      <w:r>
        <w:rPr>
          <w:rFonts w:ascii="Times New Roman" w:cs="Times New Roman" w:eastAsia="Times New Roman" w:hAnsi="Times New Roman"/>
          <w:sz w:val="17"/>
          <w:szCs w:val="17"/>
          <w:color w:val="auto"/>
        </w:rPr>
        <w:t xml:space="preserve">”);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Equity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F-3 is not available for such offering; or (ii) if the Holders of the Registrable Securities, together with the holders of any other Equity Securities of the Company entitled to inclusion in such Registration, propose to sell Registrable Securities and such other Equity Securities (if any) at any aggregate price to the public of less than $500,000. Registrations effected pursuant to this Section 2.3 shall not be counted as Demand Registrations effected pursuant to Section 2.1. The Company shall use reasonable best efforts to cause the Form F-3 to be declared effective as soon as possible after filing but no later than the 90th day (or 120th day if the SEC notifies the Company that it will “review” the Registration Statement) following the filing date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Company’s obligations to include the Registrable Securities held by a Holder in the Form F-3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shareholder in similar situations. Once effective, the Company shall use reasonable best efforts to keep the Form F-3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w:t>
      </w:r>
    </w:p>
    <w:p>
      <w:pPr>
        <w:spacing w:after="0" w:line="203" w:lineRule="exact"/>
        <w:rPr>
          <w:sz w:val="20"/>
          <w:szCs w:val="20"/>
          <w:color w:val="auto"/>
        </w:rPr>
      </w:pPr>
    </w:p>
    <w:p>
      <w:pPr>
        <w:ind w:left="120" w:right="80" w:hanging="4"/>
        <w:spacing w:after="0" w:line="271" w:lineRule="auto"/>
        <w:tabs>
          <w:tab w:leader="none" w:pos="385" w:val="left"/>
        </w:tabs>
        <w:numPr>
          <w:ilvl w:val="0"/>
          <w:numId w:val="6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on which all Registrable Securities and other securities covered by such Registration Statement have ceased to be Registrable Securities. The Registration Statement filed with the Commission pursuant to this </w:t>
      </w:r>
      <w:r>
        <w:rPr>
          <w:rFonts w:ascii="Times New Roman" w:cs="Times New Roman" w:eastAsia="Times New Roman" w:hAnsi="Times New Roman"/>
          <w:sz w:val="17"/>
          <w:szCs w:val="17"/>
          <w:u w:val="single" w:color="auto"/>
          <w:color w:val="auto"/>
        </w:rPr>
        <w:t>subsection 2.3.1</w:t>
      </w:r>
      <w:r>
        <w:rPr>
          <w:rFonts w:ascii="Times New Roman" w:cs="Times New Roman" w:eastAsia="Times New Roman" w:hAnsi="Times New Roman"/>
          <w:sz w:val="17"/>
          <w:szCs w:val="17"/>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Holders, including through a Permitted Distribution in Kind.</w:t>
      </w:r>
    </w:p>
    <w:p>
      <w:pPr>
        <w:spacing w:after="0" w:line="17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Holders in writing of the effectiveness of the Registration Statement on Form F-3 as soon as practicable, and in any event within five (5) Business Days after the Registration Statement becomes effective, and shall furnish to them, without charge, such number of copies of the Form F-3 (including any amendments, supplements and exhibits), the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contained therein (including each preliminary Prospectus and all related amendments and supplements) and any documents incorporated by reference in the Form F-3 or such other documents as the Holders may reasonably request in order to facilitate the sale of the Registrable Securities in the manner described in the Form F-3 (to the extent that any of such documents is not available on EDGAR).</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Registration Statement on Form F-3 and Prospectus used in connection therewith as may be necessary to keep the Registration Statement effective and to comply with the provisions of the Securities Act with respect to the disposition of all the Registrable Securities. If any Form F-3 filed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is filed on Form F-3 and thereafter the Company becomes ineligible to use Form F-3 for secondary sales, the Company shall promptly notify the Holders of such ineligibility and use its best efforts to file a shelf registration on an appropriate form as promptly as practicable to replace the shelf registration statement on Form F-3 and have such replacement Form F-3 declared effective as promptly as practicable and to cause such replacement Form F-3 to remain effective, and to be supplemented and amended to the extent necessary to ensure that such Form F-3 is available or, if not available, that another Form F-3 is available, for the resale of all the Registrable Securities held by the Holders until all such Registrable Securities have ceased to be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the Company once again becomes eligible to use Form F-3, the Company shall cause such replacement Form F-3 to be amended, or shall file a new replacement Form F-3, such that the Form F-3 is once again on Form F-3.</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SEC Cutback</w:t>
      </w:r>
      <w:r>
        <w:rPr>
          <w:rFonts w:ascii="Times New Roman" w:cs="Times New Roman" w:eastAsia="Times New Roman" w:hAnsi="Times New Roman"/>
          <w:sz w:val="18"/>
          <w:szCs w:val="18"/>
          <w:color w:val="auto"/>
        </w:rPr>
        <w:t xml:space="preserve">. Notwithstanding the registration obligations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reasonable best efforts to file amendments to the Form F-3 as required by the Commission and/or (ii) withdraw the Form F-3 and file a new registration statement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on Form F-3, or if Form F-3 is not then available to the Company for such registration statement, on such other form 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or New Registration Statement, the Company shall use its reasonable best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Form F-3 or files a New Registration Statement, as the case may be, under clauses (i) or (ii) above, the Company will use its reasonable best efforts to file with the Commission, as promptly as allowed by Commission or SEC Guidance provided to the Company or to registrants of securities in general, one or more registration statements on Form F-3 or such other form available to register for resale those Registrable Securities that were not registered for resale on the Form F-3, as amended, or the New Registration Statement.</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Underwritten Shelf Takedown</w:t>
      </w:r>
      <w:r>
        <w:rPr>
          <w:rFonts w:ascii="Times New Roman" w:cs="Times New Roman" w:eastAsia="Times New Roman" w:hAnsi="Times New Roman"/>
          <w:sz w:val="18"/>
          <w:szCs w:val="18"/>
          <w:color w:val="auto"/>
        </w:rPr>
        <w:t>. At any time and from time to time after a Form F-3 has been declared effective by the Commission, any of the Demanding Holders may request to sell all or any portion of their Registrable Securities in an underwritten offering that is registered pursuant to such Form F-3 (each, an “</w:t>
      </w:r>
      <w:r>
        <w:rPr>
          <w:rFonts w:ascii="Times New Roman" w:cs="Times New Roman" w:eastAsia="Times New Roman" w:hAnsi="Times New Roman"/>
          <w:sz w:val="18"/>
          <w:szCs w:val="18"/>
          <w:b w:val="1"/>
          <w:bCs w:val="1"/>
          <w:color w:val="auto"/>
        </w:rPr>
        <w:t>Underwritten Shelf Takedown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only be obligated to effect an Underwritten Shelf Takedown if such offering shall include securities with a total offering price (including piggyback securities and before deduction of underwriting discounts) reasonably expected to exceed,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6" w:right="439" w:bottom="1440" w:gutter="0" w:footer="0" w:header="0"/>
        </w:sectPr>
      </w:pPr>
    </w:p>
    <w:bookmarkStart w:id="637" w:name="page638"/>
    <w:bookmarkEnd w:id="6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aggregate, $25,000,000. All requests for Underwritten Shelf Takedowns shall be made by giving written notice to the Company, which shall specify the approximate number of Registrable Securities proposed to be sold in the Underwritten Shelf Takedown. Promptly upon receiving such notice (but no later than 10 days after receipt of such notice), the Company shall notify all of the other Holders of Registrable Securities regarding the potential Underwritten Shelf Takedown. The Company shall include in any Underwritten Shelf Takedown the securities requested to be included by any such other Holder (each a “</w:t>
      </w:r>
      <w:r>
        <w:rPr>
          <w:rFonts w:ascii="Times New Roman" w:cs="Times New Roman" w:eastAsia="Times New Roman" w:hAnsi="Times New Roman"/>
          <w:sz w:val="18"/>
          <w:szCs w:val="18"/>
          <w:b w:val="1"/>
          <w:bCs w:val="1"/>
          <w:color w:val="auto"/>
        </w:rPr>
        <w:t>Takedown Requesting Holder</w:t>
      </w:r>
      <w:r>
        <w:rPr>
          <w:rFonts w:ascii="Times New Roman" w:cs="Times New Roman" w:eastAsia="Times New Roman" w:hAnsi="Times New Roman"/>
          <w:sz w:val="18"/>
          <w:szCs w:val="18"/>
          <w:color w:val="auto"/>
        </w:rPr>
        <w:t xml:space="preserve">”) within 5 days of receipt of notice of such Underwritten Shelf Takedown pursuant to written contractual piggyback registration rights of such Holder (including those set forth herein). All Holders proposing to distribute their Registrable Securities through an Underwritten Shelf Takedown under this </w:t>
      </w:r>
      <w:r>
        <w:rPr>
          <w:rFonts w:ascii="Times New Roman" w:cs="Times New Roman" w:eastAsia="Times New Roman" w:hAnsi="Times New Roman"/>
          <w:sz w:val="18"/>
          <w:szCs w:val="18"/>
          <w:u w:val="single" w:color="auto"/>
          <w:color w:val="auto"/>
        </w:rPr>
        <w:t>subsection 2.3.5</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majority-in-interest of the Demanding Holder and any Takedown Requesting Holder(s) participating in the Underwritten Shelf Takedown, subject to the Company’s prior approval which shall not be unreasonably withheld, conditioned or delayed.</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Reduction of Underwritten Shelf Takedown</w:t>
      </w:r>
      <w:r>
        <w:rPr>
          <w:rFonts w:ascii="Times New Roman" w:cs="Times New Roman" w:eastAsia="Times New Roman" w:hAnsi="Times New Roman"/>
          <w:sz w:val="18"/>
          <w:szCs w:val="18"/>
          <w:color w:val="auto"/>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Takedown Requesting Holders, on a pro rata basis based on the respective number of Registrable Securities then owned by a Takedown Requesting Holder in relation to the aggregate number of Registrable Securities owned by all of the Takedown Requesting Holders, which can be sold without exceeding the Maximum Number of Securities; and (ii) second, to the extent that the Maximum Number of Securities has not been reached under the foregoing clause (i), the Ordinary Shares or other Equity Securities that the Company desires to sell, which can be sold without exceeding the Maximum Number of Securities.</w:t>
      </w:r>
    </w:p>
    <w:p>
      <w:pPr>
        <w:spacing w:after="0" w:line="188"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 xml:space="preserve">2.3.7 Registrations effected pursuant to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shall not be counted as Demand Registrations effected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Under no circumstances shall the Company be obligated to effect more than an aggregate of four (4) Underwritten Shelf Takedowns in any 12-month period.</w:t>
      </w:r>
    </w:p>
    <w:p>
      <w:pPr>
        <w:spacing w:after="0" w:line="136"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b w:val="1"/>
          <w:bCs w:val="1"/>
          <w:color w:val="auto"/>
        </w:rPr>
        <w:t>Restrictions on Registration Rights.</w:t>
      </w:r>
      <w:r>
        <w:rPr>
          <w:rFonts w:ascii="Times New Roman" w:cs="Times New Roman" w:eastAsia="Times New Roman" w:hAnsi="Times New Roman"/>
          <w:sz w:val="18"/>
          <w:szCs w:val="18"/>
          <w:color w:val="auto"/>
        </w:rPr>
        <w:t xml:space="preserve"> Notwithstanding anything to the contrary contained herein, the Company shall not be obligated to (but may, at its sole option) file a Registration Statement pursuant to a Demand Registration request made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within 90 days after any other Demand Registration or effect an Underwritten Shelf Takedown within 90 days after any other Underwritten Shelf Takedown,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a request for an Underwritten Shelf Takedown and that the Company continues to actively employ, in good faith, all reasonable efforts to cause the applicable Registration Statement to become effective or Underwritten Shelf Takedown to be consummated.</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General Procedures.</w:t>
      </w:r>
      <w:r>
        <w:rPr>
          <w:rFonts w:ascii="Times New Roman" w:cs="Times New Roman" w:eastAsia="Times New Roman" w:hAnsi="Times New Roman"/>
          <w:sz w:val="18"/>
          <w:szCs w:val="18"/>
          <w:color w:val="auto"/>
        </w:rPr>
        <w:t xml:space="preserve"> If at any time on or after the Closing Date the Company is required to effect the Registration of Registrable Securities, whether pursuant to the filing of a new Registration Statement, effecting an Underwritten Shelf Takedown or otherwise, the Company shall use its reasonable best efforts to effect such Registration to permit the sale of such Registrable Securities in accordance with the intended plan of distribution thereof, and pursuant thereto the Company shall, as expeditiously as possible:</w:t>
      </w:r>
    </w:p>
    <w:p>
      <w:pPr>
        <w:spacing w:after="0" w:line="7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that are Demanding Holders,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3.1.4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5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3.1.8 advise each Holder of Registrable Securities covered by such Registration Statement, promptly after the Company receives notice thereof, of the time when such registration statement has been declared effective (which may be satisfied by the issuance of a press release by the Company);</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3.1.10 permit Representatives of the Holders and the Underwriter(s), if any, to participate, at each such Person’s own expense, in the preparation of the Registration Statement, and cause the Company’s officers, directors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6" w:right="45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employees to supply all information reasonably requested by any such Representative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participating Holder(s) shall inform their Representatives and the Underwriter(s) of the confidential nature of the process;</w:t>
      </w:r>
    </w:p>
    <w:p>
      <w:pPr>
        <w:spacing w:after="0" w:line="162"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3.1.12 on the date the Registrable Securities are delivered for sale pursuant to such Registration, obtain an opinion, dated such date, of counsel representing the Company for the purposes of such Registration, addressed to the Underwriter(s), if any, covering such legal matters with respect to the Registration in respect of which such opinion is being given as the Underwriter(s) may reasonably request and as are customarily included in such opinions and negative assurance letters;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counsel for the Company shall not be required to provide any opinions with respect to any Holder;</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Underwriter(s) of such offering;</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3.1.15 in connection with an Underwritten Offering, cause its senior management, officers, employees and independent public accountants (in the case of the independent public accountants, subject to any applicable accounting guidance regarding their participation in the offering or the due diligence process) to participate in, make themselves available, supply such information as may reasonably be requested and to otherwise facilitate and cooperate with the preparation of the Registration Statement and Prospectus and any amendments or supplements thereto (including participating in meetings, drafting sessions, due diligence sessions and rating agency presentations) taking into account the Company’s reasonable business needs;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3.1.16 if a Registration relates to an Underwritten Offering with gross proceeds in excess of $25,000,000, use its reasonable efforts to make available senior executives of the Company to participate in customary “road show” presentations that may be reasonably requested by the Underwriter(s) in any Underwritten Offering; and</w:t>
      </w:r>
    </w:p>
    <w:p>
      <w:pPr>
        <w:spacing w:after="0" w:line="176"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3.1.17 otherwise, in good faith, cooperate reasonably with, and take such customary actions as may reasonably be requested by the Holders, in connection with such Registration.</w:t>
      </w:r>
    </w:p>
    <w:p>
      <w:pPr>
        <w:spacing w:after="0" w:line="158"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xml:space="preserve"> All Registration Expenses shall be borne by the Company, including as set forth in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 It is acknowledged by the Holders that the Holders shall pay the Underwriters’ commissions and discounts and, other than as set forth in the definition of “Registration Expenses,” all reasonable fees and expenses of any legal counsel representing the Holders.</w:t>
      </w:r>
    </w:p>
    <w:p>
      <w:pPr>
        <w:spacing w:after="0" w:line="17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b w:val="1"/>
          <w:bCs w:val="1"/>
          <w:color w:val="auto"/>
        </w:rPr>
        <w:t>Requirements for Participation in Underwritten Offerings.</w:t>
      </w:r>
      <w:r>
        <w:rPr>
          <w:rFonts w:ascii="Times New Roman" w:cs="Times New Roman" w:eastAsia="Times New Roman" w:hAnsi="Times New Roman"/>
          <w:sz w:val="17"/>
          <w:szCs w:val="17"/>
          <w:color w:val="auto"/>
        </w:rPr>
        <w:t xml:space="preserve"> No Person may participate in any Underwritten Offering for Equity Securities of the Company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6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b w:val="1"/>
          <w:bCs w:val="1"/>
          <w:color w:val="auto"/>
        </w:rPr>
        <w:t>Suspension of Sales; Adverse Disclosure.</w:t>
      </w:r>
      <w:r>
        <w:rPr>
          <w:rFonts w:ascii="Times New Roman" w:cs="Times New Roman" w:eastAsia="Times New Roman" w:hAnsi="Times New Roman"/>
          <w:sz w:val="18"/>
          <w:szCs w:val="18"/>
          <w:color w:val="auto"/>
        </w:rPr>
        <w:t xml:space="preserve"> The Company shall promptly notify each of the Holders in writing if a Registration Statement or Prospectus contains a Misstatement and, upon receipt of such written</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notice from the Company, each of the Holders shall forthwith discontinue disposition of Registrable Securities until he, she or it is advised in writing by the Company that the use of the Prospectus may be resumed or has received copies of a supplemented or amended Prospectus correcting the Misstatement, provided that the Company hereby covenants promptly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(i) would require the Company to make an Adverse Disclosure or (ii) would require the inclusion in such Registration Statement of financial statements that are unavailable to the Company for reasons beyond the Company’s control, the Company shall have the right to defer the filing, initial effectiveness or continued use of any Registration Statement pursuant to (i) or (ii) for a period of not more than sixty (60) consecutive days and the Company shall not defer any such filing, initial effectiveness or use of a Registration Statement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for more than three times or for more than a total of 120 days (in each case counting deferrals initiated pursuant to (i) or (ii) in the aggregate) in any 12-month period.</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(unless such filings are otherwise available on EDGAR).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88"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b w:val="1"/>
          <w:bCs w:val="1"/>
          <w:color w:val="auto"/>
        </w:rPr>
        <w:t>Limitations on Registration Rights.</w:t>
      </w:r>
      <w:r>
        <w:rPr>
          <w:rFonts w:ascii="Times New Roman" w:cs="Times New Roman" w:eastAsia="Times New Roman" w:hAnsi="Times New Roman"/>
          <w:sz w:val="18"/>
          <w:szCs w:val="18"/>
          <w:color w:val="auto"/>
        </w:rPr>
        <w:t xml:space="preserve">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 Notwithstanding anything herein to the contrary, EarlyBirdCapital, Inc. may not exercise its rights under Section 2.2 hereunder after seven (7) years after the effective date of the registration statement relating to the Company’s initial public offering.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4.1.1 The Company agrees to indemnify and hold harmless each Holder of Registrable Securities, its officers and directors and agents and each Person who controls such Holder (within the meaning of Section 15 of the Securities Act or Section 20 of the Exchange Act) against all expense, loss, judgment, claim, damage, liability or action (including attorneys’ fees)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to the extent such Loss is attributable to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Holder entitled to indemnification hereunder in connection with investigating and defending any such expense, loss, judgment, claim, damage, liability or action whether or not any such person is a party to any such claim or action and including reasonable legal and other expenses incurred in giving testimony or furnishing documents in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6" w:right="45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response to a subpoena or otherwise, except, in each case,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8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and any of its subsidiaries , and their respective directors, officers, employees, consultant, agents and professional advisers and each Person who controls (within the meaning of the Securities Act) the Company against any losses, claims, damages, liabilities and expenses (including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aggregate liability of each such Holder of Registrable Securities shall be in proportion to and limited to the net proceeds received by such Holder from the sale of Registrable Securities pursuant to the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to such party in the event the Company’s or such Holder’s indemnification is unavailable for any reason.</w:t>
      </w:r>
    </w:p>
    <w:p>
      <w:pPr>
        <w:spacing w:after="0" w:line="183" w:lineRule="exact"/>
        <w:rPr>
          <w:sz w:val="20"/>
          <w:szCs w:val="20"/>
          <w:color w:val="auto"/>
        </w:rPr>
      </w:pPr>
    </w:p>
    <w:p>
      <w:pPr>
        <w:jc w:val="both"/>
        <w:ind w:left="120" w:right="860"/>
        <w:spacing w:after="0" w:line="266"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For the forty five (45) day period after the Closing Date (the “</w:t>
      </w:r>
      <w:r>
        <w:rPr>
          <w:rFonts w:ascii="Times New Roman" w:cs="Times New Roman" w:eastAsia="Times New Roman" w:hAnsi="Times New Roman"/>
          <w:sz w:val="18"/>
          <w:szCs w:val="18"/>
          <w:b w:val="1"/>
          <w:bCs w:val="1"/>
          <w:color w:val="auto"/>
        </w:rPr>
        <w:t>Initial Lockup Period</w:t>
      </w:r>
      <w:r>
        <w:rPr>
          <w:rFonts w:ascii="Times New Roman" w:cs="Times New Roman" w:eastAsia="Times New Roman" w:hAnsi="Times New Roman"/>
          <w:sz w:val="18"/>
          <w:szCs w:val="18"/>
          <w:color w:val="auto"/>
        </w:rPr>
        <w:t>”), none of the Holders (excluding EBC) will:</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5.1.1 sell, offer to sell, contract or agree to sell, hypothecate, pledge (except as collateral to any financing source in the ordinary course), grant any option to purchase or otherwise dispose of or agree to dispose of, directly or indirectly, or establish or increase a put equivalent position or liquidate or decrease a call equivalent position within the meaning of Section 16 of the Exchange Act, with respect to any Registrable Securities,</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5.1.2 enter into any swap or other arrangement that transfers to another, in whole or in part, any of the economic consequences of ownership of any of the Registrable Securities, in cash or otherwise, or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5.1.3 publicly announce any intention to effect any transaction specified in clause 5.1.1 or 5.1.2;</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provided, that the foregoing shall not prohibit the transfer of Registrable Securities to a Permitted Transferee, but only if such Permitted Transferee shall concurrently execute this Agreement or a joinder agreeing to become a party to this Agreement and except, that, with respect to ten percent (10%) of the Registrable Securities (the “</w:t>
      </w:r>
      <w:r>
        <w:rPr>
          <w:rFonts w:ascii="Times New Roman" w:cs="Times New Roman" w:eastAsia="Times New Roman" w:hAnsi="Times New Roman"/>
          <w:sz w:val="18"/>
          <w:szCs w:val="18"/>
          <w:b w:val="1"/>
          <w:bCs w:val="1"/>
          <w:color w:val="auto"/>
        </w:rPr>
        <w:t>10% Lockup Shares</w:t>
      </w:r>
      <w:r>
        <w:rPr>
          <w:rFonts w:ascii="Times New Roman" w:cs="Times New Roman" w:eastAsia="Times New Roman" w:hAnsi="Times New Roman"/>
          <w:sz w:val="18"/>
          <w:szCs w:val="18"/>
          <w:color w:val="auto"/>
        </w:rPr>
        <w:t>”),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 Notwithstanding the foregoing, the provisions of this Section 5.1 shall not apply to any Ordinary Shares issued pursuant to the PIPE Subscription Agreement and/or the conversion of the Convertible Loan Note.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6" w:right="45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b w:val="1"/>
          <w:bCs w:val="1"/>
          <w:color w:val="auto"/>
        </w:rPr>
        <w:t>Board Composition.</w:t>
      </w:r>
      <w:r>
        <w:rPr>
          <w:rFonts w:ascii="Times New Roman" w:cs="Times New Roman" w:eastAsia="Times New Roman" w:hAnsi="Times New Roman"/>
          <w:sz w:val="18"/>
          <w:szCs w:val="18"/>
          <w:color w:val="auto"/>
        </w:rPr>
        <w:t xml:space="preserve"> The business and affairs of the Company shall be managed by or under the direction of its Board. The Shareholder Parties shall take all necessary and desirable actions within their control such that (i) the size of the Board shall initially be set at ten (10) members but shall be reduced to nine (9) in the event that the Aggregate Transaction Proceeds (as defined in the Business Combination Agreement) are equal to or in excess of $150m, and thereafter may be changed from time to time by resolution of the Board in accordance with the Memorandum and Articles of Association and (ii) while the size of the Board is nine (9) or ten (10) members, at least five (5) of those members shall satisfy the independence criteria of the applicable national exchange on which the Ordinary Shares are then listed.</w:t>
      </w:r>
    </w:p>
    <w:p>
      <w:pPr>
        <w:spacing w:after="0" w:line="182"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b w:val="1"/>
          <w:bCs w:val="1"/>
          <w:color w:val="auto"/>
        </w:rPr>
        <w:t>Staggered Board.</w:t>
      </w:r>
      <w:r>
        <w:rPr>
          <w:rFonts w:ascii="Times New Roman" w:cs="Times New Roman" w:eastAsia="Times New Roman" w:hAnsi="Times New Roman"/>
          <w:sz w:val="18"/>
          <w:szCs w:val="18"/>
          <w:color w:val="auto"/>
        </w:rPr>
        <w:t xml:space="preserve"> The Memorandum and Articles of Association of the Company shall provide that the Company shall have a classified Board, with three classes of directors. While the size of the Board is ten (10) members, three Directors shall be in Class I, three Directors in Class II and four Directors in Class III (or if the Board size reduces to nine (9) then there shall be three Directors in Class III). One Class of Directors will be elected each year. The term of office of the Class I Directors will expire at the Company’s first annual meeting of shareholders following the Closing Date. The term of office of the Class II Directors will expire at the Company’s second annual meeting of shareholders following the Closing Date. The term of office of the Class III Directors will expire at the Company’s third annual meeting of shareholders following the Closing Date.</w:t>
      </w:r>
    </w:p>
    <w:p>
      <w:pPr>
        <w:spacing w:after="0" w:line="3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NOMINATION RIGHTS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b w:val="1"/>
          <w:bCs w:val="1"/>
          <w:color w:val="auto"/>
        </w:rPr>
        <w:t>Right to Nominate Directors.</w:t>
      </w:r>
    </w:p>
    <w:p>
      <w:pPr>
        <w:spacing w:after="0" w:line="22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7.1.1 After the date hereof, the Company and the Shareholder Parties shall take all necessary and desirable actions within their control to cause the nominating committee of the Board (the “</w:t>
      </w:r>
      <w:r>
        <w:rPr>
          <w:rFonts w:ascii="Times New Roman" w:cs="Times New Roman" w:eastAsia="Times New Roman" w:hAnsi="Times New Roman"/>
          <w:sz w:val="18"/>
          <w:szCs w:val="18"/>
          <w:b w:val="1"/>
          <w:bCs w:val="1"/>
          <w:color w:val="auto"/>
        </w:rPr>
        <w:t>Nominating Committee</w:t>
      </w:r>
      <w:r>
        <w:rPr>
          <w:rFonts w:ascii="Times New Roman" w:cs="Times New Roman" w:eastAsia="Times New Roman" w:hAnsi="Times New Roman"/>
          <w:sz w:val="18"/>
          <w:szCs w:val="18"/>
          <w:color w:val="auto"/>
        </w:rPr>
        <w:t>”) to nominate and recommend to the Board, including self-nominations, the following individuals for election to the Board as directors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60" w:hanging="244"/>
        <w:spacing w:after="0"/>
        <w:tabs>
          <w:tab w:leader="none" w:pos="360" w:val="left"/>
        </w:tabs>
        <w:numPr>
          <w:ilvl w:val="0"/>
          <w:numId w:val="6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so long as Dan Wagner together with his Affiliates, Beneficially Owns any of the issued and outstanding Ordinary Shares of the Company, seven</w:t>
      </w:r>
    </w:p>
    <w:p>
      <w:pPr>
        <w:spacing w:after="0" w:line="38" w:lineRule="exact"/>
        <w:rPr>
          <w:rFonts w:ascii="Times New Roman" w:cs="Times New Roman" w:eastAsia="Times New Roman" w:hAnsi="Times New Roman"/>
          <w:sz w:val="17"/>
          <w:szCs w:val="17"/>
          <w:color w:val="auto"/>
        </w:rPr>
      </w:pPr>
    </w:p>
    <w:p>
      <w:pPr>
        <w:ind w:left="120" w:right="1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 individuals nominated by Dan Wagner who will initially be: Dan Wagner, Anthony Sharp, Sir David Wright, Dr. Steve Perry, John Wagner, Derek Smith and one other independent director to be nominated by Dan Wagner at his discretion from time to time. In the event that the size of the Board reduces to nine (9) members in accordance with section 6.1then the number of nominated individuals under this section 7.1.1(a) shall be six</w:t>
      </w:r>
    </w:p>
    <w:p>
      <w:pPr>
        <w:spacing w:after="0" w:line="1"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 individuals and John Wagner shall no longer be a nominated individual;</w:t>
      </w:r>
    </w:p>
    <w:p>
      <w:pPr>
        <w:spacing w:after="0" w:line="206" w:lineRule="exact"/>
        <w:rPr>
          <w:rFonts w:ascii="Times New Roman" w:cs="Times New Roman" w:eastAsia="Times New Roman" w:hAnsi="Times New Roman"/>
          <w:sz w:val="17"/>
          <w:szCs w:val="17"/>
          <w:color w:val="auto"/>
        </w:rPr>
      </w:pPr>
    </w:p>
    <w:p>
      <w:pPr>
        <w:ind w:left="120" w:right="220" w:hanging="4"/>
        <w:spacing w:after="0" w:line="266" w:lineRule="auto"/>
        <w:tabs>
          <w:tab w:leader="none" w:pos="37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12 months from the date hereof and for so long as Sponsor Group Beneficially Owns any of the issued and outstanding Ordinary Shares of the Company, two (2) individuals designated in writing by the Sponsor, at least one of whom shall satisfy the independence criteria of the applicable national exchange on which the Ordinary Shares are then listed; and</w:t>
      </w:r>
    </w:p>
    <w:p>
      <w:pPr>
        <w:spacing w:after="0" w:line="175" w:lineRule="exact"/>
        <w:rPr>
          <w:rFonts w:ascii="Times New Roman" w:cs="Times New Roman" w:eastAsia="Times New Roman" w:hAnsi="Times New Roman"/>
          <w:sz w:val="18"/>
          <w:szCs w:val="18"/>
          <w:color w:val="auto"/>
        </w:rPr>
      </w:pPr>
    </w:p>
    <w:p>
      <w:pPr>
        <w:ind w:left="120" w:right="240" w:hanging="4"/>
        <w:spacing w:after="0" w:line="266" w:lineRule="auto"/>
        <w:tabs>
          <w:tab w:leader="none" w:pos="365"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Sponsor Group has nomination rights pursuant to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one director to be mutually determined by the Nominating Committee and the Sponsor Group, who shall satisfy the independence criteria of the applicable national exchange on which the Ordinary Shares are then listed.</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7.1.2 The Memorandum and Articles of Association shall (to the extent permitted by applicable Law) provide that Directors may designate alternate directors.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5" w:right="51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7.1.3 Directors are subject to removal pursuant to the applicable provisions of the Memorandum and Articles of Association.</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7.1.4 During the Sponsor’s Board Seat Period, in the event that (i) a vacancy is created at any time by the death, retirement, disability, removal or resignation of any of the members nominated by the Sponsor (the “</w:t>
      </w:r>
      <w:r>
        <w:rPr>
          <w:rFonts w:ascii="Times New Roman" w:cs="Times New Roman" w:eastAsia="Times New Roman" w:hAnsi="Times New Roman"/>
          <w:sz w:val="18"/>
          <w:szCs w:val="18"/>
          <w:b w:val="1"/>
          <w:bCs w:val="1"/>
          <w:color w:val="auto"/>
        </w:rPr>
        <w:t>Shareholder Designees</w:t>
      </w:r>
      <w:r>
        <w:rPr>
          <w:rFonts w:ascii="Times New Roman" w:cs="Times New Roman" w:eastAsia="Times New Roman" w:hAnsi="Times New Roman"/>
          <w:sz w:val="18"/>
          <w:szCs w:val="18"/>
          <w:color w:val="auto"/>
        </w:rPr>
        <w:t xml:space="preserve">”) or (ii) a Shareholder Designee fails to be elected to the Board at any annual or special meeting of the shareholders of the Company at which such Shareholder Designee stood for election but was nevertheless not elected, the remaining directors and the Company shall cause such open seat to be filled by a new member designated in writing by the Shareholder Party that designated such Shareholder Designee, as soon as possible, and the Company and the Shareholder Parties hereby agree to take all necessary and desirable actions within their control to accomplish the same. The Sponsor shall have the right to propose to remove their respective Shareholder Designee and designate another Shareholder Designee in his or her place, provided that the Board shall be notified in advance with regard to the identity of the replacement Shareholder Designee. If the Sponsor, during its Board Seat Period, wishes to remove its Shareholder Designee and designate another Shareholder Designee in his or her place pursuant to this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 xml:space="preserve">, the Company and the Shareholder Parties shall take all necessary and desirable actions within their control, upon written notice from the Sponsor, as applicable, to the Company, to fill the vacancy resulting from such removal with such replacement Shareholder Designee in accordance with this </w:t>
      </w:r>
      <w:r>
        <w:rPr>
          <w:rFonts w:ascii="Times New Roman" w:cs="Times New Roman" w:eastAsia="Times New Roman" w:hAnsi="Times New Roman"/>
          <w:sz w:val="18"/>
          <w:szCs w:val="18"/>
          <w:u w:val="single" w:color="auto"/>
          <w:color w:val="auto"/>
        </w:rPr>
        <w:t>subsection 7.1.4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7.1.5 The Company agrees to include, in the slate of nominees recommended by the Board for election at any meeting of shareholders called for the purpose of electing directors, the Persons nominated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the extent that directors of such nominee’s class are to be elected at such meeting, for so long as the Board is classified) and to nominate and recommend each such individual to be elected as a director as provided herein, and to solicit proxies or consents in favor thereof and to cause the applicable proxies to vote in accordance with the foregoing. The Company shall use its commercially reasonable efforts to support the election of the Shareholder Designees and, in any event, not less than the efforts used by the Company to obtain the election of any other nominee nominated by it to serve on the Board. The Company and the Shareholder Parties shall take all necessary and desirable actions within their control to enable the Shareholder Parties to nominate their respective Shareholder Designees.</w:t>
      </w:r>
    </w:p>
    <w:p>
      <w:pPr>
        <w:spacing w:after="0" w:line="18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7.1.6 Each member of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Directors and provide them with director and officer insurance to the same extent it indemnifies, exculpates, reimburses and provides insurance for the other members of the Board pursuant to the Memorandum and Articles of Association of the Company, Law or otherwise. The Company acknowledges and agrees that it (i) is the indemnitor of first resort (i.e., its and its insurers’ obligations to advance expenses and to indemnify any Shareholder Designee are primary and any obligation of any Shareholder Party, their Affiliates or their insurers to advance fees and expenses or to provide indemnification for the same fees and expenses or liabilities incurred by any Shareholder Designee is secondary and excess), and (ii) shall be required to advance the amount of fees and expenses incurred by any Shareholder Designee and shall be liable for the amount of all fees, expenses and liabilities incurred by any such Shareholder Designee, in each case (a) to the same extent as it advances fees and expenses to other members of the Board pursuant to the Memorandum and Articles of Association, Law or otherwise, and (b) without regard to any rights such a Shareholder Designee may have against his or her designating Shareholder Party or any of its Affiliates; provided that such Shareholder Designee shall have delivered to the Company an undertaking, by or on behalf of such Shareholder Designee, to repay all amounts so advanced if it shall ultimately be determined by final judicial decision of a court of competent jurisdiction from which there is no further right to appeal that such Shareholder Designee is not entitled to be indemnified for such expenses.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b w:val="1"/>
          <w:bCs w:val="1"/>
          <w:color w:val="auto"/>
        </w:rPr>
        <w:t>Outside Activities.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7.2.1 To the fullest extent permitted by applicable Law, (i) no Holder, in such capacity, or any Affiliates of such Holder in such capacity (collectively, the “</w:t>
      </w:r>
      <w:r>
        <w:rPr>
          <w:rFonts w:ascii="Times New Roman" w:cs="Times New Roman" w:eastAsia="Times New Roman" w:hAnsi="Times New Roman"/>
          <w:sz w:val="18"/>
          <w:szCs w:val="18"/>
          <w:b w:val="1"/>
          <w:bCs w:val="1"/>
          <w:color w:val="auto"/>
        </w:rPr>
        <w:t>Relevant Persons</w:t>
      </w:r>
      <w:r>
        <w:rPr>
          <w:rFonts w:ascii="Times New Roman" w:cs="Times New Roman" w:eastAsia="Times New Roman" w:hAnsi="Times New Roman"/>
          <w:sz w:val="18"/>
          <w:szCs w:val="18"/>
          <w:color w:val="auto"/>
        </w:rPr>
        <w:t>”) shall have any fiduciary duty to refrain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6" w:right="45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engaging directly or indirectly in other business ventures of every type and description, including those engaged in the same or similar business activities or lines of business as the Company or its subsidiaries or deemed to be competing with the Company or any of its subsidiaries, on its own account, or in partnership with, or as an employee, officer, director or shareholder of any other person, with no obligation to offer to the Company or any of its subsidiaries the right to participate therein and (ii) any Relevant Person may invest in, or provide services to, any Person that directly or indirectly competes with the Company or any of its subsidiaries. To the fullest extent permitted by Law, the Company renounces any interest or expectancy of the Company in, or in being offered an opportunity to participate in, any potential transaction or matter which may be a corporate opportunity for any Relevant Person, on the one hand, and the Company or any of its subsidiaries, on the other. To the fullest extent permitted by Law, the Relevant Persons shall have no fiduciary duty to communicate or offer any such corporate opportunity to the Company or any of its subsidiaries and shall not be liable to the Company or any of its subsidiaries or shareholders for breach of any fiduciary duty as a shareholder, Director, officer or shareholder, as applicable, solely by reason of the fact that such Relevant Person, directly or indirectly, pursues or acquires such corporate opportunity for itself, himself or herself, directs such corporate opportunity to another person, or does not communicate information regarding such corporate opportunity to the Company or any of its subsidiaries.</w:t>
      </w:r>
    </w:p>
    <w:p>
      <w:pPr>
        <w:spacing w:after="0" w:line="19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7.2.2 The Company hereby renounces any interest or expectancy of the Company or any of its subsidiaries in, or in being offered an opportunity to participate in, any potential transaction or matter which may be a corporate opportunity of any Relevant Person.</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7.2.3 To the extent a court might hold that the conduct of any activity related to a corporate opportunity that is renounced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be a breach of fiduciary duty to the Company (including any of its subsidiaries) or its shareholders, the Company, on behalf of itself and each of its subsidiaries, hereby waives, to the fullest extent permitted by Law, any and all claims and causes of action that the Company or any of its subsidiaries may have for such activities. To the fullest extent permitted by Law,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apply equally to activities conducted in the future and that have been conducted in the past.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CONFIDENTIALITY AND ANNOUNCEMENTS</w:t>
      </w:r>
    </w:p>
    <w:p>
      <w:pPr>
        <w:spacing w:after="0" w:line="203"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Each Holder hereby agrees that all Confidential Information with respect to the Company shall be kept confidential by it and shall not be disclosed by it in any manner whatsoever, except as permitted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any other confidentiality obligations to which any Holder may be subject,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apply to any Holder who is an employee or officer of the Company. Notwithstanding anything contained in this Agreement or any additional confidentiality obligations to the Company or its or any Holder or Shareholder Designee may be bound, Confidential Information received by each Holder or Shareholder Designee may be disclosed:</w:t>
      </w:r>
    </w:p>
    <w:p>
      <w:pPr>
        <w:spacing w:after="0" w:line="75" w:lineRule="exact"/>
        <w:rPr>
          <w:sz w:val="20"/>
          <w:szCs w:val="20"/>
          <w:color w:val="auto"/>
        </w:rPr>
      </w:pPr>
    </w:p>
    <w:p>
      <w:pPr>
        <w:ind w:left="360" w:hanging="244"/>
        <w:spacing w:after="0"/>
        <w:tabs>
          <w:tab w:leader="none" w:pos="360"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Shareholder Designee, to such Shareholder Designee’s designating Shareholder Party and its Representatives;</w:t>
      </w:r>
    </w:p>
    <w:p>
      <w:pPr>
        <w:spacing w:after="0" w:line="225" w:lineRule="exact"/>
        <w:rPr>
          <w:rFonts w:ascii="Times New Roman" w:cs="Times New Roman" w:eastAsia="Times New Roman" w:hAnsi="Times New Roman"/>
          <w:sz w:val="18"/>
          <w:szCs w:val="18"/>
          <w:color w:val="auto"/>
        </w:rPr>
      </w:pPr>
    </w:p>
    <w:p>
      <w:pPr>
        <w:ind w:left="120" w:hanging="4"/>
        <w:spacing w:after="0" w:line="261" w:lineRule="auto"/>
        <w:tabs>
          <w:tab w:leader="none" w:pos="375"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Holder, to its Affiliates or its or their respective directors, officers, employees and authorized representatives (including attorneys, accountants, consultants, bankers and financial advisors) (such Persons, collectively, with respect to any Person, such Person’s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provided such Representatives owe a contractual or other duty of confidentiality to such Shareholder Party or any of its Affiliates with respect to any Confidential Information so disclosed;</w:t>
      </w:r>
    </w:p>
    <w:p>
      <w:pPr>
        <w:spacing w:after="0" w:line="179"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each Shareholder Designee, Holder and each of its Representatives, to the extent the Company consents in writing; and</w:t>
      </w:r>
    </w:p>
    <w:p>
      <w:pPr>
        <w:spacing w:after="0" w:line="225" w:lineRule="exact"/>
        <w:rPr>
          <w:rFonts w:ascii="Times New Roman" w:cs="Times New Roman" w:eastAsia="Times New Roman" w:hAnsi="Times New Roman"/>
          <w:sz w:val="18"/>
          <w:szCs w:val="18"/>
          <w:color w:val="auto"/>
        </w:rPr>
      </w:pPr>
    </w:p>
    <w:p>
      <w:pPr>
        <w:ind w:left="120" w:hanging="4"/>
        <w:spacing w:after="0" w:line="282" w:lineRule="auto"/>
        <w:tabs>
          <w:tab w:leader="none" w:pos="375"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Law or the rules of any stock exchange upon which such Holder’s or any of its Affiliates’ securities are listed or traded or as requested or required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making such a disclosure, such Person has, to the extent practicable and permitted by Law, consulted with the Company regarding the scope, timing and contents of such disclosure.</w:t>
      </w:r>
    </w:p>
    <w:p>
      <w:pPr>
        <w:spacing w:after="0" w:line="158"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xml:space="preserve"> Prior to making any public announcement of information which the Company reasonably believes, prior to its public disclosure, may constitute material non-public information or inside information with respect to any Holder that has securities listed or traded on any stock exchange, the Company shall use commercially reasonable efforts to consult with such Holder regarding the scope, timing and contents of such announcement and, if reasonably requested by such Holder in writing, to the extent permitted by Law, cooperate with such Holder in the reasonable coordination of such announcement, in each case so as to permit such Holder to comply with its obligations under applicable securities Laws and rules of such stock exchange with respect to dissemination of information.</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with respect to a Holder upon the date on which (i) neither such Holder nor any of its permitted assignees (or any member of the Sponsor Group, with respect to the Sponsor) hold any Registrable Securities and (ii) such Holder holds no director nomination rights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shall survive any such termination with respect to any Holder.</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Company, to it at: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Rezolve Limited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Dan Wagner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danwagner@rezolve.com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Taylor Wessing LLP—5 New Street Square, London EC4A 3TW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Robert Fenner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r.fenner@taylorwessing.com</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a Holder, to the address or email address set forth for Holder on the signature page hereof.</w:t>
      </w:r>
    </w:p>
    <w:p>
      <w:pPr>
        <w:spacing w:after="0" w:line="221"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00"/>
          </w:cols>
          <w:pgMar w:left="320" w:top="455" w:right="47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xml:space="preserve"> If the Company shall have filed a registration statement pursuant to the requirements of Section 12 of the Exchange Act or a registration statement pursuant to the requirements of the Securities Act in respect of the Ordinary Shares, the Company covenants that (i) so long as it remains subject to the reporting provisions of the Exchange Act, it will timely file the reports required to be filed by it under the Securities Act or the Exchange Act (including, but not limited to, the reports under Sections 13 and 15(d) of the Exchange Act referred to in subparagraph (c)(1)(i) of Rule 144 under the Securities Act, as such Rule may be amended (“Rule 144”)) or, if the Company is not required to file such reports, it will, upon the request of any Holder, make publicly available other information so long as necessary to permit sales by such Holder under Rule 144 or any similar rules or regulations hereafter adopted by the SEC, and (ii) it will take such further action as any Holder may reasonably request, all to the extent required from time to time to enable such Holder to sell Registrable Securities without registration under the Securities Act within the limitation of the exemptions provided by (A) Rule 144 or (B) any similar rule or regulation hereafter adopted by the SEC. Upon the request of any Holder of Registrable Securities, the Company will deliver to such Holder a written statement as to whether it has complied with such requirements.</w:t>
      </w:r>
    </w:p>
    <w:p>
      <w:pPr>
        <w:spacing w:after="0" w:line="185" w:lineRule="exact"/>
        <w:rPr>
          <w:sz w:val="20"/>
          <w:szCs w:val="20"/>
          <w:color w:val="auto"/>
        </w:rPr>
      </w:pPr>
    </w:p>
    <w:p>
      <w:pPr>
        <w:jc w:val="both"/>
        <w:ind w:left="120" w:right="360"/>
        <w:spacing w:after="0" w:line="317"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b w:val="1"/>
          <w:bCs w:val="1"/>
          <w:color w:val="auto"/>
        </w:rPr>
        <w:t>Entire Agreement.</w:t>
      </w:r>
      <w:r>
        <w:rPr>
          <w:rFonts w:ascii="Times New Roman" w:cs="Times New Roman" w:eastAsia="Times New Roman" w:hAnsi="Times New Roman"/>
          <w:sz w:val="17"/>
          <w:szCs w:val="17"/>
          <w:color w:val="auto"/>
        </w:rPr>
        <w:t xml:space="preserve"> This Agreement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b w:val="1"/>
          <w:bCs w:val="1"/>
          <w:color w:val="auto"/>
        </w:rPr>
        <w:t>Assignment; No Third-Party Beneficiary.</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10.5.1 This Agreement and the rights, duties and obligations of the Company hereunder may not be assigned or delegated by the Company in whole or in part.</w:t>
      </w:r>
    </w:p>
    <w:p>
      <w:pPr>
        <w:spacing w:after="0" w:line="162"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 xml:space="preserve">10.5.2 Prior to the expiration of the Lockup Period, no Holder may assign or delegate such Holder’s rights, duties or obligations under this Agreement, in whole or in part, except in connection with a transfer of Registrable Securities by such Holder to a Permitted Transferee (subject to </w:t>
      </w:r>
      <w:r>
        <w:rPr>
          <w:rFonts w:ascii="Times New Roman" w:cs="Times New Roman" w:eastAsia="Times New Roman" w:hAnsi="Times New Roman"/>
          <w:sz w:val="17"/>
          <w:szCs w:val="17"/>
          <w:u w:val="single" w:color="auto"/>
          <w:color w:val="auto"/>
        </w:rPr>
        <w:t>subsection 10.5.4</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left="120" w:right="360"/>
        <w:spacing w:after="0" w:line="282" w:lineRule="auto"/>
        <w:rPr>
          <w:sz w:val="20"/>
          <w:szCs w:val="20"/>
          <w:color w:val="auto"/>
        </w:rPr>
      </w:pPr>
      <w:r>
        <w:rPr>
          <w:rFonts w:ascii="Times New Roman" w:cs="Times New Roman" w:eastAsia="Times New Roman" w:hAnsi="Times New Roman"/>
          <w:sz w:val="18"/>
          <w:szCs w:val="18"/>
          <w:color w:val="auto"/>
        </w:rPr>
        <w:t xml:space="preserve">10.5.3 This Agreement and the provisions hereof shall be binding upon and shall inure to the benefit of each of the parties and its successors and the permitted assigns of the Holders, which shall include Permitted Transferees, except 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10.5.4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10.5.4 Notwithstanding the foregoing, no Holder may assign its rights under Article VII and Article X (except that the Sponsor may assign its rights under such Articles to its members in connection with the transfer of substantially all the Ordinary Shares held by the Sponsor to such member or in connection with a Permitted Distribution in Kind of substantially all the Ordinary Shares held by the Sponsor).</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 xml:space="preserve">10.5.5 This Agreement shall not confer any rights or benefits on any Persons that are not parties hereto, other than as expressly set forth in this Agreement and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10.5.6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null and void.</w:t>
      </w:r>
    </w:p>
    <w:p>
      <w:pPr>
        <w:spacing w:after="0" w:line="179"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xml:space="preserve"> 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contained in this Agreement, each Shareholder Designee shall be an express third-party beneficiary of </w:t>
      </w:r>
      <w:r>
        <w:rPr>
          <w:rFonts w:ascii="Times New Roman" w:cs="Times New Roman" w:eastAsia="Times New Roman" w:hAnsi="Times New Roman"/>
          <w:sz w:val="18"/>
          <w:szCs w:val="18"/>
          <w:u w:val="single" w:color="auto"/>
          <w:color w:val="auto"/>
        </w:rPr>
        <w:t>subsection 7.1.6</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applicable to contracts executed in and to be performed in that State (and, in respect of the fiduciary duties of the members of the board of directors of the Company, the Companies Law (2020 Revision) of the Cayman Islands). All legal actions and proceedings arising out of or relating to this Agreement shall be heard and determined exclusively in any Delaware Chancery Court;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jurisdiction is not then available in the Delaware Chancery Court, then any such legal action may be brought in any federal court located in the State of Delaware or any other Delaware state court. The parties hereto hereby (i) irrevocably submit to the exclusive jurisdiction of the aforesaid courts for themselves and with respect to their respective properties for the purpose of any action arising out of or relating to this Agreement brought by any party hereto, and (ii)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(1) the action in any such court is brought in an inconvenient forum, (ii) the venue of such action is improper or (2) this Agreement, or the subject matter hereof, may not be enforced in or by such courts.</w:t>
      </w:r>
    </w:p>
    <w:p>
      <w:pPr>
        <w:spacing w:after="0" w:line="195"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b w:val="1"/>
          <w:bCs w:val="1"/>
          <w:color w:val="auto"/>
        </w:rPr>
        <w:t>Waiver of Jury Trial.</w:t>
      </w:r>
      <w:r>
        <w:rPr>
          <w:rFonts w:ascii="Times New Roman" w:cs="Times New Roman" w:eastAsia="Times New Roman" w:hAnsi="Times New Roman"/>
          <w:sz w:val="17"/>
          <w:szCs w:val="17"/>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w:t>
      </w:r>
    </w:p>
    <w:p>
      <w:pPr>
        <w:spacing w:after="0" w:line="3" w:lineRule="exact"/>
        <w:rPr>
          <w:sz w:val="20"/>
          <w:szCs w:val="20"/>
          <w:color w:val="auto"/>
        </w:rPr>
      </w:pPr>
    </w:p>
    <w:p>
      <w:pPr>
        <w:ind w:left="120" w:right="240" w:hanging="4"/>
        <w:spacing w:after="0" w:line="255" w:lineRule="auto"/>
        <w:tabs>
          <w:tab w:leader="none" w:pos="395"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AND THE TRANSACTIONS CONTEMPLATED HEREBY, AS APPLICABLE, BY, AMONG OTHER THINGS, THE MUTUAL WAIVERS AND CERTIFICATIONS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xml:space="preserve"> 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649" w:name="page650"/>
    <w:bookmarkEnd w:id="6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spacing w:after="0" w:line="171" w:lineRule="exact"/>
        <w:rPr>
          <w:sz w:val="20"/>
          <w:szCs w:val="20"/>
          <w:color w:val="auto"/>
        </w:rPr>
      </w:pPr>
    </w:p>
    <w:p>
      <w:pPr>
        <w:jc w:val="both"/>
        <w:ind w:left="120" w:right="180"/>
        <w:spacing w:after="0" w:line="26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76"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Except as otherwise provided herein, all costs and expenses incurred in connection with this Agreement and the transactions contemplated hereby shall be paid by the party incurring such costs and expenses, whether or not the transactions contemplated hereby are consummated.</w:t>
      </w:r>
    </w:p>
    <w:p>
      <w:pPr>
        <w:spacing w:after="0" w:line="171"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This Agreement may not be amended except by an instrument in writing signed by (i) the Company, (ii) the Sponsor (provided (x) the Sponsor or its Permitted Transferee(s) holds Registrable Securities at the time of such amendment, or (y) the Sponsor retains a Board nomination right pursuant to </w:t>
      </w:r>
      <w:r>
        <w:rPr>
          <w:rFonts w:ascii="Times New Roman" w:cs="Times New Roman" w:eastAsia="Times New Roman" w:hAnsi="Times New Roman"/>
          <w:sz w:val="18"/>
          <w:szCs w:val="18"/>
          <w:u w:val="single" w:color="auto"/>
          <w:color w:val="auto"/>
        </w:rPr>
        <w:t>subsection 7.1.1</w:t>
      </w:r>
      <w:r>
        <w:rPr>
          <w:rFonts w:ascii="Times New Roman" w:cs="Times New Roman" w:eastAsia="Times New Roman" w:hAnsi="Times New Roman"/>
          <w:sz w:val="18"/>
          <w:szCs w:val="18"/>
          <w:color w:val="auto"/>
        </w:rPr>
        <w:t xml:space="preserve"> at the time of such amendment), and (iii) Dan Wagner (provided (x) Dan Wagner or his Permitted Transferee(s) holds Registrable Securities at the time of such amendment, or (y) Dan Wagner retains a Board nomination right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at the time of such amendment). Notwithstanding the foregoing, the consent of a Holder to an amendment will not be required to the extent that such amendment does not adversely impact the rights and obligations of such Holder under this Agreement.</w:t>
      </w:r>
    </w:p>
    <w:p>
      <w:pPr>
        <w:spacing w:after="0" w:line="182" w:lineRule="exact"/>
        <w:rPr>
          <w:sz w:val="20"/>
          <w:szCs w:val="20"/>
          <w:color w:val="auto"/>
        </w:rPr>
      </w:pPr>
    </w:p>
    <w:p>
      <w:pPr>
        <w:ind w:left="120" w:right="100"/>
        <w:spacing w:after="0" w:line="278" w:lineRule="auto"/>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b w:val="1"/>
          <w:bCs w:val="1"/>
          <w:color w:val="auto"/>
        </w:rPr>
        <w:t>Waiver.</w:t>
      </w:r>
      <w:r>
        <w:rPr>
          <w:rFonts w:ascii="Times New Roman" w:cs="Times New Roman" w:eastAsia="Times New Roman" w:hAnsi="Times New Roman"/>
          <w:sz w:val="17"/>
          <w:szCs w:val="17"/>
          <w:color w:val="auto"/>
        </w:rPr>
        <w:t xml:space="preserve"> At any time, the Company may (i) extend the time for the performance of any obligation or other act of any Holder, (ii) waive any inaccuracy in the representations and warranties of any Holder contained herein or in any document delivered by such Holder pursuant hereto, and</w:t>
      </w:r>
    </w:p>
    <w:p>
      <w:pPr>
        <w:spacing w:after="0" w:line="1" w:lineRule="exact"/>
        <w:rPr>
          <w:sz w:val="20"/>
          <w:szCs w:val="20"/>
          <w:color w:val="auto"/>
        </w:rPr>
      </w:pPr>
    </w:p>
    <w:p>
      <w:pPr>
        <w:ind w:left="120" w:hanging="4"/>
        <w:spacing w:after="0" w:line="253" w:lineRule="auto"/>
        <w:tabs>
          <w:tab w:leader="none" w:pos="43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of such Holder or any condition to its own obligations contained herein. At any time, any Holder may, in respect of itself and not other Holders, (i) extend the time for the performance of any obligation or other act of the Company, (ii) waive any inaccuracy in the representations and warranties of the Company contained herein or in any document delivered by the Company pursuant hereto, and (iii)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18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b w:val="1"/>
          <w:bCs w:val="1"/>
          <w:color w:val="auto"/>
        </w:rPr>
        <w:t>No Strict Construction.</w:t>
      </w:r>
      <w:r>
        <w:rPr>
          <w:rFonts w:ascii="Times New Roman" w:cs="Times New Roman" w:eastAsia="Times New Roman" w:hAnsi="Times New Roman"/>
          <w:sz w:val="18"/>
          <w:szCs w:val="18"/>
          <w:color w:val="auto"/>
        </w:rPr>
        <w:t xml:space="preserve"> The language used in this Agreement shall be deemed to be the language chosen by the parties to express their mutual intent and no rule of strict construction shall be applied against any party.</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(Next Page is Signature Page)</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each of the parties has executed this Agreement as of the date first written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REZOLVE AI LIMITED</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pacing w:after="0" w:line="1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139"/>
          </w:cols>
          <w:pgMar w:left="320" w:top="455" w:right="1440"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Agreement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ARMADA SPONSOR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5747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139"/>
          </w:cols>
          <w:pgMar w:left="320" w:top="455" w:right="1440"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WITNESS WHEREOF, each of the undersigned has executed this Agreement as of the date first written above.</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5715</wp:posOffset>
            </wp:positionV>
            <wp:extent cx="234886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34886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Investor Rights Agreement]</w:t>
      </w:r>
    </w:p>
    <w:p>
      <w:pPr>
        <w:spacing w:after="0" w:line="15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0139"/>
          </w:cols>
          <w:pgMar w:left="320" w:top="455" w:right="1440"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w:t>
      </w:r>
    </w:p>
    <w:p>
      <w:pPr>
        <w:spacing w:after="0" w:line="27"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u w:val="single" w:color="auto"/>
          <w:color w:val="auto"/>
        </w:rPr>
        <w:t>HOLDERS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 and Address of Investor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Original Holders</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Sponsor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Herbert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Armada Sponsor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Douglas Lurio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Stephen Herbert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Armada Sponsor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 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A. Decker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1650 Market Street, Suite 2800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Mohammad A. Khan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2238 Bentley Ridge Dr.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Jose, CA 95138</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Celso L. White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 Cherry Hills Farm Drive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Englewood, CO 80113</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EARLYBIRDCAPITAL, INC.</w:t>
      </w:r>
    </w:p>
    <w:p>
      <w:pPr>
        <w:ind w:left="120"/>
        <w:spacing w:after="0" w:line="196" w:lineRule="auto"/>
        <w:rPr>
          <w:sz w:val="20"/>
          <w:szCs w:val="20"/>
          <w:color w:val="auto"/>
        </w:rPr>
      </w:pPr>
      <w:r>
        <w:rPr>
          <w:rFonts w:ascii="Times New Roman" w:cs="Times New Roman" w:eastAsia="Times New Roman" w:hAnsi="Times New Roman"/>
          <w:sz w:val="18"/>
          <w:szCs w:val="18"/>
          <w:color w:val="auto"/>
        </w:rPr>
        <w:t>366 Madison Avenue,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New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Apeiron Investment Group Ltd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66 &amp; 67, Beatrice Amery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Sliema, SLM1707, Malta</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Betsy Cohen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[Address]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139"/>
          </w:cols>
          <w:pgMar w:left="320" w:top="455" w:right="1440" w:bottom="1440" w:gutter="0" w:footer="0" w:header="0"/>
        </w:sectPr>
      </w:pPr>
    </w:p>
    <w:bookmarkStart w:id="654" w:name="page655"/>
    <w:bookmarkEnd w:id="6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174625</wp:posOffset>
            </wp:positionV>
            <wp:extent cx="1971675" cy="6686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9716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Effective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127" w:lineRule="exact"/>
        <w:rPr>
          <w:sz w:val="20"/>
          <w:szCs w:val="20"/>
          <w:color w:val="auto"/>
        </w:rPr>
      </w:pPr>
    </w:p>
    <w:p>
      <w:pPr>
        <w:ind w:left="1080" w:hanging="532"/>
        <w:spacing w:after="0" w:line="286" w:lineRule="auto"/>
        <w:tabs>
          <w:tab w:leader="none" w:pos="108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6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60" w:lineRule="exact"/>
        <w:rPr>
          <w:rFonts w:ascii="Times New Roman" w:cs="Times New Roman" w:eastAsia="Times New Roman" w:hAnsi="Times New Roman"/>
          <w:sz w:val="18"/>
          <w:szCs w:val="18"/>
          <w:color w:val="auto"/>
        </w:rPr>
      </w:pPr>
    </w:p>
    <w:p>
      <w:pPr>
        <w:ind w:left="1080" w:right="120" w:hanging="532"/>
        <w:spacing w:after="0" w:line="259" w:lineRule="auto"/>
        <w:tabs>
          <w:tab w:leader="none" w:pos="108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84"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Tax Liability</w:t>
      </w:r>
      <w:r>
        <w:rPr>
          <w:rFonts w:ascii="Times New Roman" w:cs="Times New Roman" w:eastAsia="Times New Roman" w:hAnsi="Times New Roman"/>
          <w:sz w:val="18"/>
          <w:szCs w:val="18"/>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 liability arising after the termination of the Participant’s employment for whatever reason and which:</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11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award of Units or an Option under the Plan;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55" w:right="439" w:bottom="1440" w:gutter="0" w:footer="0" w:header="0"/>
        </w:sectPr>
      </w:pPr>
    </w:p>
    <w:bookmarkStart w:id="655" w:name="page656"/>
    <w:bookmarkEnd w:id="6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20" w:hanging="532"/>
        <w:spacing w:after="0" w:line="262" w:lineRule="auto"/>
        <w:tabs>
          <w:tab w:leader="none" w:pos="108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 June 2023 pursuant to a deed of release, amendment and restatement entered into by the Company, the New Company, CaymanCo, MergerSub, and Armada (each as defined in such deed) on 16 June 2023;</w:t>
      </w:r>
    </w:p>
    <w:p>
      <w:pPr>
        <w:spacing w:after="0" w:line="81"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 to any particular functions of the board of directors, as set forth herein;</w:t>
      </w:r>
    </w:p>
    <w:p>
      <w:pPr>
        <w:spacing w:after="0" w:line="60" w:lineRule="exact"/>
        <w:rPr>
          <w:rFonts w:ascii="Times New Roman" w:cs="Times New Roman" w:eastAsia="Times New Roman" w:hAnsi="Times New Roman"/>
          <w:sz w:val="18"/>
          <w:szCs w:val="18"/>
          <w:color w:val="auto"/>
        </w:rPr>
      </w:pPr>
    </w:p>
    <w:p>
      <w:pPr>
        <w:ind w:left="1080" w:right="280" w:hanging="532"/>
        <w:spacing w:after="0" w:line="286" w:lineRule="auto"/>
        <w:tabs>
          <w:tab w:leader="none" w:pos="108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60" w:lineRule="exact"/>
        <w:rPr>
          <w:rFonts w:ascii="Times New Roman" w:cs="Times New Roman" w:eastAsia="Times New Roman" w:hAnsi="Times New Roman"/>
          <w:sz w:val="18"/>
          <w:szCs w:val="18"/>
          <w:color w:val="auto"/>
        </w:rPr>
      </w:pPr>
    </w:p>
    <w:p>
      <w:pPr>
        <w:ind w:left="1080" w:right="140" w:hanging="532"/>
        <w:spacing w:after="0" w:line="268" w:lineRule="auto"/>
        <w:tabs>
          <w:tab w:leader="none" w:pos="108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w:t>
      </w:r>
      <w:r>
        <w:rPr>
          <w:rFonts w:ascii="Times New Roman" w:cs="Times New Roman" w:eastAsia="Times New Roman" w:hAnsi="Times New Roman"/>
          <w:sz w:val="18"/>
          <w:szCs w:val="18"/>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76" w:lineRule="exact"/>
        <w:rPr>
          <w:rFonts w:ascii="Times New Roman" w:cs="Times New Roman" w:eastAsia="Times New Roman" w:hAnsi="Times New Roman"/>
          <w:sz w:val="18"/>
          <w:szCs w:val="18"/>
          <w:color w:val="auto"/>
        </w:rPr>
      </w:pPr>
    </w:p>
    <w:p>
      <w:pPr>
        <w:ind w:left="1080" w:right="620" w:hanging="532"/>
        <w:spacing w:after="0" w:line="286" w:lineRule="auto"/>
        <w:tabs>
          <w:tab w:leader="none" w:pos="108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64" w:lineRule="exact"/>
        <w:rPr>
          <w:rFonts w:ascii="Times New Roman" w:cs="Times New Roman" w:eastAsia="Times New Roman" w:hAnsi="Times New Roman"/>
          <w:sz w:val="18"/>
          <w:szCs w:val="18"/>
          <w:color w:val="auto"/>
        </w:rPr>
      </w:pPr>
    </w:p>
    <w:p>
      <w:pPr>
        <w:ind w:left="1540" w:right="100" w:hanging="439"/>
        <w:spacing w:after="0" w:line="258" w:lineRule="auto"/>
        <w:tabs>
          <w:tab w:leader="none" w:pos="154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88" w:lineRule="exact"/>
        <w:rPr>
          <w:rFonts w:ascii="Times New Roman" w:cs="Times New Roman" w:eastAsia="Times New Roman" w:hAnsi="Times New Roman"/>
          <w:sz w:val="18"/>
          <w:szCs w:val="18"/>
          <w:color w:val="auto"/>
        </w:rPr>
      </w:pPr>
    </w:p>
    <w:p>
      <w:pPr>
        <w:ind w:left="1540" w:right="140" w:hanging="439"/>
        <w:spacing w:after="0" w:line="272" w:lineRule="auto"/>
        <w:tabs>
          <w:tab w:leader="none" w:pos="1540" w:val="left"/>
        </w:tabs>
        <w:numPr>
          <w:ilvl w:val="1"/>
          <w:numId w:val="6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w:t>
      </w:r>
    </w:p>
    <w:p>
      <w:pPr>
        <w:spacing w:after="0" w:line="1" w:lineRule="exact"/>
        <w:rPr>
          <w:rFonts w:ascii="Times New Roman" w:cs="Times New Roman" w:eastAsia="Times New Roman" w:hAnsi="Times New Roman"/>
          <w:sz w:val="17"/>
          <w:szCs w:val="17"/>
          <w:color w:val="auto"/>
        </w:rPr>
      </w:pPr>
    </w:p>
    <w:p>
      <w:pPr>
        <w:ind w:left="1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92" w:lineRule="exact"/>
        <w:rPr>
          <w:rFonts w:ascii="Times New Roman" w:cs="Times New Roman" w:eastAsia="Times New Roman" w:hAnsi="Times New Roman"/>
          <w:sz w:val="17"/>
          <w:szCs w:val="17"/>
          <w:color w:val="auto"/>
        </w:rPr>
      </w:pPr>
    </w:p>
    <w:p>
      <w:pPr>
        <w:ind w:left="1540" w:right="140" w:hanging="439"/>
        <w:spacing w:after="0" w:line="256" w:lineRule="auto"/>
        <w:tabs>
          <w:tab w:leader="none" w:pos="154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 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92" w:lineRule="exact"/>
        <w:rPr>
          <w:rFonts w:ascii="Times New Roman" w:cs="Times New Roman" w:eastAsia="Times New Roman" w:hAnsi="Times New Roman"/>
          <w:sz w:val="18"/>
          <w:szCs w:val="18"/>
          <w:color w:val="auto"/>
        </w:rPr>
      </w:pPr>
    </w:p>
    <w:p>
      <w:pPr>
        <w:ind w:left="1540" w:right="140" w:hanging="439"/>
        <w:spacing w:after="0" w:line="258" w:lineRule="auto"/>
        <w:tabs>
          <w:tab w:leader="none" w:pos="154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206" w:lineRule="exact"/>
        <w:rPr>
          <w:rFonts w:ascii="Times New Roman" w:cs="Times New Roman" w:eastAsia="Times New Roman" w:hAnsi="Times New Roman"/>
          <w:sz w:val="18"/>
          <w:szCs w:val="18"/>
          <w:color w:val="auto"/>
        </w:rPr>
      </w:pPr>
    </w:p>
    <w:p>
      <w:pPr>
        <w:ind w:left="1540" w:right="280" w:hanging="439"/>
        <w:spacing w:after="0" w:line="286" w:lineRule="auto"/>
        <w:tabs>
          <w:tab w:leader="none" w:pos="154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120"/>
          </w:cols>
          <w:pgMar w:left="320" w:top="455" w:right="45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120"/>
        <w:spacing w:after="0" w:line="266" w:lineRule="auto"/>
        <w:rPr>
          <w:sz w:val="20"/>
          <w:szCs w:val="20"/>
          <w:color w:val="auto"/>
        </w:rPr>
      </w:pPr>
      <w:r>
        <w:rPr>
          <w:rFonts w:ascii="Times New Roman" w:cs="Times New Roman" w:eastAsia="Times New Roman" w:hAnsi="Times New Roman"/>
          <w:sz w:val="18"/>
          <w:szCs w:val="18"/>
          <w:color w:val="auto"/>
        </w:rPr>
        <w:t>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Notwithstanding anything to the contrary herein, and solely for the purpose of determining the timing of payment or timing of</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distribution of any compensation or benefit that constitutes “nonqualified deferred compensation” within the meaning of</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Section 409A of the US Internal Revenue Code of 1986, as amended, a Change of Control shall not be deemed to occur under this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Plan unless the Change of Control also constitutes a “change in the ownership” of the Company, a “change in effective control” of</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Company, or a “change in the ownership of a substantial portion of the assets” of the Company under U.S. Treasury Regulations</w:t>
      </w:r>
    </w:p>
    <w:p>
      <w:pPr>
        <w:spacing w:after="0" w:line="9" w:lineRule="exact"/>
        <w:rPr>
          <w:sz w:val="20"/>
          <w:szCs w:val="20"/>
          <w:color w:val="auto"/>
        </w:rPr>
      </w:pPr>
    </w:p>
    <w:p>
      <w:pPr>
        <w:ind w:left="1680" w:hanging="132"/>
        <w:spacing w:after="0"/>
        <w:tabs>
          <w:tab w:leader="none" w:pos="1680" w:val="left"/>
        </w:tabs>
        <w:numPr>
          <w:ilvl w:val="2"/>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1.409A-3(i)(5), or any successor provision;</w:t>
      </w:r>
    </w:p>
    <w:p>
      <w:pPr>
        <w:spacing w:after="0" w:line="10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Plc, a company incorporated in England with company number 14573691, whose registered office is at 5 New Street Square, London, United Kingdom, EC4A 3TW;</w:t>
      </w:r>
    </w:p>
    <w:p>
      <w:pPr>
        <w:spacing w:after="0" w:line="60" w:lineRule="exact"/>
        <w:rPr>
          <w:rFonts w:ascii="Times New Roman" w:cs="Times New Roman" w:eastAsia="Times New Roman" w:hAnsi="Times New Roman"/>
          <w:sz w:val="18"/>
          <w:szCs w:val="18"/>
          <w:color w:val="auto"/>
        </w:rPr>
      </w:pPr>
    </w:p>
    <w:p>
      <w:pPr>
        <w:ind w:left="1080" w:right="220" w:hanging="532"/>
        <w:spacing w:after="0" w:line="317" w:lineRule="auto"/>
        <w:tabs>
          <w:tab w:leader="none" w:pos="1080" w:val="left"/>
        </w:tabs>
        <w:numPr>
          <w:ilvl w:val="0"/>
          <w:numId w:val="6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Shares</w:t>
      </w:r>
      <w:r>
        <w:rPr>
          <w:rFonts w:ascii="Times New Roman" w:cs="Times New Roman" w:eastAsia="Times New Roman" w:hAnsi="Times New Roman"/>
          <w:sz w:val="17"/>
          <w:szCs w:val="17"/>
          <w:color w:val="auto"/>
        </w:rPr>
        <w:t>” means, collectively: (i) the series A preferred shares, designated as “Series A Shares” pursuant to the Company Articles of Association; and (ii) the ordinary shares designated as “Ordinary Shares” pursuant to the Company’s Articles of Association;</w:t>
      </w:r>
    </w:p>
    <w:p>
      <w:pPr>
        <w:spacing w:after="0" w:line="37"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60" w:lineRule="exact"/>
        <w:rPr>
          <w:rFonts w:ascii="Times New Roman" w:cs="Times New Roman" w:eastAsia="Times New Roman" w:hAnsi="Times New Roman"/>
          <w:sz w:val="18"/>
          <w:szCs w:val="18"/>
          <w:color w:val="auto"/>
        </w:rPr>
      </w:pPr>
    </w:p>
    <w:p>
      <w:pPr>
        <w:ind w:left="1080" w:right="28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the Grant Agreement pursuant to which the applicable Award was granted;</w:t>
      </w:r>
    </w:p>
    <w:p>
      <w:pPr>
        <w:spacing w:after="0" w:line="6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6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 agreed to participate in the Plan and to whom Deferred Share Units have or will be granted thereunder;</w:t>
      </w:r>
    </w:p>
    <w:p>
      <w:pPr>
        <w:spacing w:after="0" w:line="76" w:lineRule="exact"/>
        <w:rPr>
          <w:rFonts w:ascii="Times New Roman" w:cs="Times New Roman" w:eastAsia="Times New Roman" w:hAnsi="Times New Roman"/>
          <w:sz w:val="18"/>
          <w:szCs w:val="18"/>
          <w:color w:val="auto"/>
        </w:rPr>
      </w:pPr>
    </w:p>
    <w:p>
      <w:pPr>
        <w:ind w:left="1080" w:right="4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 the Fiscal Year following the Fiscal Year in which the DSU Termination Date occurred;</w:t>
      </w:r>
    </w:p>
    <w:p>
      <w:pPr>
        <w:spacing w:after="0" w:line="60" w:lineRule="exact"/>
        <w:rPr>
          <w:rFonts w:ascii="Times New Roman" w:cs="Times New Roman" w:eastAsia="Times New Roman" w:hAnsi="Times New Roman"/>
          <w:sz w:val="18"/>
          <w:szCs w:val="18"/>
          <w:color w:val="auto"/>
        </w:rPr>
      </w:pPr>
    </w:p>
    <w:p>
      <w:pPr>
        <w:ind w:left="1080" w:right="160" w:hanging="532"/>
        <w:spacing w:after="0" w:line="286"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6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 employee) of the Company for any reason including, without limiting the generality of the foregoing, as a result of retirement, death, voluntary or involuntary termination without cause, or Incapacity;</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20"/>
          </w:cols>
          <w:pgMar w:left="320" w:top="455" w:right="45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 appreciation, phantom stock, profit participation or similar rights);</w:t>
      </w:r>
    </w:p>
    <w:p>
      <w:pPr>
        <w:spacing w:after="0" w:line="60" w:lineRule="exact"/>
        <w:rPr>
          <w:sz w:val="20"/>
          <w:szCs w:val="20"/>
          <w:color w:val="auto"/>
        </w:rPr>
      </w:pPr>
    </w:p>
    <w:p>
      <w:pPr>
        <w:ind w:left="1080" w:right="360" w:hanging="532"/>
        <w:spacing w:after="0" w:line="262"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Expire</w:t>
      </w:r>
      <w:r>
        <w:rPr>
          <w:rFonts w:ascii="Times New Roman" w:cs="Times New Roman" w:eastAsia="Times New Roman" w:hAnsi="Times New Roman"/>
          <w:sz w:val="18"/>
          <w:szCs w:val="18"/>
          <w:color w:val="auto"/>
        </w:rPr>
        <w:t>” means, with respect to a Unit, the termination of such Unit, on the occurrence of which such Unit is void, incapable of settlement, and of no value whatsoever; and with respect to an Option, the termination or lapsing of such Option, on the occurrence of which such Option is void, incapable of exercise or settlement, and of no value whatsoever; and Expires and Expired have a similar meaning;</w:t>
      </w:r>
    </w:p>
    <w:p>
      <w:pPr>
        <w:spacing w:after="0" w:line="81" w:lineRule="exact"/>
        <w:rPr>
          <w:rFonts w:ascii="Times New Roman" w:cs="Times New Roman" w:eastAsia="Times New Roman" w:hAnsi="Times New Roman"/>
          <w:sz w:val="18"/>
          <w:szCs w:val="18"/>
          <w:color w:val="auto"/>
        </w:rPr>
      </w:pPr>
    </w:p>
    <w:p>
      <w:pPr>
        <w:ind w:left="1080" w:right="500" w:hanging="532"/>
        <w:spacing w:after="0" w:line="286"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6"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130" w:lineRule="exact"/>
        <w:rPr>
          <w:rFonts w:ascii="Times New Roman" w:cs="Times New Roman" w:eastAsia="Times New Roman" w:hAnsi="Times New Roman"/>
          <w:sz w:val="18"/>
          <w:szCs w:val="18"/>
          <w:color w:val="auto"/>
        </w:rPr>
      </w:pPr>
    </w:p>
    <w:p>
      <w:pPr>
        <w:jc w:val="both"/>
        <w:ind w:left="1080" w:right="260" w:hanging="532"/>
        <w:spacing w:after="0" w:line="268"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ISU</w:t>
      </w:r>
      <w:r>
        <w:rPr>
          <w:rFonts w:ascii="Times New Roman" w:cs="Times New Roman" w:eastAsia="Times New Roman" w:hAnsi="Times New Roman"/>
          <w:sz w:val="18"/>
          <w:szCs w:val="18"/>
          <w:color w:val="auto"/>
        </w:rPr>
        <w:t>” means a unit granted or credited to a ISU Participant’s notional account pursuant to the terms of this Plan that, subject to the provisions hereof, entitles a ISU Participant to receive one Share or the Cash Equivalent in accordance with the terms set forth in the Plan;</w:t>
      </w:r>
    </w:p>
    <w:p>
      <w:pPr>
        <w:spacing w:after="0" w:line="76" w:lineRule="exact"/>
        <w:rPr>
          <w:rFonts w:ascii="Times New Roman" w:cs="Times New Roman" w:eastAsia="Times New Roman" w:hAnsi="Times New Roman"/>
          <w:sz w:val="18"/>
          <w:szCs w:val="18"/>
          <w:color w:val="auto"/>
        </w:rPr>
      </w:pPr>
    </w:p>
    <w:p>
      <w:pPr>
        <w:ind w:left="1080" w:right="20" w:hanging="532"/>
        <w:spacing w:after="0" w:line="286"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Incentive Share Unit has been granted or will be granted thereunder;</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 has the meaning given to that term in Section 7.1(1);</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6"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Notice</w:t>
      </w:r>
      <w:r>
        <w:rPr>
          <w:rFonts w:ascii="Times New Roman" w:cs="Times New Roman" w:eastAsia="Times New Roman" w:hAnsi="Times New Roman"/>
          <w:sz w:val="18"/>
          <w:szCs w:val="18"/>
          <w:color w:val="auto"/>
        </w:rPr>
        <w:t>” means a notice, in a form determined by the Board, by an ISU Participant to the Company electing the desired form of settlement of vested Incentive Share Units;</w:t>
      </w:r>
    </w:p>
    <w:p>
      <w:pPr>
        <w:spacing w:after="0" w:line="60"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means the date on which an ISU Participant ceases to be an Eligible Person as a result of a termination of employment with the Company or a Group Company for any reason, including death, retirement, or resignation. For the purposes of the Plan, an ISU Participant’s employment with the Company or a Group Company shall be considered to have terminated effective on the last day of the ISU Participant’s actual and active employment with the Company or Group Company, whether such day is selected by agreement with the individual, or unilaterally by the ISU Participant or the Company or Group Company, and whether with or without advance notice to the ISU Participant. For the avoidance of doubt, no period of notice or pay in lieu of notice that is given or that ought to have been given under applicable law in respect of such termination of employment that follows or is in respect of a period after the ISU Participant’s last day of actual and active employment shall be considered as extending the ISU Participant’s period of employment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ind w:left="1080" w:right="260" w:hanging="532"/>
        <w:spacing w:after="0" w:line="268" w:lineRule="auto"/>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Incentive Share Units (as described in Section 6.4), on and after which a particular Incentive Share Unit will be settled, subject to amendment or acceleration from time to time in accordance with the terms hereof;</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means the founder of the Company, being Daniel Wagner;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00"/>
          </w:cols>
          <w:pgMar w:left="320" w:top="455" w:right="479" w:bottom="1440" w:gutter="0" w:footer="0" w:header="0"/>
        </w:sectPr>
      </w:pPr>
    </w:p>
    <w:bookmarkStart w:id="658" w:name="page659"/>
    <w:bookmarkEnd w:id="6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 on the NASDAQ for the five</w:t>
      </w:r>
    </w:p>
    <w:p>
      <w:pPr>
        <w:spacing w:after="0" w:line="31" w:lineRule="exact"/>
        <w:rPr>
          <w:rFonts w:ascii="Times New Roman" w:cs="Times New Roman" w:eastAsia="Times New Roman" w:hAnsi="Times New Roman"/>
          <w:sz w:val="18"/>
          <w:szCs w:val="18"/>
          <w:color w:val="auto"/>
        </w:rPr>
      </w:pPr>
    </w:p>
    <w:p>
      <w:pPr>
        <w:ind w:left="108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preceding days on which the Shares were traded, or on any other share exchange as selected by the Board for these purposes. In the event that such Shares are not listed and posted for trading on any share exchange, the Market Value shall be the fair market value of such Shares as determined by the Board in its sole and absolute discretion;</w:t>
      </w:r>
    </w:p>
    <w:p>
      <w:pPr>
        <w:spacing w:after="0" w:line="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(oo)”</w:t>
      </w:r>
      <w:r>
        <w:rPr>
          <w:rFonts w:ascii="Times New Roman" w:cs="Times New Roman" w:eastAsia="Times New Roman" w:hAnsi="Times New Roman"/>
          <w:sz w:val="18"/>
          <w:szCs w:val="18"/>
          <w:b w:val="1"/>
          <w:bCs w:val="1"/>
          <w:color w:val="auto"/>
        </w:rPr>
        <w:t>Noticeof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131" w:lineRule="exact"/>
        <w:rPr>
          <w:sz w:val="20"/>
          <w:szCs w:val="20"/>
          <w:color w:val="auto"/>
        </w:rPr>
      </w:pPr>
    </w:p>
    <w:p>
      <w:pPr>
        <w:ind w:left="1560" w:hanging="1011"/>
        <w:spacing w:after="0" w:line="286" w:lineRule="auto"/>
        <w:rPr>
          <w:sz w:val="20"/>
          <w:szCs w:val="20"/>
          <w:color w:val="auto"/>
        </w:rPr>
      </w:pPr>
      <w:r>
        <w:rPr>
          <w:rFonts w:ascii="Times New Roman" w:cs="Times New Roman" w:eastAsia="Times New Roman" w:hAnsi="Times New Roman"/>
          <w:sz w:val="18"/>
          <w:szCs w:val="18"/>
          <w:color w:val="auto"/>
        </w:rPr>
        <w:t>(pp)”</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”means a share option granted to an Option Participant pursuant to the terms of this Plan that, subject to the provisions hereof, entitles an Option Participant to receive one Share or the Option Cash Equivalent in accordance with the terms set forth in the Plan;</w:t>
      </w:r>
    </w:p>
    <w:p>
      <w:pPr>
        <w:spacing w:after="0" w:line="60" w:lineRule="exact"/>
        <w:rPr>
          <w:sz w:val="20"/>
          <w:szCs w:val="20"/>
          <w:color w:val="auto"/>
        </w:rPr>
      </w:pPr>
    </w:p>
    <w:p>
      <w:pPr>
        <w:ind w:left="1480" w:right="140" w:hanging="930"/>
        <w:spacing w:after="0" w:line="268" w:lineRule="auto"/>
        <w:rPr>
          <w:sz w:val="20"/>
          <w:szCs w:val="20"/>
          <w:color w:val="auto"/>
        </w:rPr>
      </w:pPr>
      <w:r>
        <w:rPr>
          <w:rFonts w:ascii="Times New Roman" w:cs="Times New Roman" w:eastAsia="Times New Roman" w:hAnsi="Times New Roman"/>
          <w:sz w:val="18"/>
          <w:szCs w:val="18"/>
          <w:color w:val="auto"/>
        </w:rPr>
        <w:t>(qq)”</w:t>
      </w:r>
      <w:r>
        <w:rPr>
          <w:rFonts w:ascii="Times New Roman" w:cs="Times New Roman" w:eastAsia="Times New Roman" w:hAnsi="Times New Roman"/>
          <w:sz w:val="18"/>
          <w:szCs w:val="18"/>
          <w:b w:val="1"/>
          <w:bCs w:val="1"/>
          <w:color w:val="auto"/>
        </w:rPr>
        <w:t>OptionCash Equivalent</w:t>
      </w:r>
      <w:r>
        <w:rPr>
          <w:rFonts w:ascii="Times New Roman" w:cs="Times New Roman" w:eastAsia="Times New Roman" w:hAnsi="Times New Roman"/>
          <w:sz w:val="18"/>
          <w:szCs w:val="18"/>
          <w:color w:val="auto"/>
        </w:rPr>
        <w:t>” means the amount of money expressed in British Pound Sterling equal to: (a) the Market Value multiplied by the number of Shares in respect of which the Option is being exercised and which is to be settled by cash; (b) less the Option Price applicable to such Shares;</w:t>
      </w:r>
    </w:p>
    <w:p>
      <w:pPr>
        <w:spacing w:after="0" w:line="76" w:lineRule="exact"/>
        <w:rPr>
          <w:sz w:val="20"/>
          <w:szCs w:val="20"/>
          <w:color w:val="auto"/>
        </w:rPr>
      </w:pPr>
    </w:p>
    <w:p>
      <w:pPr>
        <w:ind w:left="1420" w:right="140" w:hanging="863"/>
        <w:spacing w:after="0" w:line="286" w:lineRule="auto"/>
        <w:rPr>
          <w:sz w:val="20"/>
          <w:szCs w:val="20"/>
          <w:color w:val="auto"/>
        </w:rPr>
      </w:pPr>
      <w:r>
        <w:rPr>
          <w:rFonts w:ascii="Times New Roman" w:cs="Times New Roman" w:eastAsia="Times New Roman" w:hAnsi="Times New Roman"/>
          <w:sz w:val="18"/>
          <w:szCs w:val="18"/>
          <w:color w:val="auto"/>
        </w:rPr>
        <w:t>(rr)“</w:t>
      </w:r>
      <w:r>
        <w:rPr>
          <w:rFonts w:ascii="Times New Roman" w:cs="Times New Roman" w:eastAsia="Times New Roman" w:hAnsi="Times New Roman"/>
          <w:sz w:val="18"/>
          <w:szCs w:val="18"/>
          <w:b w:val="1"/>
          <w:bCs w:val="1"/>
          <w:color w:val="auto"/>
        </w:rPr>
        <w:t>OptionParticipant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spacing w:after="0" w:line="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(ss)”</w:t>
      </w:r>
      <w:r>
        <w:rPr>
          <w:rFonts w:ascii="Times New Roman" w:cs="Times New Roman" w:eastAsia="Times New Roman" w:hAnsi="Times New Roman"/>
          <w:sz w:val="18"/>
          <w:szCs w:val="18"/>
          <w:b w:val="1"/>
          <w:bCs w:val="1"/>
          <w:color w:val="auto"/>
        </w:rPr>
        <w:t>OptionPrice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spacing w:after="0" w:line="131" w:lineRule="exact"/>
        <w:rPr>
          <w:sz w:val="20"/>
          <w:szCs w:val="20"/>
          <w:color w:val="auto"/>
        </w:rPr>
      </w:pPr>
    </w:p>
    <w:p>
      <w:pPr>
        <w:ind w:left="1400" w:right="20" w:hanging="849"/>
        <w:spacing w:after="0" w:line="254" w:lineRule="auto"/>
        <w:rPr>
          <w:sz w:val="20"/>
          <w:szCs w:val="20"/>
          <w:color w:val="auto"/>
        </w:rPr>
      </w:pPr>
      <w:r>
        <w:rPr>
          <w:rFonts w:ascii="Times New Roman" w:cs="Times New Roman" w:eastAsia="Times New Roman" w:hAnsi="Times New Roman"/>
          <w:sz w:val="18"/>
          <w:szCs w:val="18"/>
          <w:color w:val="auto"/>
        </w:rPr>
        <w:t>(tt)“</w:t>
      </w:r>
      <w:r>
        <w:rPr>
          <w:rFonts w:ascii="Times New Roman" w:cs="Times New Roman" w:eastAsia="Times New Roman" w:hAnsi="Times New Roman"/>
          <w:sz w:val="18"/>
          <w:szCs w:val="18"/>
          <w:b w:val="1"/>
          <w:bCs w:val="1"/>
          <w:color w:val="auto"/>
        </w:rPr>
        <w:t>OptionTermination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 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94" w:lineRule="exact"/>
        <w:rPr>
          <w:sz w:val="20"/>
          <w:szCs w:val="20"/>
          <w:color w:val="auto"/>
        </w:rPr>
      </w:pPr>
    </w:p>
    <w:p>
      <w:pPr>
        <w:ind w:left="1080" w:hanging="532"/>
        <w:spacing w:after="0"/>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6" w:lineRule="auto"/>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 Affiliate;</w:t>
      </w:r>
    </w:p>
    <w:p>
      <w:pPr>
        <w:spacing w:after="0" w:line="6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 or the duly appointed administrators of his estate) who in either case have provided the Board with satisfactory evidence of their appointment</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8" w:lineRule="auto"/>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 Participant to receive one Share or the Cash Equivalent in accordance with the terms set forth in the Plan;</w:t>
      </w:r>
    </w:p>
    <w:p>
      <w:pPr>
        <w:spacing w:after="0" w:line="76" w:lineRule="exact"/>
        <w:rPr>
          <w:rFonts w:ascii="Times New Roman" w:cs="Times New Roman" w:eastAsia="Times New Roman" w:hAnsi="Times New Roman"/>
          <w:sz w:val="18"/>
          <w:szCs w:val="18"/>
          <w:color w:val="auto"/>
        </w:rPr>
      </w:pPr>
    </w:p>
    <w:p>
      <w:pPr>
        <w:ind w:left="1080" w:right="160" w:hanging="532"/>
        <w:spacing w:after="0" w:line="286" w:lineRule="auto"/>
        <w:tabs>
          <w:tab w:leader="none" w:pos="108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 Restricted Share Unit has been granted or will be granted thereunder;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55" w:right="459" w:bottom="1440" w:gutter="0" w:footer="0" w:header="0"/>
        </w:sectPr>
      </w:pPr>
    </w:p>
    <w:bookmarkStart w:id="659" w:name="page660"/>
    <w:bookmarkEnd w:id="6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60"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means the date on which an RSU Participant ceases to be an Eligible Person as a result of a termination of employment with the Company or a Group Company for any reason, including death, retirement, or resignation. For the purposes of the 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 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 active employment shall be considered as extending the RSU Participant’s period of employment or retention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jc w:val="both"/>
        <w:ind w:left="1080" w:right="220" w:hanging="532"/>
        <w:spacing w:after="0" w:line="268" w:lineRule="auto"/>
        <w:tabs>
          <w:tab w:leader="none" w:pos="108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Restricted Share Units (as described in Section 3.4), on and after which a particular Restricted Share Unit will be settled, subject to amendment or acceleration from time to time in accordance with the terms hereof;</w:t>
      </w:r>
    </w:p>
    <w:p>
      <w:pPr>
        <w:spacing w:after="0" w:line="76" w:lineRule="exact"/>
        <w:rPr>
          <w:sz w:val="20"/>
          <w:szCs w:val="20"/>
          <w:color w:val="auto"/>
        </w:rPr>
      </w:pPr>
    </w:p>
    <w:p>
      <w:pPr>
        <w:ind w:left="1560" w:right="240" w:hanging="1011"/>
        <w:spacing w:after="0" w:line="286" w:lineRule="auto"/>
        <w:rPr>
          <w:sz w:val="20"/>
          <w:szCs w:val="20"/>
          <w:color w:val="auto"/>
        </w:rPr>
      </w:pPr>
      <w:r>
        <w:rPr>
          <w:rFonts w:ascii="Times New Roman" w:cs="Times New Roman" w:eastAsia="Times New Roman" w:hAnsi="Times New Roman"/>
          <w:sz w:val="18"/>
          <w:szCs w:val="18"/>
          <w:color w:val="auto"/>
        </w:rPr>
        <w:t>(eee)”</w:t>
      </w:r>
      <w:r>
        <w:rPr>
          <w:rFonts w:ascii="Times New Roman" w:cs="Times New Roman" w:eastAsia="Times New Roman" w:hAnsi="Times New Roman"/>
          <w:sz w:val="18"/>
          <w:szCs w:val="18"/>
          <w:b w:val="1"/>
          <w:bCs w:val="1"/>
          <w:color w:val="auto"/>
        </w:rPr>
        <w:t>Section431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60" w:lineRule="exact"/>
        <w:rPr>
          <w:sz w:val="20"/>
          <w:szCs w:val="20"/>
          <w:color w:val="auto"/>
        </w:rPr>
      </w:pPr>
    </w:p>
    <w:p>
      <w:pPr>
        <w:ind w:left="1080" w:hanging="532"/>
        <w:spacing w:after="0"/>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130"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6" w:lineRule="auto"/>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68" w:lineRule="auto"/>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fifteen percent (15%) of the fully diluted issued and outstanding Equity Securities, and any option, warrant, right or security (including debt securities) convertible, exchangeable or exercisable therefor) of the Company as of the Closing (as defined in the BCA);</w:t>
      </w:r>
    </w:p>
    <w:p>
      <w:pPr>
        <w:spacing w:after="0" w:line="7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(mmm)“</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0" w:right="260" w:hanging="424"/>
        <w:spacing w:after="0" w:line="282" w:lineRule="auto"/>
        <w:tabs>
          <w:tab w:leader="none" w:pos="54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all references to money amounts are to English currency.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20"/>
          </w:cols>
          <w:pgMar w:left="320" w:top="455" w:right="45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color w:val="auto"/>
        </w:rPr>
        <w:t>Administration.</w:t>
      </w:r>
    </w:p>
    <w:p>
      <w:pPr>
        <w:spacing w:after="0" w:line="135" w:lineRule="exact"/>
        <w:rPr>
          <w:sz w:val="20"/>
          <w:szCs w:val="20"/>
          <w:color w:val="auto"/>
        </w:rPr>
      </w:pPr>
    </w:p>
    <w:p>
      <w:pPr>
        <w:ind w:left="540" w:right="320" w:hanging="424"/>
        <w:spacing w:after="0" w:line="282" w:lineRule="auto"/>
        <w:tabs>
          <w:tab w:leader="none" w:pos="5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67"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 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92" w:lineRule="exact"/>
        <w:rPr>
          <w:rFonts w:ascii="Times New Roman" w:cs="Times New Roman" w:eastAsia="Times New Roman" w:hAnsi="Times New Roman"/>
          <w:sz w:val="18"/>
          <w:szCs w:val="18"/>
          <w:color w:val="auto"/>
        </w:rPr>
      </w:pPr>
    </w:p>
    <w:p>
      <w:pPr>
        <w:ind w:left="540" w:right="60" w:hanging="424"/>
        <w:spacing w:after="0" w:line="256" w:lineRule="auto"/>
        <w:tabs>
          <w:tab w:leader="none" w:pos="5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92"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8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 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120"/>
          </w:cols>
          <w:pgMar w:left="320" w:top="455" w:right="45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82" w:lineRule="auto"/>
        <w:tabs>
          <w:tab w:leader="none" w:pos="54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2.2</w:t>
      </w:r>
      <w:r>
        <w:rPr>
          <w:rFonts w:ascii="Times New Roman" w:cs="Times New Roman" w:eastAsia="Times New Roman" w:hAnsi="Times New Roman"/>
          <w:sz w:val="18"/>
          <w:szCs w:val="18"/>
          <w:b w:val="1"/>
          <w:bCs w:val="1"/>
          <w:color w:val="auto"/>
        </w:rPr>
        <w:t xml:space="preserve">   Grant of Awards and Shares Reserved</w:t>
      </w:r>
    </w:p>
    <w:p>
      <w:pPr>
        <w:spacing w:after="0" w:line="135" w:lineRule="exact"/>
        <w:rPr>
          <w:sz w:val="20"/>
          <w:szCs w:val="20"/>
          <w:color w:val="auto"/>
        </w:rPr>
      </w:pPr>
    </w:p>
    <w:p>
      <w:pPr>
        <w:ind w:left="540" w:right="180" w:hanging="424"/>
        <w:spacing w:after="0" w:line="282" w:lineRule="auto"/>
        <w:tabs>
          <w:tab w:leader="none" w:pos="54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 number of Company Shares issued or proposed to be issued in connection with the Additional Issuances;</w:t>
      </w:r>
    </w:p>
    <w:p>
      <w:pPr>
        <w:spacing w:after="0" w:line="81"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85"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sole discretion, at any time on or after 1 January 2025 and in each calendar year thereafter determine that an additional pool of Shares be reserved for issuance or transfer from treasury, under this Plan and any sub-plan being a pool of up to 5% of the fully diluted issued and outstanding Equity Securities, (and any option, warrant, right or security (including debt securities) convertible, exchangeable or exercisable therefor) of the Company (the “Fully Diluted Capital”) as of 1 January of each year (provided that each such additional pool shall be capped at 5% of such Fully Diluted Capital each calendar year and shall be separate to the reservation set out in Section 2.2(a) and to any additional pool created in any previous year).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color w:val="auto"/>
        </w:rPr>
        <w:t>Amendment and Termination.</w:t>
      </w:r>
    </w:p>
    <w:p>
      <w:pPr>
        <w:spacing w:after="0" w:line="135" w:lineRule="exact"/>
        <w:rPr>
          <w:sz w:val="20"/>
          <w:szCs w:val="20"/>
          <w:color w:val="auto"/>
        </w:rPr>
      </w:pPr>
    </w:p>
    <w:p>
      <w:pPr>
        <w:ind w:left="540" w:right="140" w:hanging="424"/>
        <w:spacing w:after="0" w:line="266"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relating thereto provided that such suspension, termination, amendment, or revision shall:</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 this Plan;</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compliance with applicable law and subject to any regulatory approvals including, where required, the approval of the Stock Exchange;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Shareholder approval, where required by law, the requirements of the Stock Exchange or this Plan.</w:t>
      </w:r>
    </w:p>
    <w:p>
      <w:pPr>
        <w:spacing w:after="0" w:line="130" w:lineRule="exact"/>
        <w:rPr>
          <w:rFonts w:ascii="Times New Roman" w:cs="Times New Roman" w:eastAsia="Times New Roman" w:hAnsi="Times New Roman"/>
          <w:sz w:val="18"/>
          <w:szCs w:val="18"/>
          <w:color w:val="auto"/>
        </w:rPr>
      </w:pPr>
    </w:p>
    <w:p>
      <w:pPr>
        <w:jc w:val="both"/>
        <w:ind w:left="540" w:right="40" w:hanging="424"/>
        <w:spacing w:after="0" w:line="261" w:lineRule="auto"/>
        <w:tabs>
          <w:tab w:leader="none" w:pos="5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85" w:lineRule="exact"/>
        <w:rPr>
          <w:rFonts w:ascii="Times New Roman" w:cs="Times New Roman" w:eastAsia="Times New Roman" w:hAnsi="Times New Roman"/>
          <w:sz w:val="18"/>
          <w:szCs w:val="18"/>
          <w:color w:val="auto"/>
        </w:rPr>
      </w:pPr>
    </w:p>
    <w:p>
      <w:pPr>
        <w:ind w:left="540" w:right="100" w:hanging="424"/>
        <w:spacing w:after="0" w:line="312" w:lineRule="auto"/>
        <w:tabs>
          <w:tab w:leader="none" w:pos="540" w:val="left"/>
        </w:tabs>
        <w:numPr>
          <w:ilvl w:val="0"/>
          <w:numId w:val="6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45" w:lineRule="exact"/>
        <w:rPr>
          <w:rFonts w:ascii="Times New Roman" w:cs="Times New Roman" w:eastAsia="Times New Roman" w:hAnsi="Times New Roman"/>
          <w:sz w:val="17"/>
          <w:szCs w:val="17"/>
          <w:color w:val="auto"/>
        </w:rPr>
      </w:pPr>
    </w:p>
    <w:p>
      <w:pPr>
        <w:ind w:left="1080" w:right="100" w:hanging="532"/>
        <w:spacing w:after="0" w:line="282" w:lineRule="auto"/>
        <w:tabs>
          <w:tab w:leader="none" w:pos="1080"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 administrative nature, including without limitation those made to clarify the meaning of an existing provision of the Plan, correct or supplement any provision of the Plan that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20"/>
          </w:cols>
          <w:pgMar w:left="320" w:top="455" w:right="45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inconsistent with any other provision of the Plan, correct any grammatical or typographical errors or amend the definitions in the Plan regarding administration of the Plan;</w:t>
      </w:r>
    </w:p>
    <w:p>
      <w:pPr>
        <w:spacing w:after="0" w:line="67" w:lineRule="exact"/>
        <w:rPr>
          <w:sz w:val="20"/>
          <w:szCs w:val="20"/>
          <w:color w:val="auto"/>
        </w:rPr>
      </w:pPr>
    </w:p>
    <w:p>
      <w:pPr>
        <w:ind w:left="1080" w:hanging="532"/>
        <w:spacing w:after="0"/>
        <w:tabs>
          <w:tab w:leader="none" w:pos="108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alter, extend or accelerate the terms of vesting or settlement applicable to any Awards;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Plan respecting administration and eligibility for participation under the Plan;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 Award as necessary to comply with applicable law or the requirements of the Stock Exchange or any other regulatory body having authority over the Company, the Plan, the Participants or the Shareholders.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the following amendments to the Plan:</w:t>
      </w:r>
    </w:p>
    <w:p>
      <w:pPr>
        <w:spacing w:after="0" w:line="130" w:lineRule="exact"/>
        <w:rPr>
          <w:rFonts w:ascii="Times New Roman" w:cs="Times New Roman" w:eastAsia="Times New Roman" w:hAnsi="Times New Roman"/>
          <w:sz w:val="18"/>
          <w:szCs w:val="18"/>
          <w:color w:val="auto"/>
        </w:rPr>
      </w:pPr>
    </w:p>
    <w:p>
      <w:pPr>
        <w:jc w:val="both"/>
        <w:ind w:left="1080" w:right="120" w:hanging="532"/>
        <w:spacing w:after="0" w:line="261" w:lineRule="auto"/>
        <w:tabs>
          <w:tab w:leader="none" w:pos="1080"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such shareholder approval is required by applicable law and/or the rules and regulations of the Stock Exchange or any other stock exchange on which the Shares are listed or posted for trading, any increase in the maximum number of Shares that may be issuable by the Company, including from treasury, pursuant to Awards granted under the Plan (as set out in Section 2.2), other than an adjustment pursuant to Section 2.15;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2.4</w:t>
      </w:r>
      <w:r>
        <w:rPr>
          <w:rFonts w:ascii="Times New Roman" w:cs="Times New Roman" w:eastAsia="Times New Roman" w:hAnsi="Times New Roman"/>
          <w:sz w:val="18"/>
          <w:szCs w:val="18"/>
          <w:b w:val="1"/>
          <w:bCs w:val="1"/>
          <w:color w:val="auto"/>
        </w:rPr>
        <w:t xml:space="preserve">   Compliance with Legislation</w:t>
      </w:r>
    </w:p>
    <w:p>
      <w:pPr>
        <w:spacing w:after="0" w:line="135" w:lineRule="exact"/>
        <w:rPr>
          <w:sz w:val="20"/>
          <w:szCs w:val="20"/>
          <w:color w:val="auto"/>
        </w:rPr>
      </w:pPr>
    </w:p>
    <w:p>
      <w:pPr>
        <w:ind w:left="540" w:hanging="424"/>
        <w:spacing w:after="0" w:line="256" w:lineRule="auto"/>
        <w:tabs>
          <w:tab w:leader="none" w:pos="5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214"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206"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 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2.5</w:t>
      </w:r>
      <w:r>
        <w:rPr>
          <w:rFonts w:ascii="Times New Roman" w:cs="Times New Roman" w:eastAsia="Times New Roman" w:hAnsi="Times New Roman"/>
          <w:sz w:val="18"/>
          <w:szCs w:val="18"/>
          <w:b w:val="1"/>
          <w:bCs w:val="1"/>
          <w:color w:val="auto"/>
        </w:rPr>
        <w:t xml:space="preserve">   Effective Date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100"/>
          </w:cols>
          <w:pgMar w:left="320" w:top="455" w:right="47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2.6</w:t>
      </w:r>
      <w:r>
        <w:rPr>
          <w:rFonts w:ascii="Times New Roman" w:cs="Times New Roman" w:eastAsia="Times New Roman" w:hAnsi="Times New Roman"/>
          <w:sz w:val="18"/>
          <w:szCs w:val="18"/>
          <w:b w:val="1"/>
          <w:bCs w:val="1"/>
          <w:color w:val="auto"/>
        </w:rPr>
        <w:t xml:space="preserve">   Applicable Tax Withholdings and Deductions.</w:t>
      </w:r>
    </w:p>
    <w:p>
      <w:pPr>
        <w:spacing w:after="0" w:line="135" w:lineRule="exact"/>
        <w:rPr>
          <w:sz w:val="20"/>
          <w:szCs w:val="20"/>
          <w:color w:val="auto"/>
        </w:rPr>
      </w:pPr>
    </w:p>
    <w:p>
      <w:pPr>
        <w:ind w:left="540" w:right="60" w:hanging="424"/>
        <w:spacing w:after="0" w:line="255" w:lineRule="auto"/>
        <w:tabs>
          <w:tab w:leader="none" w:pos="54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94"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66" w:lineRule="auto"/>
        <w:tabs>
          <w:tab w:leader="none" w:pos="1080"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81"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 Withholding Tax Liability, and to cause the proceeds from the sale of such Shares to be delivered to the Company; 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w:t>
      </w:r>
      <w:r>
        <w:rPr>
          <w:rFonts w:ascii="Times New Roman" w:cs="Times New Roman" w:eastAsia="Times New Roman" w:hAnsi="Times New Roman"/>
          <w:sz w:val="18"/>
          <w:szCs w:val="18"/>
          <w:b w:val="1"/>
          <w:bCs w:val="1"/>
          <w:color w:val="auto"/>
        </w:rPr>
        <w:t xml:space="preserve">   No Interest.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2.8</w:t>
      </w:r>
      <w:r>
        <w:rPr>
          <w:rFonts w:ascii="Times New Roman" w:cs="Times New Roman" w:eastAsia="Times New Roman" w:hAnsi="Times New Roman"/>
          <w:sz w:val="18"/>
          <w:szCs w:val="18"/>
          <w:b w:val="1"/>
          <w:bCs w:val="1"/>
          <w:color w:val="auto"/>
        </w:rPr>
        <w:t xml:space="preserve">   Non-Transferability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252" w:lineRule="exact"/>
        <w:rPr>
          <w:sz w:val="20"/>
          <w:szCs w:val="20"/>
          <w:color w:val="auto"/>
        </w:rPr>
      </w:pPr>
    </w:p>
    <w:p>
      <w:pPr>
        <w:ind w:left="1080" w:hanging="532"/>
        <w:spacing w:after="0"/>
        <w:tabs>
          <w:tab w:leader="none" w:pos="108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b w:val="1"/>
          <w:bCs w:val="1"/>
          <w:color w:val="auto"/>
        </w:rPr>
        <w:t>Participation in this Plan.</w:t>
      </w:r>
    </w:p>
    <w:p>
      <w:pPr>
        <w:spacing w:after="0" w:line="135" w:lineRule="exact"/>
        <w:rPr>
          <w:sz w:val="20"/>
          <w:szCs w:val="20"/>
          <w:color w:val="auto"/>
        </w:rPr>
      </w:pPr>
    </w:p>
    <w:p>
      <w:pPr>
        <w:ind w:left="540" w:right="60" w:hanging="424"/>
        <w:spacing w:after="0" w:line="266" w:lineRule="auto"/>
        <w:tabs>
          <w:tab w:leader="none" w:pos="54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 Person any right or entitlement to have an Award granted to him in respect of any number of Shares or any expectation that an Award might be granted to him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120"/>
          </w:cols>
          <w:pgMar w:left="320" w:top="455" w:right="459"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 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94" w:lineRule="exact"/>
        <w:rPr>
          <w:sz w:val="20"/>
          <w:szCs w:val="20"/>
          <w:color w:val="auto"/>
        </w:rPr>
      </w:pPr>
    </w:p>
    <w:p>
      <w:pPr>
        <w:ind w:left="540" w:right="20" w:hanging="424"/>
        <w:spacing w:after="0" w:line="255" w:lineRule="auto"/>
        <w:tabs>
          <w:tab w:leader="none" w:pos="54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94"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 assets shall be, and remain, the general unrestricted assets of the Company or Affiliate or Group Company.</w:t>
      </w:r>
    </w:p>
    <w:p>
      <w:pPr>
        <w:spacing w:after="0" w:line="92"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b w:val="1"/>
          <w:bCs w:val="1"/>
          <w:color w:val="auto"/>
        </w:rPr>
        <w:t xml:space="preserve">   Notice</w:t>
      </w:r>
    </w:p>
    <w:p>
      <w:pPr>
        <w:spacing w:after="0" w:line="12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20"/>
          </w:cols>
          <w:pgMar w:left="320" w:top="455" w:right="45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2.11</w:t>
      </w:r>
      <w:r>
        <w:rPr>
          <w:rFonts w:ascii="Times New Roman" w:cs="Times New Roman" w:eastAsia="Times New Roman" w:hAnsi="Times New Roman"/>
          <w:sz w:val="18"/>
          <w:szCs w:val="18"/>
          <w:b w:val="1"/>
          <w:bCs w:val="1"/>
          <w:color w:val="auto"/>
        </w:rPr>
        <w:t xml:space="preserve">   Right to Issue Other Shares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2.12</w:t>
      </w:r>
      <w:r>
        <w:rPr>
          <w:rFonts w:ascii="Times New Roman" w:cs="Times New Roman" w:eastAsia="Times New Roman" w:hAnsi="Times New Roman"/>
          <w:sz w:val="18"/>
          <w:szCs w:val="18"/>
          <w:b w:val="1"/>
          <w:bCs w:val="1"/>
          <w:color w:val="auto"/>
        </w:rPr>
        <w:t xml:space="preserve">   Quotation of Shares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2.13</w:t>
      </w:r>
      <w:r>
        <w:rPr>
          <w:rFonts w:ascii="Times New Roman" w:cs="Times New Roman" w:eastAsia="Times New Roman" w:hAnsi="Times New Roman"/>
          <w:sz w:val="18"/>
          <w:szCs w:val="18"/>
          <w:b w:val="1"/>
          <w:bCs w:val="1"/>
          <w:color w:val="auto"/>
        </w:rPr>
        <w:t xml:space="preserve">   Conformity to Plan</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2.14</w:t>
      </w:r>
      <w:r>
        <w:rPr>
          <w:rFonts w:ascii="Times New Roman" w:cs="Times New Roman" w:eastAsia="Times New Roman" w:hAnsi="Times New Roman"/>
          <w:sz w:val="18"/>
          <w:szCs w:val="18"/>
          <w:b w:val="1"/>
          <w:bCs w:val="1"/>
          <w:color w:val="auto"/>
        </w:rPr>
        <w:t xml:space="preserve">   Dividend Equivalents.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 (ii) the Market Value of a Share on the dividend payment date for such dividend, in each case, with fractions computed to two decimal places. Such additional Units, if credited, shall vest on the same basis as the underlying Units. This provision shall not apply to Options.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2.15</w:t>
      </w:r>
      <w:r>
        <w:rPr>
          <w:rFonts w:ascii="Times New Roman" w:cs="Times New Roman" w:eastAsia="Times New Roman" w:hAnsi="Times New Roman"/>
          <w:sz w:val="18"/>
          <w:szCs w:val="18"/>
          <w:b w:val="1"/>
          <w:bCs w:val="1"/>
          <w:color w:val="auto"/>
        </w:rPr>
        <w:t xml:space="preserve">   Adjustments.</w:t>
      </w:r>
    </w:p>
    <w:p>
      <w:pPr>
        <w:spacing w:after="0" w:line="121"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120"/>
          </w:cols>
          <w:pgMar w:left="320" w:top="455" w:right="459" w:bottom="1440" w:gutter="0" w:footer="0" w:header="0"/>
        </w:sectPr>
      </w:pPr>
    </w:p>
    <w:bookmarkStart w:id="666" w:name="page667"/>
    <w:bookmarkEnd w:id="6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2.16</w:t>
      </w:r>
      <w:r>
        <w:rPr>
          <w:rFonts w:ascii="Times New Roman" w:cs="Times New Roman" w:eastAsia="Times New Roman" w:hAnsi="Times New Roman"/>
          <w:sz w:val="18"/>
          <w:szCs w:val="18"/>
          <w:b w:val="1"/>
          <w:bCs w:val="1"/>
          <w:color w:val="auto"/>
        </w:rPr>
        <w:t xml:space="preserve">   Cancellation of Awards.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2.17</w:t>
      </w:r>
      <w:r>
        <w:rPr>
          <w:rFonts w:ascii="Times New Roman" w:cs="Times New Roman" w:eastAsia="Times New Roman" w:hAnsi="Times New Roman"/>
          <w:sz w:val="18"/>
          <w:szCs w:val="18"/>
          <w:b w:val="1"/>
          <w:bCs w:val="1"/>
          <w:color w:val="auto"/>
        </w:rPr>
        <w:t xml:space="preserve">   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2.18</w:t>
      </w:r>
      <w:r>
        <w:rPr>
          <w:rFonts w:ascii="Times New Roman" w:cs="Times New Roman" w:eastAsia="Times New Roman" w:hAnsi="Times New Roman"/>
          <w:sz w:val="18"/>
          <w:szCs w:val="18"/>
          <w:b w:val="1"/>
          <w:bCs w:val="1"/>
          <w:color w:val="auto"/>
        </w:rPr>
        <w:t xml:space="preserve">   Data Protection</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color w:val="auto"/>
        </w:rPr>
        <w:t>Grant of Restricted Share Units.</w:t>
      </w:r>
    </w:p>
    <w:p>
      <w:pPr>
        <w:spacing w:after="0" w:line="135" w:lineRule="exact"/>
        <w:rPr>
          <w:sz w:val="20"/>
          <w:szCs w:val="20"/>
          <w:color w:val="auto"/>
        </w:rPr>
      </w:pPr>
    </w:p>
    <w:p>
      <w:pPr>
        <w:ind w:left="540" w:right="360" w:hanging="424"/>
        <w:spacing w:after="0" w:line="266" w:lineRule="auto"/>
        <w:tabs>
          <w:tab w:leader="none" w:pos="54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81"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evidenced by a Grant Agreement, signed on behalf of the Company and, if required by the Board, countersigned by the relevant Participant.</w:t>
      </w:r>
    </w:p>
    <w:p>
      <w:pPr>
        <w:spacing w:after="0" w:line="67" w:lineRule="exact"/>
        <w:rPr>
          <w:rFonts w:ascii="Times New Roman" w:cs="Times New Roman" w:eastAsia="Times New Roman" w:hAnsi="Times New Roman"/>
          <w:sz w:val="18"/>
          <w:szCs w:val="18"/>
          <w:color w:val="auto"/>
        </w:rPr>
      </w:pPr>
    </w:p>
    <w:p>
      <w:pPr>
        <w:ind w:left="540" w:right="700" w:hanging="424"/>
        <w:spacing w:after="0" w:line="282" w:lineRule="auto"/>
        <w:tabs>
          <w:tab w:leader="none" w:pos="54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 RSU Participant to receive nor preclude such RSU Participant from receiving subsequently granted Restricted Share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3.2</w:t>
      </w:r>
      <w:r>
        <w:rPr>
          <w:rFonts w:ascii="Times New Roman" w:cs="Times New Roman" w:eastAsia="Times New Roman" w:hAnsi="Times New Roman"/>
          <w:sz w:val="18"/>
          <w:szCs w:val="18"/>
          <w:b w:val="1"/>
          <w:bCs w:val="1"/>
          <w:color w:val="auto"/>
        </w:rPr>
        <w:t xml:space="preserve">   Equivalence.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3.3</w:t>
      </w:r>
      <w:r>
        <w:rPr>
          <w:rFonts w:ascii="Times New Roman" w:cs="Times New Roman" w:eastAsia="Times New Roman" w:hAnsi="Times New Roman"/>
          <w:sz w:val="18"/>
          <w:szCs w:val="18"/>
          <w:b w:val="1"/>
          <w:bCs w:val="1"/>
          <w:color w:val="auto"/>
        </w:rPr>
        <w:t xml:space="preserve">   Calculation.</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number of Restricted Share Units granted at any particular time pursuant to this Plan will be calculated by dividing (i) the dollar amount of such grant by (ii) the Market Value of a Share on the Date of Grant.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3.4</w:t>
      </w:r>
      <w:r>
        <w:rPr>
          <w:rFonts w:ascii="Times New Roman" w:cs="Times New Roman" w:eastAsia="Times New Roman" w:hAnsi="Times New Roman"/>
          <w:sz w:val="18"/>
          <w:szCs w:val="18"/>
          <w:b w:val="1"/>
          <w:bCs w:val="1"/>
          <w:color w:val="auto"/>
        </w:rPr>
        <w:t xml:space="preserve">   Vesting.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any other provision of this Plan:</w:t>
      </w:r>
    </w:p>
    <w:p>
      <w:pPr>
        <w:spacing w:after="0" w:line="131" w:lineRule="exact"/>
        <w:rPr>
          <w:sz w:val="20"/>
          <w:szCs w:val="20"/>
          <w:color w:val="auto"/>
        </w:rPr>
      </w:pPr>
    </w:p>
    <w:p>
      <w:pPr>
        <w:ind w:left="540" w:hanging="424"/>
        <w:spacing w:after="0"/>
        <w:tabs>
          <w:tab w:leader="none" w:pos="540"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Date of Grant;</w:t>
      </w:r>
    </w:p>
    <w:p>
      <w:pPr>
        <w:spacing w:after="0" w:line="58" w:lineRule="exact"/>
        <w:rPr>
          <w:rFonts w:ascii="Times New Roman" w:cs="Times New Roman" w:eastAsia="Times New Roman" w:hAnsi="Times New Roman"/>
          <w:sz w:val="18"/>
          <w:szCs w:val="18"/>
          <w:color w:val="auto"/>
        </w:rPr>
      </w:pPr>
    </w:p>
    <w:p>
      <w:pPr>
        <w:ind w:left="5440" w:right="1320" w:hanging="5324"/>
        <w:spacing w:after="0" w:line="324" w:lineRule="auto"/>
        <w:tabs>
          <w:tab w:leader="none" w:pos="549"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of the Date of Grant; G-13</w:t>
      </w:r>
    </w:p>
    <w:p>
      <w:pPr>
        <w:sectPr>
          <w:pgSz w:w="11900" w:h="16838" w:orient="portrait"/>
          <w:cols w:equalWidth="0" w:num="1">
            <w:col w:w="11080"/>
          </w:cols>
          <w:pgMar w:left="320" w:top="455" w:right="49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anniversary of the Date of Grant; and</w:t>
      </w:r>
    </w:p>
    <w:p>
      <w:pPr>
        <w:spacing w:after="0" w:line="58" w:lineRule="exact"/>
        <w:rPr>
          <w:rFonts w:ascii="Times New Roman" w:cs="Times New Roman" w:eastAsia="Times New Roman" w:hAnsi="Times New Roman"/>
          <w:sz w:val="18"/>
          <w:szCs w:val="18"/>
          <w:color w:val="auto"/>
        </w:rPr>
      </w:pPr>
    </w:p>
    <w:p>
      <w:pPr>
        <w:ind w:left="540" w:right="340" w:hanging="424"/>
        <w:spacing w:after="0" w:line="254" w:lineRule="auto"/>
        <w:tabs>
          <w:tab w:leader="none" w:pos="54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Share Units credited pursuant to Section 2.14 shall vest simultaneously with the Restricted Share Units to which they relate, provided the Participant is continuously employed by the Company, or any of its Group Companies, from the Date of Grant until such Vesting Date,</w:t>
      </w:r>
    </w:p>
    <w:p>
      <w:pPr>
        <w:spacing w:after="0" w:line="7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color w:val="auto"/>
        </w:rPr>
        <w:t>Settlement of Restricted Share Units.</w:t>
      </w:r>
    </w:p>
    <w:p>
      <w:pPr>
        <w:spacing w:after="0" w:line="135" w:lineRule="exact"/>
        <w:rPr>
          <w:sz w:val="20"/>
          <w:szCs w:val="20"/>
          <w:color w:val="auto"/>
        </w:rPr>
      </w:pPr>
    </w:p>
    <w:p>
      <w:pPr>
        <w:ind w:left="540" w:hanging="424"/>
        <w:spacing w:after="0"/>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RSU Participant’s Grant Agreement or any other provision of this Plan:</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 Section 4.2(1)), Shares (determined in accordance with Section 4.2(2)) or a combination thereof.</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w:t>
      </w:r>
    </w:p>
    <w:p>
      <w:pPr>
        <w:spacing w:after="0" w:line="112"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67"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 RSU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1120"/>
          </w:cols>
          <w:pgMar w:left="320" w:top="455" w:right="45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4.2</w:t>
      </w:r>
      <w:r>
        <w:rPr>
          <w:rFonts w:ascii="Times New Roman" w:cs="Times New Roman" w:eastAsia="Times New Roman" w:hAnsi="Times New Roman"/>
          <w:sz w:val="18"/>
          <w:szCs w:val="18"/>
          <w:b w:val="1"/>
          <w:bCs w:val="1"/>
          <w:color w:val="auto"/>
        </w:rPr>
        <w:t xml:space="preserve">   Determination of Amounts.</w:t>
      </w:r>
    </w:p>
    <w:p>
      <w:pPr>
        <w:spacing w:after="0" w:line="131" w:lineRule="exact"/>
        <w:rPr>
          <w:sz w:val="20"/>
          <w:szCs w:val="20"/>
          <w:color w:val="auto"/>
        </w:rPr>
      </w:pPr>
    </w:p>
    <w:p>
      <w:pPr>
        <w:ind w:left="540" w:right="120" w:hanging="424"/>
        <w:spacing w:after="0" w:line="262" w:lineRule="auto"/>
        <w:tabs>
          <w:tab w:leader="none" w:pos="5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81" w:lineRule="exact"/>
        <w:rPr>
          <w:rFonts w:ascii="Times New Roman" w:cs="Times New Roman" w:eastAsia="Times New Roman" w:hAnsi="Times New Roman"/>
          <w:sz w:val="18"/>
          <w:szCs w:val="18"/>
          <w:color w:val="auto"/>
        </w:rPr>
      </w:pPr>
    </w:p>
    <w:p>
      <w:pPr>
        <w:ind w:left="540" w:hanging="424"/>
        <w:spacing w:after="0" w:line="262" w:lineRule="auto"/>
        <w:tabs>
          <w:tab w:leader="none" w:pos="5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4.3</w:t>
      </w:r>
      <w:r>
        <w:rPr>
          <w:rFonts w:ascii="Times New Roman" w:cs="Times New Roman" w:eastAsia="Times New Roman" w:hAnsi="Times New Roman"/>
          <w:sz w:val="18"/>
          <w:szCs w:val="18"/>
          <w:b w:val="1"/>
          <w:bCs w:val="1"/>
          <w:color w:val="auto"/>
        </w:rPr>
        <w:t xml:space="preserve">   Termination.</w:t>
      </w:r>
    </w:p>
    <w:p>
      <w:pPr>
        <w:spacing w:after="0" w:line="135" w:lineRule="exact"/>
        <w:rPr>
          <w:sz w:val="20"/>
          <w:szCs w:val="20"/>
          <w:color w:val="auto"/>
        </w:rPr>
      </w:pPr>
    </w:p>
    <w:p>
      <w:pPr>
        <w:ind w:left="540" w:right="440" w:hanging="424"/>
        <w:spacing w:after="0" w:line="282" w:lineRule="auto"/>
        <w:tabs>
          <w:tab w:leader="none" w:pos="5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and regardless of any adverse or potentially adverse tax or other consequences resulting from the following:</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1"/>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as a result of such RSU Participant’s death or physical or psychological Incapacity, any unvested Restricted Share Units held by such RSU Participant shall vest on the RSU Termination Date.</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5.1</w:t>
      </w:r>
      <w:r>
        <w:rPr>
          <w:rFonts w:ascii="Times New Roman" w:cs="Times New Roman" w:eastAsia="Times New Roman" w:hAnsi="Times New Roman"/>
          <w:sz w:val="18"/>
          <w:szCs w:val="18"/>
          <w:b w:val="1"/>
          <w:bCs w:val="1"/>
          <w:color w:val="auto"/>
        </w:rPr>
        <w:t xml:space="preserve">   Grant of Deferred Share Units.</w:t>
      </w:r>
    </w:p>
    <w:p>
      <w:pPr>
        <w:spacing w:after="0" w:line="135" w:lineRule="exact"/>
        <w:rPr>
          <w:sz w:val="20"/>
          <w:szCs w:val="20"/>
          <w:color w:val="auto"/>
        </w:rPr>
      </w:pPr>
    </w:p>
    <w:p>
      <w:pPr>
        <w:ind w:left="540" w:hanging="424"/>
        <w:spacing w:after="0"/>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evidenced by a Grant Agreement, signed on behalf of the Company.</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5.2</w:t>
      </w:r>
      <w:r>
        <w:rPr>
          <w:rFonts w:ascii="Times New Roman" w:cs="Times New Roman" w:eastAsia="Times New Roman" w:hAnsi="Times New Roman"/>
          <w:sz w:val="18"/>
          <w:szCs w:val="18"/>
          <w:b w:val="1"/>
          <w:bCs w:val="1"/>
          <w:color w:val="auto"/>
        </w:rPr>
        <w:t xml:space="preserve">   Equivalence.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11080"/>
          </w:cols>
          <w:pgMar w:left="320" w:top="455" w:right="49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5.3</w:t>
      </w:r>
      <w:r>
        <w:rPr>
          <w:rFonts w:ascii="Times New Roman" w:cs="Times New Roman" w:eastAsia="Times New Roman" w:hAnsi="Times New Roman"/>
          <w:sz w:val="18"/>
          <w:szCs w:val="18"/>
          <w:b w:val="1"/>
          <w:bCs w:val="1"/>
          <w:color w:val="auto"/>
        </w:rPr>
        <w:t xml:space="preserve">   Termination Right.</w:t>
      </w:r>
    </w:p>
    <w:p>
      <w:pPr>
        <w:spacing w:after="0" w:line="135" w:lineRule="exact"/>
        <w:rPr>
          <w:sz w:val="20"/>
          <w:szCs w:val="20"/>
          <w:color w:val="auto"/>
        </w:rPr>
      </w:pPr>
    </w:p>
    <w:p>
      <w:pPr>
        <w:jc w:val="both"/>
        <w:ind w:left="540" w:right="20" w:hanging="424"/>
        <w:spacing w:after="0" w:line="266" w:lineRule="auto"/>
        <w:tabs>
          <w:tab w:leader="none" w:pos="54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5.4</w:t>
      </w:r>
      <w:r>
        <w:rPr>
          <w:rFonts w:ascii="Times New Roman" w:cs="Times New Roman" w:eastAsia="Times New Roman" w:hAnsi="Times New Roman"/>
          <w:sz w:val="18"/>
          <w:szCs w:val="18"/>
          <w:b w:val="1"/>
          <w:bCs w:val="1"/>
          <w:color w:val="auto"/>
        </w:rPr>
        <w:t xml:space="preserve">   Calculation.</w:t>
      </w:r>
    </w:p>
    <w:p>
      <w:pPr>
        <w:spacing w:after="0" w:line="135" w:lineRule="exact"/>
        <w:rPr>
          <w:sz w:val="20"/>
          <w:szCs w:val="20"/>
          <w:color w:val="auto"/>
        </w:rPr>
      </w:pPr>
    </w:p>
    <w:p>
      <w:pPr>
        <w:ind w:left="540" w:right="340" w:hanging="424"/>
        <w:spacing w:after="0" w:line="282" w:lineRule="auto"/>
        <w:tabs>
          <w:tab w:leader="none" w:pos="54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5.5</w:t>
      </w:r>
      <w:r>
        <w:rPr>
          <w:rFonts w:ascii="Times New Roman" w:cs="Times New Roman" w:eastAsia="Times New Roman" w:hAnsi="Times New Roman"/>
          <w:sz w:val="18"/>
          <w:szCs w:val="18"/>
          <w:b w:val="1"/>
          <w:bCs w:val="1"/>
          <w:color w:val="auto"/>
        </w:rPr>
        <w:t xml:space="preserve">   Vesting.</w:t>
      </w:r>
    </w:p>
    <w:p>
      <w:pPr>
        <w:spacing w:after="0" w:line="135" w:lineRule="exact"/>
        <w:rPr>
          <w:sz w:val="20"/>
          <w:szCs w:val="20"/>
          <w:color w:val="auto"/>
        </w:rPr>
      </w:pPr>
    </w:p>
    <w:p>
      <w:pPr>
        <w:ind w:left="540" w:right="240" w:hanging="424"/>
        <w:spacing w:after="0" w:line="282" w:lineRule="auto"/>
        <w:tabs>
          <w:tab w:leader="none" w:pos="54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DSU Participants will not have any right to receive any benefit under the Plan in respect of a Deferred Share Unit until the DSU Termination Date.</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5.6</w:t>
      </w:r>
      <w:r>
        <w:rPr>
          <w:rFonts w:ascii="Times New Roman" w:cs="Times New Roman" w:eastAsia="Times New Roman" w:hAnsi="Times New Roman"/>
          <w:sz w:val="18"/>
          <w:szCs w:val="18"/>
          <w:b w:val="1"/>
          <w:bCs w:val="1"/>
          <w:color w:val="auto"/>
        </w:rPr>
        <w:t xml:space="preserve">   Settlement in respect of Deferred Share Units.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67" w:lineRule="exact"/>
        <w:rPr>
          <w:sz w:val="20"/>
          <w:szCs w:val="20"/>
          <w:color w:val="auto"/>
        </w:rPr>
      </w:pPr>
    </w:p>
    <w:p>
      <w:pPr>
        <w:ind w:left="540" w:right="80" w:hanging="424"/>
        <w:spacing w:after="0" w:line="261" w:lineRule="auto"/>
        <w:tabs>
          <w:tab w:leader="none" w:pos="5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85"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130"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 representative (or such other person as is referred to in Section 2.8), as the case may be, representing the Cash Equivalent;</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5440" w:right="40" w:hanging="4892"/>
        <w:spacing w:after="0" w:line="454" w:lineRule="auto"/>
        <w:tabs>
          <w:tab w:leader="none" w:pos="1089"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 Equivalent, a combination of (a) and (b) above. G-16</w:t>
      </w:r>
    </w:p>
    <w:p>
      <w:pPr>
        <w:sectPr>
          <w:pgSz w:w="11900" w:h="16838" w:orient="portrait"/>
          <w:cols w:equalWidth="0" w:num="1">
            <w:col w:w="11120"/>
          </w:cols>
          <w:pgMar w:left="320" w:top="455" w:right="45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80" w:hanging="424"/>
        <w:spacing w:after="0" w:line="282" w:lineRule="auto"/>
        <w:tabs>
          <w:tab w:leader="none" w:pos="54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DSU Participant enters into a Section 431 Election with their employer in respect of any Shares to be acquired.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5.7</w:t>
      </w:r>
      <w:r>
        <w:rPr>
          <w:rFonts w:ascii="Times New Roman" w:cs="Times New Roman" w:eastAsia="Times New Roman" w:hAnsi="Times New Roman"/>
          <w:sz w:val="18"/>
          <w:szCs w:val="18"/>
          <w:b w:val="1"/>
          <w:bCs w:val="1"/>
          <w:color w:val="auto"/>
        </w:rPr>
        <w:t xml:space="preserve">   Determination of Amounts.</w:t>
      </w:r>
    </w:p>
    <w:p>
      <w:pPr>
        <w:spacing w:after="0" w:line="131" w:lineRule="exact"/>
        <w:rPr>
          <w:sz w:val="20"/>
          <w:szCs w:val="20"/>
          <w:color w:val="auto"/>
        </w:rPr>
      </w:pPr>
    </w:p>
    <w:p>
      <w:pPr>
        <w:ind w:left="540" w:right="100" w:hanging="424"/>
        <w:spacing w:after="0" w:line="268" w:lineRule="auto"/>
        <w:tabs>
          <w:tab w:leader="none" w:pos="5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76" w:lineRule="exact"/>
        <w:rPr>
          <w:rFonts w:ascii="Times New Roman" w:cs="Times New Roman" w:eastAsia="Times New Roman" w:hAnsi="Times New Roman"/>
          <w:sz w:val="18"/>
          <w:szCs w:val="18"/>
          <w:color w:val="auto"/>
        </w:rPr>
      </w:pPr>
    </w:p>
    <w:p>
      <w:pPr>
        <w:ind w:left="540" w:hanging="424"/>
        <w:spacing w:after="0" w:line="262" w:lineRule="auto"/>
        <w:tabs>
          <w:tab w:leader="none" w:pos="54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DSU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INCENTIVE SHARE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6.1</w:t>
      </w:r>
      <w:r>
        <w:rPr>
          <w:rFonts w:ascii="Times New Roman" w:cs="Times New Roman" w:eastAsia="Times New Roman" w:hAnsi="Times New Roman"/>
          <w:sz w:val="18"/>
          <w:szCs w:val="18"/>
          <w:b w:val="1"/>
          <w:bCs w:val="1"/>
          <w:color w:val="auto"/>
        </w:rPr>
        <w:t xml:space="preserve">   Grant of Incentive Share Units</w:t>
      </w:r>
    </w:p>
    <w:p>
      <w:pPr>
        <w:spacing w:after="0" w:line="135" w:lineRule="exact"/>
        <w:rPr>
          <w:sz w:val="20"/>
          <w:szCs w:val="20"/>
          <w:color w:val="auto"/>
        </w:rPr>
      </w:pPr>
    </w:p>
    <w:p>
      <w:pPr>
        <w:ind w:left="540" w:right="40" w:hanging="424"/>
        <w:spacing w:after="0" w:line="282" w:lineRule="auto"/>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evidenced by a Grant Agreement, signed on behalf of the Company.</w:t>
      </w:r>
    </w:p>
    <w:p>
      <w:pPr>
        <w:spacing w:after="0" w:line="130"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6.2</w:t>
      </w:r>
      <w:r>
        <w:rPr>
          <w:rFonts w:ascii="Times New Roman" w:cs="Times New Roman" w:eastAsia="Times New Roman" w:hAnsi="Times New Roman"/>
          <w:sz w:val="18"/>
          <w:szCs w:val="18"/>
          <w:b w:val="1"/>
          <w:bCs w:val="1"/>
          <w:color w:val="auto"/>
        </w:rPr>
        <w:t xml:space="preserve">   Equivalence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Section6.3</w:t>
      </w:r>
      <w:r>
        <w:rPr>
          <w:rFonts w:ascii="Times New Roman" w:cs="Times New Roman" w:eastAsia="Times New Roman" w:hAnsi="Times New Roman"/>
          <w:sz w:val="18"/>
          <w:szCs w:val="18"/>
          <w:b w:val="1"/>
          <w:bCs w:val="1"/>
          <w:color w:val="auto"/>
        </w:rPr>
        <w:t xml:space="preserve">   Calculation.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Section6.4</w:t>
      </w:r>
      <w:r>
        <w:rPr>
          <w:rFonts w:ascii="Times New Roman" w:cs="Times New Roman" w:eastAsia="Times New Roman" w:hAnsi="Times New Roman"/>
          <w:sz w:val="18"/>
          <w:szCs w:val="18"/>
          <w:b w:val="1"/>
          <w:bCs w:val="1"/>
          <w:color w:val="auto"/>
        </w:rPr>
        <w:t xml:space="preserve">   Vesting.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ISU Participant’s Grant Agreement shall describe the Performance Criteria established by the Board that must be achieved for Incentive Share Units to vest to the ISU Participant, provided the ISU Participant is continuously 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G-17</w:t>
      </w:r>
    </w:p>
    <w:p>
      <w:pPr>
        <w:sectPr>
          <w:pgSz w:w="11900" w:h="16838" w:orient="portrait"/>
          <w:cols w:equalWidth="0" w:num="1">
            <w:col w:w="11120"/>
          </w:cols>
          <w:pgMar w:left="320" w:top="455" w:right="459"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7.1</w:t>
      </w:r>
      <w:r>
        <w:rPr>
          <w:rFonts w:ascii="Times New Roman" w:cs="Times New Roman" w:eastAsia="Times New Roman" w:hAnsi="Times New Roman"/>
          <w:sz w:val="18"/>
          <w:szCs w:val="18"/>
          <w:b w:val="1"/>
          <w:bCs w:val="1"/>
          <w:color w:val="auto"/>
        </w:rPr>
        <w:t xml:space="preserve">   Settlement of Incentive Share Units.</w:t>
      </w:r>
    </w:p>
    <w:p>
      <w:pPr>
        <w:spacing w:after="0" w:line="135" w:lineRule="exact"/>
        <w:rPr>
          <w:sz w:val="20"/>
          <w:szCs w:val="20"/>
          <w:color w:val="auto"/>
        </w:rPr>
      </w:pPr>
    </w:p>
    <w:p>
      <w:pPr>
        <w:ind w:left="540" w:hanging="424"/>
        <w:spacing w:after="0"/>
        <w:tabs>
          <w:tab w:leader="none" w:pos="5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any other provision of this Plan: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 Section 7.2(1)), Shares (determined in accordance with Section 7.2(2)) or a combination thereof.</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67"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540" w:right="460" w:hanging="424"/>
        <w:spacing w:after="0" w:line="260" w:lineRule="auto"/>
        <w:tabs>
          <w:tab w:leader="none" w:pos="5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7.2</w:t>
      </w:r>
      <w:r>
        <w:rPr>
          <w:rFonts w:ascii="Times New Roman" w:cs="Times New Roman" w:eastAsia="Times New Roman" w:hAnsi="Times New Roman"/>
          <w:sz w:val="18"/>
          <w:szCs w:val="18"/>
          <w:b w:val="1"/>
          <w:bCs w:val="1"/>
          <w:color w:val="auto"/>
        </w:rPr>
        <w:t xml:space="preserve">   Determination of Amounts.</w:t>
      </w:r>
    </w:p>
    <w:p>
      <w:pPr>
        <w:spacing w:after="0" w:line="131" w:lineRule="exact"/>
        <w:rPr>
          <w:sz w:val="20"/>
          <w:szCs w:val="20"/>
          <w:color w:val="auto"/>
        </w:rPr>
      </w:pPr>
    </w:p>
    <w:p>
      <w:pPr>
        <w:ind w:left="540" w:right="40" w:hanging="424"/>
        <w:spacing w:after="0" w:line="262" w:lineRule="auto"/>
        <w:tabs>
          <w:tab w:leader="none" w:pos="54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81" w:lineRule="exact"/>
        <w:rPr>
          <w:rFonts w:ascii="Times New Roman" w:cs="Times New Roman" w:eastAsia="Times New Roman" w:hAnsi="Times New Roman"/>
          <w:sz w:val="18"/>
          <w:szCs w:val="18"/>
          <w:color w:val="auto"/>
        </w:rPr>
      </w:pPr>
    </w:p>
    <w:p>
      <w:pPr>
        <w:ind w:left="540" w:right="60" w:hanging="424"/>
        <w:spacing w:after="0" w:line="262" w:lineRule="auto"/>
        <w:tabs>
          <w:tab w:leader="none" w:pos="54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 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G-18</w:t>
      </w:r>
    </w:p>
    <w:p>
      <w:pPr>
        <w:sectPr>
          <w:pgSz w:w="11900" w:h="16838" w:orient="portrait"/>
          <w:cols w:equalWidth="0" w:num="1">
            <w:col w:w="11120"/>
          </w:cols>
          <w:pgMar w:left="320" w:top="455" w:right="45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Section7.3</w:t>
      </w:r>
      <w:r>
        <w:rPr>
          <w:rFonts w:ascii="Times New Roman" w:cs="Times New Roman" w:eastAsia="Times New Roman" w:hAnsi="Times New Roman"/>
          <w:sz w:val="18"/>
          <w:szCs w:val="18"/>
          <w:b w:val="1"/>
          <w:bCs w:val="1"/>
          <w:color w:val="auto"/>
        </w:rPr>
        <w:t xml:space="preserve">   Termination.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and regardless of any adverse or potentially adverse tax or other consequences resulting from the following, if a ISU Participant ceases to be an Eligible Person for any reason, any unvested Incentive Share Units held by such ISU Participant shall Expire on the ISU Termination Date and be of no further force or effect whatsoever and such Participant shall no longer be eligible for a grant of ISUs.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8.1</w:t>
      </w:r>
      <w:r>
        <w:rPr>
          <w:rFonts w:ascii="Times New Roman" w:cs="Times New Roman" w:eastAsia="Times New Roman" w:hAnsi="Times New Roman"/>
          <w:sz w:val="18"/>
          <w:szCs w:val="18"/>
          <w:b w:val="1"/>
          <w:bCs w:val="1"/>
          <w:color w:val="auto"/>
        </w:rPr>
        <w:t xml:space="preserve">   Conversion or Exchange of Units.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8.2</w:t>
      </w:r>
      <w:r>
        <w:rPr>
          <w:rFonts w:ascii="Times New Roman" w:cs="Times New Roman" w:eastAsia="Times New Roman" w:hAnsi="Times New Roman"/>
          <w:sz w:val="18"/>
          <w:szCs w:val="18"/>
          <w:b w:val="1"/>
          <w:bCs w:val="1"/>
          <w:color w:val="auto"/>
        </w:rPr>
        <w:t xml:space="preserve">   Notice to Participants.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8.3</w:t>
      </w:r>
      <w:r>
        <w:rPr>
          <w:rFonts w:ascii="Times New Roman" w:cs="Times New Roman" w:eastAsia="Times New Roman" w:hAnsi="Times New Roman"/>
          <w:sz w:val="18"/>
          <w:szCs w:val="18"/>
          <w:b w:val="1"/>
          <w:bCs w:val="1"/>
          <w:color w:val="auto"/>
        </w:rPr>
        <w:t xml:space="preserve">   Acceleration of Vesting.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8.4</w:t>
      </w:r>
      <w:r>
        <w:rPr>
          <w:rFonts w:ascii="Times New Roman" w:cs="Times New Roman" w:eastAsia="Times New Roman" w:hAnsi="Times New Roman"/>
          <w:sz w:val="18"/>
          <w:szCs w:val="18"/>
          <w:b w:val="1"/>
          <w:bCs w:val="1"/>
          <w:color w:val="auto"/>
        </w:rPr>
        <w:t xml:space="preserve">   Effect of Change of Control</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8.5</w:t>
      </w:r>
      <w:r>
        <w:rPr>
          <w:rFonts w:ascii="Times New Roman" w:cs="Times New Roman" w:eastAsia="Times New Roman" w:hAnsi="Times New Roman"/>
          <w:sz w:val="18"/>
          <w:szCs w:val="18"/>
          <w:b w:val="1"/>
          <w:bCs w:val="1"/>
          <w:color w:val="auto"/>
        </w:rPr>
        <w:t xml:space="preserve">   Court Sanction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 8.6 below and unless the Board determines otherwise, Expire immediately after such sanction.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8.6</w:t>
      </w:r>
      <w:r>
        <w:rPr>
          <w:rFonts w:ascii="Times New Roman" w:cs="Times New Roman" w:eastAsia="Times New Roman" w:hAnsi="Times New Roman"/>
          <w:sz w:val="18"/>
          <w:szCs w:val="18"/>
          <w:b w:val="1"/>
          <w:bCs w:val="1"/>
          <w:color w:val="auto"/>
        </w:rPr>
        <w:t xml:space="preserve">   Replacement of Units</w:t>
      </w:r>
    </w:p>
    <w:p>
      <w:pPr>
        <w:spacing w:after="0" w:line="135" w:lineRule="exact"/>
        <w:rPr>
          <w:sz w:val="20"/>
          <w:szCs w:val="20"/>
          <w:color w:val="auto"/>
        </w:rPr>
      </w:pPr>
    </w:p>
    <w:p>
      <w:pPr>
        <w:ind w:left="540" w:right="80" w:hanging="424"/>
        <w:spacing w:after="0" w:line="282" w:lineRule="auto"/>
        <w:tabs>
          <w:tab w:leader="none" w:pos="54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8"/>
          <w:szCs w:val="18"/>
          <w:b w:val="1"/>
          <w:bCs w:val="1"/>
          <w:color w:val="auto"/>
        </w:rPr>
        <w:t>New Unit Award</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G-19</w:t>
      </w:r>
    </w:p>
    <w:p>
      <w:pPr>
        <w:sectPr>
          <w:pgSz w:w="11900" w:h="16838" w:orient="portrait"/>
          <w:cols w:equalWidth="0" w:num="1">
            <w:col w:w="11120"/>
          </w:cols>
          <w:pgMar w:left="320" w:top="455" w:right="459"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b w:val="1"/>
          <w:bCs w:val="1"/>
          <w:color w:val="auto"/>
        </w:rPr>
        <w:t>Grant of Options</w:t>
      </w:r>
    </w:p>
    <w:p>
      <w:pPr>
        <w:spacing w:after="0" w:line="135" w:lineRule="exact"/>
        <w:rPr>
          <w:sz w:val="20"/>
          <w:szCs w:val="20"/>
          <w:color w:val="auto"/>
        </w:rPr>
      </w:pPr>
    </w:p>
    <w:p>
      <w:pPr>
        <w:ind w:left="540" w:right="400" w:hanging="424"/>
        <w:spacing w:after="0" w:line="282" w:lineRule="auto"/>
        <w:tabs>
          <w:tab w:leader="none" w:pos="54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shall be evidenced by a Grant Agreement, signed on behalf of the Company. Among its other provisions, each Grant Agreement will set forth: (a) the number of Shares subject to such Option; and (b) the extent to which the Option Participant will have the right to exercise the Option following the Option Termination Date. Such provisions will be determined in the discretion of the Board and included in the Grant Agreement, and they need not be uniform among all Options issued pursuant to the Plan or to the same Option Participant.</w:t>
      </w:r>
    </w:p>
    <w:p>
      <w:pPr>
        <w:spacing w:after="0" w:line="85"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b w:val="1"/>
          <w:bCs w:val="1"/>
          <w:color w:val="auto"/>
        </w:rPr>
        <w:t>Option Price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exercise price per Share under each Option will be specified in the relevant Grant Agreement but shall not be less than the nominal value of a Share in the case of an Option to subscribe for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of the Option will be ten (10) years from the Date of Grant.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b w:val="1"/>
          <w:bCs w:val="1"/>
          <w:color w:val="auto"/>
        </w:rPr>
        <w:t>Exercise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Section 9.5 and Article 11, the Board will determine the time or times at which an Option may be exercised, in whole or in part. Each Option may specify a required period of continuous employment, the Performance Criteria or any other requirements to be achieved before the Option or portion thereof will vest and/or become exercisable. Each Option, the exercise of which, or the timing of the exercise of which, is dependent, in whole or in part, on the achievement of designated Performance Criteria, may specify a minimum level of achievement in respect of the specified Performance Criteria below which such Option will not be exercisable and a method for determining the extent to which such Option will be exercisable if performance is at or above such minimum but short of full achievement of the Performance Criteria. All such particular terms and conditions of the Option will be set forth in the Grant Agreement. An Option cannot be exercised after the end of the term of the Option.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b w:val="1"/>
          <w:bCs w:val="1"/>
          <w:color w:val="auto"/>
        </w:rPr>
        <w:t>Lapse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Option shall immediately Expire and cease to be capable of vesting or exercise on the earliest to occur of:</w:t>
      </w:r>
    </w:p>
    <w:p>
      <w:pPr>
        <w:spacing w:after="0" w:line="131" w:lineRule="exact"/>
        <w:rPr>
          <w:sz w:val="20"/>
          <w:szCs w:val="20"/>
          <w:color w:val="auto"/>
        </w:rPr>
      </w:pPr>
    </w:p>
    <w:p>
      <w:pPr>
        <w:ind w:left="1540" w:hanging="439"/>
        <w:spacing w:after="0"/>
        <w:tabs>
          <w:tab w:leader="none" w:pos="154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anniversary of the Date of Grant;</w:t>
      </w:r>
    </w:p>
    <w:p>
      <w:pPr>
        <w:spacing w:after="0" w:line="130" w:lineRule="exact"/>
        <w:rPr>
          <w:rFonts w:ascii="Times New Roman" w:cs="Times New Roman" w:eastAsia="Times New Roman" w:hAnsi="Times New Roman"/>
          <w:sz w:val="18"/>
          <w:szCs w:val="18"/>
          <w:color w:val="auto"/>
        </w:rPr>
      </w:pPr>
    </w:p>
    <w:p>
      <w:pPr>
        <w:ind w:left="5440" w:right="4640" w:hanging="4339"/>
        <w:spacing w:after="0" w:line="454" w:lineRule="auto"/>
        <w:tabs>
          <w:tab w:leader="none" w:pos="1534"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date specified for the Options to Expire in the Grant Agreement; G-20</w:t>
      </w:r>
    </w:p>
    <w:p>
      <w:pPr>
        <w:sectPr>
          <w:pgSz w:w="11900" w:h="16838" w:orient="portrait"/>
          <w:cols w:equalWidth="0" w:num="1">
            <w:col w:w="11120"/>
          </w:cols>
          <w:pgMar w:left="320" w:top="455" w:right="45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439"/>
        <w:spacing w:after="0"/>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any of the periods referred to in Article 11;</w:t>
      </w:r>
    </w:p>
    <w:p>
      <w:pPr>
        <w:spacing w:after="0" w:line="130" w:lineRule="exact"/>
        <w:rPr>
          <w:rFonts w:ascii="Times New Roman" w:cs="Times New Roman" w:eastAsia="Times New Roman" w:hAnsi="Times New Roman"/>
          <w:sz w:val="18"/>
          <w:szCs w:val="18"/>
          <w:color w:val="auto"/>
        </w:rPr>
      </w:pPr>
    </w:p>
    <w:p>
      <w:pPr>
        <w:ind w:left="1540" w:right="400" w:hanging="439"/>
        <w:spacing w:after="0" w:line="282" w:lineRule="auto"/>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purported to be transferred or assigned (other than by reason of death in accordance with Section 2.8(b)), mortgaged, charged or otherwise disposed of by the Option Participant;</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any petition to any court of competent jurisdiction by which an order is sought for the bankruptcy of the Option Participant (or any analogous proceeding in any jurisdiction);</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making an application for an interim order or any proposal for a voluntary arrangement within Part VIII of the Insolvency Act 1986 (or any analogous proceeding in any jurisdiction);</w:t>
      </w:r>
    </w:p>
    <w:p>
      <w:pPr>
        <w:spacing w:after="0" w:line="67" w:lineRule="exact"/>
        <w:rPr>
          <w:rFonts w:ascii="Times New Roman" w:cs="Times New Roman" w:eastAsia="Times New Roman" w:hAnsi="Times New Roman"/>
          <w:sz w:val="18"/>
          <w:szCs w:val="18"/>
          <w:color w:val="auto"/>
        </w:rPr>
      </w:pPr>
    </w:p>
    <w:p>
      <w:pPr>
        <w:ind w:left="1540" w:right="600" w:hanging="439"/>
        <w:spacing w:after="0" w:line="282" w:lineRule="auto"/>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proposing any form of compromise with his creditors or any class of creditors (or any analogous proceeding in any jurisdiction); and</w:t>
      </w:r>
    </w:p>
    <w:p>
      <w:pPr>
        <w:spacing w:after="0" w:line="67"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 Participant is deprived (otherwise than on death) of the legal or beneficial ownership of the Option by operation of law or by the Option Participant doing or omitting to do anything which causes him to be so deprived.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b w:val="1"/>
          <w:bCs w:val="1"/>
          <w:color w:val="auto"/>
        </w:rPr>
        <w:t>Exercise of Option</w:t>
      </w:r>
    </w:p>
    <w:p>
      <w:pPr>
        <w:spacing w:after="0" w:line="135" w:lineRule="exact"/>
        <w:rPr>
          <w:sz w:val="20"/>
          <w:szCs w:val="20"/>
          <w:color w:val="auto"/>
        </w:rPr>
      </w:pPr>
    </w:p>
    <w:p>
      <w:pPr>
        <w:ind w:left="540" w:right="580" w:hanging="424"/>
        <w:spacing w:after="0" w:line="282" w:lineRule="auto"/>
        <w:tabs>
          <w:tab w:leader="none" w:pos="5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11 below and subject to the terms of the Grant Agreement, an Option may only be exercised to the extent it has vested in accordance with the terms of the Grant Agreement.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Agreement covering at least all of the Shares over which the Option is then to be exercised;</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Exercise in the prescribed form duly completed and signed by the 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spacing w:after="0" w:line="130"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spacing w:after="0" w:line="67" w:lineRule="exact"/>
        <w:rPr>
          <w:rFonts w:ascii="Times New Roman" w:cs="Times New Roman" w:eastAsia="Times New Roman" w:hAnsi="Times New Roman"/>
          <w:sz w:val="18"/>
          <w:szCs w:val="18"/>
          <w:color w:val="auto"/>
        </w:rPr>
      </w:pPr>
    </w:p>
    <w:p>
      <w:pPr>
        <w:ind w:left="540" w:right="720" w:hanging="424"/>
        <w:spacing w:after="0" w:line="282" w:lineRule="auto"/>
        <w:tabs>
          <w:tab w:leader="none" w:pos="5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their Option Cash Equivalent, a cheque to the Option Participant (or such other person as is referred to in Section 2.8) or wire or bank transfer of cash representing the Option Cash Equivalent;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G-21</w:t>
      </w:r>
    </w:p>
    <w:p>
      <w:pPr>
        <w:sectPr>
          <w:pgSz w:w="11900" w:h="16838" w:orient="portrait"/>
          <w:cols w:equalWidth="0" w:num="1">
            <w:col w:w="11120"/>
          </w:cols>
          <w:pgMar w:left="320" w:top="455" w:right="459" w:bottom="1440" w:gutter="0" w:footer="0" w:header="0"/>
        </w:sectPr>
      </w:pPr>
    </w:p>
    <w:bookmarkStart w:id="675" w:name="page676"/>
    <w:bookmarkEnd w:id="6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532"/>
        <w:spacing w:after="0" w:line="282" w:lineRule="auto"/>
        <w:tabs>
          <w:tab w:leader="none" w:pos="108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spacing w:after="0" w:line="131" w:lineRule="exact"/>
        <w:rPr>
          <w:sz w:val="20"/>
          <w:szCs w:val="20"/>
          <w:color w:val="auto"/>
        </w:rPr>
      </w:pPr>
    </w:p>
    <w:p>
      <w:pPr>
        <w:ind w:left="1080" w:right="40" w:hanging="532"/>
        <w:spacing w:after="0" w:line="261" w:lineRule="auto"/>
        <w:tabs>
          <w:tab w:leader="none" w:pos="108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color w:val="auto"/>
        </w:rPr>
        <w:t>Option Cash Equivalent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10.1(3)(a) or Section 10.1(3)(c), such calculation will be made on the effective date of exercise based on the Market Value on the effective date of exercise multiplied by the number of Shares in respect of which the Option is being exercised and in respect of which the Option Participant desires to settle in cash pursuant to the Notice of Exercise.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b w:val="1"/>
          <w:bCs w:val="1"/>
          <w:color w:val="auto"/>
        </w:rPr>
        <w:t>Notice to Participants</w:t>
      </w:r>
    </w:p>
    <w:p>
      <w:pPr>
        <w:spacing w:after="0" w:line="135" w:lineRule="exact"/>
        <w:rPr>
          <w:sz w:val="20"/>
          <w:szCs w:val="20"/>
          <w:color w:val="auto"/>
        </w:rPr>
      </w:pPr>
    </w:p>
    <w:p>
      <w:pPr>
        <w:ind w:left="540" w:right="100" w:hanging="424"/>
        <w:spacing w:after="0" w:line="255" w:lineRule="auto"/>
        <w:tabs>
          <w:tab w:leader="none" w:pos="54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(including one which may fall within Section 11.2 or Section 11.3 before), the Options shall be treated in the manner prescribed by the definitive agreement (if any) for such Change of Control. If there is no agreement for such a Change of Control, or there is no provisions prescribing the treatment of Options therein, the Company may (only if and to the extent not prohibited by applicable laws, regulations or the rules of any Stock Exchange upon which the Shares are listed), but shall not be obliged to, give written notice of the proposed Change of Control to Participants, together with a description of the effect of such Change of Control on outstanding Options, not less than seven (7) days prior to the closing of the transaction resulting in the Change of Control (the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 exercise his Option to the extent specified in Section 11.4 by delivering his Notice of Exercise and the aggregate Option Price (under the procedure in Section 10.1(2) or such other procedure as may be specified by the Board in the Change of Control Notice) at any time in the period commencing on the Option Participant’s receipt of the Notification and ending immediately prior to such Change of Control. Any Notice of Exercise delivered in accordance with this Section 11.1(2) prior to such Change of Control shall take effect immediately before Change of Control takes effect. The Option shall, to the extent unexercised, lapse immediately following the Change of Control unless the Acquiror has informed the Board that it intends to offer to grant Option Participants new options in accordance with Section 11.5, in which case the Option shall cease to be exercisable following the Change of Control under this Plan, but may still be released under Section 11.5 within the period of six months following the Change of Control and on the expiry of the said six month period the Option shall lapse.</w:t>
      </w:r>
    </w:p>
    <w:p>
      <w:pPr>
        <w:spacing w:after="0" w:line="93"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 Change of Control and/or there is no provisions prescribing the treatment of Options therein then subject to Section 11.2 and 11.5 below, the Option may be exercised within six months of a Change of Control to the extent specified in Section 11.4, and on the expiry of the said six month period the Option shall, to the extent unexercised, Expire and cease to be capable of exercise.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G-22</w:t>
      </w:r>
    </w:p>
    <w:p>
      <w:pPr>
        <w:sectPr>
          <w:pgSz w:w="11900" w:h="16838" w:orient="portrait"/>
          <w:cols w:equalWidth="0" w:num="1">
            <w:col w:w="11120"/>
          </w:cols>
          <w:pgMar w:left="320" w:top="455" w:right="459" w:bottom="1440" w:gutter="0" w:footer="0" w:header="0"/>
        </w:sectPr>
      </w:pPr>
    </w:p>
    <w:bookmarkStart w:id="676" w:name="page677"/>
    <w:bookmarkEnd w:id="6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b w:val="1"/>
          <w:bCs w:val="1"/>
          <w:color w:val="auto"/>
        </w:rPr>
        <w:t>Court Sanction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then subject to Section 11.1(1) above and 11.5 below, the Option may be exercised to the extent specified in Section 11.4 within six months of the date on which such Compromise is so sanctioned, and on the expiry of the said six month period the Option shall, to the extent unexercised, Expire and cease to be capable of exercise.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b w:val="1"/>
          <w:bCs w:val="1"/>
          <w:color w:val="auto"/>
        </w:rPr>
        <w:t>Squeeze-out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 then subject to Section 11.1(1) above and Section 11.5 below, an Option may be exercised to the extent set out in Section 11.4 at any time when that person remains so bound or entitled and to the extent not so exercised shall lapse at the expiry of such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b w:val="1"/>
          <w:bCs w:val="1"/>
          <w:color w:val="auto"/>
        </w:rPr>
        <w:t>Extent of exercise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the terms of the relevant Grant Agreement, an Option may be exercised under this Article 11 to the extent it has vested pursuant to the Grant Agreement as at the date of: (i) the Change of Control if Section 11.1(2) or (3) applies (and for the avoidance of doubt, where Section 11.1(2) applies, the Option may be exercised to the extent it would have been vested on the Change of Control if not exercised immediately prior); (ii) the date on which a Compromise is sanctioned if Section 11.2 applies; or (iii) the date on which a person becomes bound or entitled to acquire shares if Section 11.3 applied. Notwithstanding the foregoing, the Board may, in its sole discretion, accelerate the vesting of any or all outstanding Options, including conditionally, to provide that, notwithstanding the vesting provisions of such Options or any Grant Agreement, such designated outstanding Options shall be vested upon (or prior to) the completion of the Change of Control (or, if relevant, prior to the sanctioning of a Compromise as contemplated by Section 11.2 or a person becoming bound or entitled to acquire shares as contemplated by Section 11.3). If, for any reason, the Change of Control or relevant event does not occur, the acceleration of the vesting of the Options shall be retracted and vesting shall instead revert to the manner provided in the Grant Agreement.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b w:val="1"/>
          <w:bCs w:val="1"/>
          <w:color w:val="auto"/>
        </w:rPr>
        <w:t>Replacement Options</w:t>
      </w:r>
    </w:p>
    <w:p>
      <w:pPr>
        <w:spacing w:after="0" w:line="135" w:lineRule="exact"/>
        <w:rPr>
          <w:sz w:val="20"/>
          <w:szCs w:val="20"/>
          <w:color w:val="auto"/>
        </w:rPr>
      </w:pPr>
    </w:p>
    <w:p>
      <w:pPr>
        <w:ind w:left="540" w:right="360" w:hanging="424"/>
        <w:spacing w:after="0" w:line="261" w:lineRule="auto"/>
        <w:tabs>
          <w:tab w:leader="none" w:pos="54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the Board has the right to provide for the conversion, replacement, or exchange of any outstanding Options into or for options, rights or other securities in any entity participating in or resulting from a Change of Control, provided that the value of previously granted Options and the rights of Participants are not materially adversely affected by any such changes.</w:t>
      </w:r>
    </w:p>
    <w:p>
      <w:pPr>
        <w:spacing w:after="0" w:line="85" w:lineRule="exact"/>
        <w:rPr>
          <w:rFonts w:ascii="Times New Roman" w:cs="Times New Roman" w:eastAsia="Times New Roman" w:hAnsi="Times New Roman"/>
          <w:sz w:val="18"/>
          <w:szCs w:val="18"/>
          <w:color w:val="auto"/>
        </w:rPr>
      </w:pPr>
    </w:p>
    <w:p>
      <w:pPr>
        <w:ind w:left="540" w:right="180" w:hanging="424"/>
        <w:spacing w:after="0" w:line="266" w:lineRule="auto"/>
        <w:tabs>
          <w:tab w:leader="none" w:pos="54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spacing w:after="0" w:line="130" w:lineRule="exact"/>
        <w:rPr>
          <w:rFonts w:ascii="Times New Roman" w:cs="Times New Roman" w:eastAsia="Times New Roman" w:hAnsi="Times New Roman"/>
          <w:sz w:val="18"/>
          <w:szCs w:val="18"/>
          <w:color w:val="auto"/>
        </w:rPr>
      </w:pPr>
    </w:p>
    <w:p>
      <w:pPr>
        <w:ind w:left="5440" w:right="240" w:hanging="4892"/>
        <w:spacing w:after="0" w:line="454" w:lineRule="auto"/>
        <w:tabs>
          <w:tab w:leader="none" w:pos="108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 G-23</w:t>
      </w:r>
    </w:p>
    <w:p>
      <w:pPr>
        <w:sectPr>
          <w:pgSz w:w="11900" w:h="16838" w:orient="portrait"/>
          <w:cols w:equalWidth="0" w:num="1">
            <w:col w:w="11100"/>
          </w:cols>
          <w:pgMar w:left="320" w:top="455" w:right="479" w:bottom="1440" w:gutter="0" w:footer="0" w:header="0"/>
        </w:sectPr>
      </w:pPr>
    </w:p>
    <w:bookmarkStart w:id="677" w:name="page678"/>
    <w:bookmarkEnd w:id="6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532"/>
        <w:spacing w:after="0" w:line="282" w:lineRule="auto"/>
        <w:tabs>
          <w:tab w:leader="none" w:pos="108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REZOLVE AI PLC LONG TERM INCENTIVE PLAN</w:t>
      </w:r>
    </w:p>
    <w:p>
      <w:pPr>
        <w:spacing w:after="0" w:line="95"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This Annex 1 to the Rezolve AI Plc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ARTICLE 1 - PURPOSE AND INTERPRETATION</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All references to Plan throughout the Non-Employee Plan shall, save where the context requires otherwise, refer to the Non-Employee Plan.</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In the first paragraph of the Plan, the word “employees” shall be deleted and replaced with the words “directors, officers, and consultants”</w:t>
      </w:r>
    </w:p>
    <w:p>
      <w:pPr>
        <w:spacing w:after="0" w:line="13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131" w:lineRule="exact"/>
        <w:rPr>
          <w:sz w:val="20"/>
          <w:szCs w:val="20"/>
          <w:color w:val="auto"/>
        </w:rPr>
      </w:pPr>
    </w:p>
    <w:p>
      <w:pPr>
        <w:ind w:left="540" w:right="80" w:hanging="431"/>
        <w:spacing w:after="0" w:line="286"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Award Date</w:t>
      </w:r>
      <w:r>
        <w:rPr>
          <w:rFonts w:ascii="Times New Roman" w:cs="Times New Roman" w:eastAsia="Times New Roman" w:hAnsi="Times New Roman"/>
          <w:sz w:val="18"/>
          <w:szCs w:val="18"/>
          <w:color w:val="auto"/>
        </w:rPr>
        <w:t>” means the date(s) during the Fiscal Year on which the Annual Board Retainer is awarded.</w:t>
      </w:r>
    </w:p>
    <w:p>
      <w:pPr>
        <w:spacing w:after="0" w:line="131" w:lineRule="exact"/>
        <w:rPr>
          <w:sz w:val="20"/>
          <w:szCs w:val="20"/>
          <w:color w:val="auto"/>
        </w:rPr>
      </w:pPr>
    </w:p>
    <w:p>
      <w:pPr>
        <w:ind w:left="540" w:right="240" w:hanging="431"/>
        <w:spacing w:after="0" w:line="286"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6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In the Non-Employee plan, the following definitions shall be amended as follows:</w:t>
      </w:r>
    </w:p>
    <w:p>
      <w:pPr>
        <w:spacing w:after="0" w:line="131" w:lineRule="exact"/>
        <w:rPr>
          <w:sz w:val="20"/>
          <w:szCs w:val="20"/>
          <w:color w:val="auto"/>
        </w:rPr>
      </w:pPr>
    </w:p>
    <w:p>
      <w:pPr>
        <w:ind w:left="540" w:right="160" w:hanging="431"/>
        <w:spacing w:after="0" w:line="286" w:lineRule="auto"/>
        <w:rPr>
          <w:sz w:val="20"/>
          <w:szCs w:val="20"/>
          <w:color w:val="auto"/>
        </w:rPr>
      </w:pPr>
      <w:r>
        <w:rPr>
          <w:rFonts w:ascii="Times New Roman" w:cs="Times New Roman" w:eastAsia="Times New Roman" w:hAnsi="Times New Roman"/>
          <w:sz w:val="18"/>
          <w:szCs w:val="18"/>
          <w:color w:val="auto"/>
        </w:rPr>
        <w:t>1.4.1 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an employee”.</w:t>
      </w:r>
    </w:p>
    <w:p>
      <w:pPr>
        <w:spacing w:after="0" w:line="60" w:lineRule="exact"/>
        <w:rPr>
          <w:sz w:val="20"/>
          <w:szCs w:val="20"/>
          <w:color w:val="auto"/>
        </w:rPr>
      </w:pPr>
    </w:p>
    <w:p>
      <w:pPr>
        <w:ind w:left="540" w:right="100" w:hanging="431"/>
        <w:spacing w:after="0" w:line="286" w:lineRule="auto"/>
        <w:rPr>
          <w:sz w:val="20"/>
          <w:szCs w:val="20"/>
          <w:color w:val="auto"/>
        </w:rPr>
      </w:pPr>
      <w:r>
        <w:rPr>
          <w:rFonts w:ascii="Times New Roman" w:cs="Times New Roman" w:eastAsia="Times New Roman" w:hAnsi="Times New Roman"/>
          <w:sz w:val="18"/>
          <w:szCs w:val="18"/>
          <w:color w:val="auto"/>
        </w:rPr>
        <w:t>1.4.2 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1.4.3 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or Consultant”.</w:t>
      </w:r>
    </w:p>
    <w:p>
      <w:pPr>
        <w:spacing w:after="0" w:line="131" w:lineRule="exact"/>
        <w:rPr>
          <w:sz w:val="20"/>
          <w:szCs w:val="20"/>
          <w:color w:val="auto"/>
        </w:rPr>
      </w:pPr>
    </w:p>
    <w:p>
      <w:pPr>
        <w:ind w:left="540" w:right="240" w:hanging="431"/>
        <w:spacing w:after="0" w:line="286" w:lineRule="auto"/>
        <w:rPr>
          <w:sz w:val="20"/>
          <w:szCs w:val="20"/>
          <w:color w:val="auto"/>
        </w:rPr>
      </w:pPr>
      <w:r>
        <w:rPr>
          <w:rFonts w:ascii="Times New Roman" w:cs="Times New Roman" w:eastAsia="Times New Roman" w:hAnsi="Times New Roman"/>
          <w:sz w:val="18"/>
          <w:szCs w:val="18"/>
          <w:color w:val="auto"/>
        </w:rPr>
        <w:t>1.4.4 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60" w:lineRule="exact"/>
        <w:rPr>
          <w:sz w:val="20"/>
          <w:szCs w:val="20"/>
          <w:color w:val="auto"/>
        </w:rPr>
      </w:pPr>
    </w:p>
    <w:p>
      <w:pPr>
        <w:ind w:left="540" w:hanging="431"/>
        <w:spacing w:after="0" w:line="286" w:lineRule="auto"/>
        <w:rPr>
          <w:sz w:val="20"/>
          <w:szCs w:val="20"/>
          <w:color w:val="auto"/>
        </w:rPr>
      </w:pPr>
      <w:r>
        <w:rPr>
          <w:rFonts w:ascii="Times New Roman" w:cs="Times New Roman" w:eastAsia="Times New Roman" w:hAnsi="Times New Roman"/>
          <w:sz w:val="18"/>
          <w:szCs w:val="18"/>
          <w:color w:val="auto"/>
        </w:rPr>
        <w:t>1.4.5 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60" w:lineRule="exact"/>
        <w:rPr>
          <w:sz w:val="20"/>
          <w:szCs w:val="20"/>
          <w:color w:val="auto"/>
        </w:rPr>
      </w:pPr>
    </w:p>
    <w:p>
      <w:pPr>
        <w:ind w:left="540" w:right="180" w:hanging="431"/>
        <w:spacing w:after="0" w:line="286" w:lineRule="auto"/>
        <w:rPr>
          <w:sz w:val="20"/>
          <w:szCs w:val="20"/>
          <w:color w:val="auto"/>
        </w:rPr>
      </w:pPr>
      <w:r>
        <w:rPr>
          <w:rFonts w:ascii="Times New Roman" w:cs="Times New Roman" w:eastAsia="Times New Roman" w:hAnsi="Times New Roman"/>
          <w:sz w:val="18"/>
          <w:szCs w:val="18"/>
          <w:color w:val="auto"/>
        </w:rPr>
        <w:t>1.4.6 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ARTICLE 2 - GENERAL PROVISIONS</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Section 2.2(a), the words “or the Rezolve AI plc Long Term Incentive Plan” shall be inserted after the words “sub-plan to this Plan”.</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G-24</w:t>
      </w:r>
    </w:p>
    <w:p>
      <w:pPr>
        <w:sectPr>
          <w:pgSz w:w="11900" w:h="16838" w:orient="portrait"/>
          <w:cols w:equalWidth="0" w:num="1">
            <w:col w:w="10980"/>
          </w:cols>
          <w:pgMar w:left="320" w:top="455" w:right="599" w:bottom="1440" w:gutter="0" w:footer="0" w:header="0"/>
        </w:sectPr>
      </w:pPr>
    </w:p>
    <w:bookmarkStart w:id="678" w:name="page679"/>
    <w:bookmarkEnd w:id="6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2.2</w:t>
        <w:tab/>
        <w:t>Section 2.9(1) shall be deleted and replaced with the following:</w:t>
      </w:r>
    </w:p>
    <w:p>
      <w:pPr>
        <w:spacing w:after="0" w:line="225"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nor does the existence of such letter of appointment or contract for services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or appointment shall not be affected by his participation under the Rules or any right he may have to participate. An individual who participates under the Rules waives all and any rights to compensation or damages in consequence of the termination of his office, engagement or appointment with any company for any reason whatsoever, whether lawful or not, in so far as those rights arise, or may arise, from his ceasing to have rights under or be entitled to the settlement of an Award under the Rules as a result of such termination or from the loss or diminution of value of such rights or entitlements. If necessary, the Participant’s terms of engagement, appointment or retention shall be varied accordingly”.</w:t>
      </w:r>
    </w:p>
    <w:p>
      <w:pPr>
        <w:spacing w:after="0" w:line="97" w:lineRule="exact"/>
        <w:rPr>
          <w:sz w:val="20"/>
          <w:szCs w:val="20"/>
          <w:color w:val="auto"/>
        </w:rPr>
      </w:pPr>
    </w:p>
    <w:p>
      <w:pPr>
        <w:ind w:left="540" w:right="32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w:t>
        <w:tab/>
        <w:t>In Section 2.15, the words “or any Settlement Price (as later defined in the Plan in respect of any Units)” shall be inserted following the words “Option Price” throughout.</w:t>
      </w:r>
    </w:p>
    <w:p>
      <w:pPr>
        <w:spacing w:after="0" w:line="67" w:lineRule="exact"/>
        <w:rPr>
          <w:sz w:val="20"/>
          <w:szCs w:val="20"/>
          <w:color w:val="auto"/>
        </w:rPr>
      </w:pPr>
    </w:p>
    <w:p>
      <w:pPr>
        <w:jc w:val="both"/>
        <w:ind w:left="540" w:right="20" w:hanging="431"/>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w:t>
        <w:tab/>
        <w:t>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ARTICLE 3 - RESTRICTED SHARE UNITS</w:t>
      </w:r>
    </w:p>
    <w:p>
      <w:pPr>
        <w:spacing w:after="0" w:line="135" w:lineRule="exact"/>
        <w:rPr>
          <w:sz w:val="20"/>
          <w:szCs w:val="20"/>
          <w:color w:val="auto"/>
        </w:rPr>
      </w:pPr>
    </w:p>
    <w:p>
      <w:pPr>
        <w:ind w:left="540" w:right="60" w:hanging="431"/>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3.1</w:t>
        <w:tab/>
        <w:t>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3.2</w:t>
        <w:tab/>
        <w:t>In Section 3.4(4), the words “is continuously employed by” shall be deleted and replaced with the words “in service with”.</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4. ARTICLE 4 - SETTLEMENT &amp; EXPIRY</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following new Section 4.1(6) shall be inserted:</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 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89" w:lineRule="exact"/>
        <w:rPr>
          <w:sz w:val="20"/>
          <w:szCs w:val="20"/>
          <w:color w:val="auto"/>
        </w:rPr>
      </w:pPr>
    </w:p>
    <w:p>
      <w:pPr>
        <w:ind w:left="540" w:right="78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w:t>
        <w:tab/>
        <w:t>In Section 4.3, the words “or termination” shall be inserted following the word “dismissal”; and the words “or early termination of their engagement” shall be inserted following the word “resignation”.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5. ARTICLE 5 – DEFERRED SHARE UNITS</w:t>
      </w:r>
    </w:p>
    <w:p>
      <w:pPr>
        <w:spacing w:after="0" w:line="135" w:lineRule="exact"/>
        <w:rPr>
          <w:sz w:val="20"/>
          <w:szCs w:val="20"/>
          <w:color w:val="auto"/>
        </w:rPr>
      </w:pPr>
    </w:p>
    <w:p>
      <w:pPr>
        <w:jc w:val="both"/>
        <w:ind w:left="540" w:right="20" w:hanging="431"/>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5.1</w:t>
        <w:tab/>
        <w:t>The following new Section 5.1(4) shall be inserted: “Notwithstanding the foregoing, it shall unless the Board determines that it is not required by applicable law be a term of each Deferred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G-25</w:t>
      </w:r>
    </w:p>
    <w:p>
      <w:pPr>
        <w:sectPr>
          <w:pgSz w:w="11900" w:h="16838" w:orient="portrait"/>
          <w:cols w:equalWidth="0" w:num="1">
            <w:col w:w="11100"/>
          </w:cols>
          <w:pgMar w:left="320" w:top="455" w:right="479" w:bottom="1440" w:gutter="0" w:footer="0" w:header="0"/>
        </w:sectPr>
      </w:pPr>
    </w:p>
    <w:bookmarkStart w:id="679" w:name="page680"/>
    <w:bookmarkEnd w:id="6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5.2</w:t>
        <w:tab/>
        <w:t>The following new section will be inserted as Section 5.3 and the remainder of Article 5 will be renumbered accordingly with all cross-references updated accordingly: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5.3 Election Notice; Elected Amount.</w:t>
      </w:r>
    </w:p>
    <w:p>
      <w:pPr>
        <w:spacing w:after="0" w:line="131" w:lineRule="exact"/>
        <w:rPr>
          <w:sz w:val="20"/>
          <w:szCs w:val="20"/>
          <w:color w:val="auto"/>
        </w:rPr>
      </w:pPr>
    </w:p>
    <w:p>
      <w:pPr>
        <w:ind w:left="1080" w:hanging="532"/>
        <w:spacing w:after="0" w:line="253" w:lineRule="auto"/>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once each Fiscal Year, to be paid up to one hundred percent (100%) of his or her Annual Board Retainer in the form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Units (the “</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99"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81"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81" w:lineRule="exact"/>
        <w:rPr>
          <w:sz w:val="20"/>
          <w:szCs w:val="20"/>
          <w:color w:val="auto"/>
        </w:rPr>
      </w:pPr>
    </w:p>
    <w:p>
      <w:pPr>
        <w:ind w:left="540" w:right="56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5.3</w:t>
        <w:tab/>
        <w:t>The following new subsection shall be inserted into Section 5.4 (as renumbered) as section 5.4(3), and the remainder of section 5.4 shall be renumbered accordingly with all cross-references updated accordingly:</w:t>
      </w:r>
    </w:p>
    <w:p>
      <w:pPr>
        <w:spacing w:after="0" w:line="67" w:lineRule="exact"/>
        <w:rPr>
          <w:sz w:val="20"/>
          <w:szCs w:val="20"/>
          <w:color w:val="auto"/>
        </w:rPr>
      </w:pPr>
    </w:p>
    <w:p>
      <w:pPr>
        <w:ind w:left="1080" w:right="160" w:hanging="539"/>
        <w:spacing w:after="0" w:line="312" w:lineRule="auto"/>
        <w:tabs>
          <w:tab w:leader="none" w:pos="1060" w:val="left"/>
        </w:tabs>
        <w:rPr>
          <w:sz w:val="20"/>
          <w:szCs w:val="20"/>
          <w:color w:val="auto"/>
        </w:rPr>
      </w:pPr>
      <w:r>
        <w:rPr>
          <w:rFonts w:ascii="Times New Roman" w:cs="Times New Roman" w:eastAsia="Times New Roman" w:hAnsi="Times New Roman"/>
          <w:sz w:val="17"/>
          <w:szCs w:val="17"/>
          <w:color w:val="auto"/>
        </w:rPr>
        <w:t>“(3)</w:t>
        <w:tab/>
        <w:t>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4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5.4</w:t>
        <w:tab/>
        <w:t>Section 5.5 (as renumbered) shall be deleted and replaced with the following:</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“Section5.5 Calculation.</w:t>
      </w:r>
    </w:p>
    <w:p>
      <w:pPr>
        <w:spacing w:after="0" w:line="131" w:lineRule="exact"/>
        <w:rPr>
          <w:sz w:val="20"/>
          <w:szCs w:val="20"/>
          <w:color w:val="auto"/>
        </w:rPr>
      </w:pPr>
    </w:p>
    <w:p>
      <w:pPr>
        <w:ind w:left="1080" w:hanging="532"/>
        <w:spacing w:after="0"/>
        <w:tabs>
          <w:tab w:leader="none" w:pos="108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130"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67"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6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5.5</w:t>
        <w:tab/>
        <w:t>The following new section 5.7(5) (as renumbered) shall be inserted into Section 5.7 (as renumbered):</w:t>
      </w:r>
    </w:p>
    <w:p>
      <w:pPr>
        <w:spacing w:after="0" w:line="117"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G-26</w:t>
      </w:r>
    </w:p>
    <w:p>
      <w:pPr>
        <w:sectPr>
          <w:pgSz w:w="11900" w:h="16838" w:orient="portrait"/>
          <w:cols w:equalWidth="0" w:num="1">
            <w:col w:w="11140"/>
          </w:cols>
          <w:pgMar w:left="320" w:top="455" w:right="439" w:bottom="1440" w:gutter="0" w:footer="0" w:header="0"/>
        </w:sectPr>
      </w:pPr>
    </w:p>
    <w:bookmarkStart w:id="680" w:name="page681"/>
    <w:bookmarkEnd w:id="6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66" w:lineRule="auto"/>
        <w:rPr>
          <w:sz w:val="20"/>
          <w:szCs w:val="20"/>
          <w:color w:val="auto"/>
        </w:rPr>
      </w:pPr>
      <w:r>
        <w:rPr>
          <w:rFonts w:ascii="Times New Roman" w:cs="Times New Roman" w:eastAsia="Times New Roman" w:hAnsi="Times New Roman"/>
          <w:sz w:val="18"/>
          <w:szCs w:val="18"/>
          <w:color w:val="auto"/>
        </w:rPr>
        <w:t>procure the payment of the Settlement Price referenced in Section 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6. ARTICLE 6 – INCENTIVE SHARE UNITS</w:t>
      </w:r>
    </w:p>
    <w:p>
      <w:pPr>
        <w:spacing w:after="0" w:line="135" w:lineRule="exact"/>
        <w:rPr>
          <w:sz w:val="20"/>
          <w:szCs w:val="20"/>
          <w:color w:val="auto"/>
        </w:rPr>
      </w:pPr>
    </w:p>
    <w:p>
      <w:pPr>
        <w:jc w:val="both"/>
        <w:ind w:left="540" w:hanging="431"/>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6.1</w:t>
        <w:tab/>
        <w:t>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 ARTICLE 7 – SETTLEMENT &amp; EXPIRY</w:t>
      </w:r>
    </w:p>
    <w:p>
      <w:pPr>
        <w:spacing w:after="0" w:line="135"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7.1</w:t>
        <w:tab/>
        <w:t>The following new section 7.1(6) shall be inserted into Section 7.1:</w:t>
      </w:r>
    </w:p>
    <w:p>
      <w:pPr>
        <w:spacing w:after="0" w:line="117"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G-27</w:t>
      </w:r>
    </w:p>
    <w:p>
      <w:pPr>
        <w:sectPr>
          <w:pgSz w:w="11900" w:h="16838" w:orient="portrait"/>
          <w:cols w:equalWidth="0" w:num="1">
            <w:col w:w="11080"/>
          </w:cols>
          <w:pgMar w:left="320" w:top="455" w:right="499" w:bottom="1440" w:gutter="0" w:footer="0" w:header="0"/>
        </w:sectPr>
      </w:pPr>
    </w:p>
    <w:bookmarkStart w:id="681" w:name="page682"/>
    <w:bookmarkEnd w:id="6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242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Delaware General Corporation Law</w:t>
      </w:r>
    </w:p>
    <w:p>
      <w:pPr>
        <w:spacing w:after="0" w:line="20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ARMADA ACQUISITION CORP. I </w:t>
      </w:r>
      <w:r>
        <w:rPr>
          <w:rFonts w:ascii="Times New Roman" w:cs="Times New Roman" w:eastAsia="Times New Roman" w:hAnsi="Times New Roman"/>
          <w:sz w:val="18"/>
          <w:szCs w:val="18"/>
          <w:color w:val="auto"/>
        </w:rPr>
        <w:t>(the “Corporation”), a corporation organized and existing under the laws of the State of Delaware, does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certify as follows:</w:t>
      </w:r>
    </w:p>
    <w:p>
      <w:pPr>
        <w:spacing w:after="0" w:line="64" w:lineRule="exact"/>
        <w:rPr>
          <w:sz w:val="20"/>
          <w:szCs w:val="20"/>
          <w:color w:val="auto"/>
        </w:rPr>
      </w:pPr>
    </w:p>
    <w:p>
      <w:pPr>
        <w:ind w:left="340" w:right="20" w:hanging="224"/>
        <w:spacing w:after="0" w:line="261" w:lineRule="auto"/>
        <w:tabs>
          <w:tab w:leader="none" w:pos="34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Armada Acquisition Corp. I. The Corporation’s Certificate of Incorporation was filed in the office of the Secretary of State of the State of Delaware on November 11, 2020 (the “Original Certificate”) and was subsequently amended and restated on February 3, 2021. A Second Amended and Restated Certificate of Incorporation was filed in the office of the Secretary of State of the State of Delaware on August 12, 2021 (the “Amended and Restated Certificate of Incorporation”).</w:t>
      </w:r>
    </w:p>
    <w:p>
      <w:pPr>
        <w:spacing w:after="0" w:line="85" w:lineRule="exact"/>
        <w:rPr>
          <w:rFonts w:ascii="Times New Roman" w:cs="Times New Roman" w:eastAsia="Times New Roman" w:hAnsi="Times New Roman"/>
          <w:sz w:val="18"/>
          <w:szCs w:val="18"/>
          <w:color w:val="auto"/>
        </w:rPr>
      </w:pPr>
    </w:p>
    <w:p>
      <w:pPr>
        <w:ind w:left="340" w:right="320" w:hanging="224"/>
        <w:spacing w:after="0" w:line="282" w:lineRule="auto"/>
        <w:tabs>
          <w:tab w:leader="none" w:pos="34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amends the Amended and Restated Certificate of Incorporation of the Corporation.</w:t>
      </w:r>
    </w:p>
    <w:p>
      <w:pPr>
        <w:spacing w:after="0" w:line="67" w:lineRule="exact"/>
        <w:rPr>
          <w:rFonts w:ascii="Times New Roman" w:cs="Times New Roman" w:eastAsia="Times New Roman" w:hAnsi="Times New Roman"/>
          <w:sz w:val="18"/>
          <w:szCs w:val="18"/>
          <w:color w:val="auto"/>
        </w:rPr>
      </w:pPr>
    </w:p>
    <w:p>
      <w:pPr>
        <w:ind w:left="340" w:right="180" w:hanging="224"/>
        <w:spacing w:after="0" w:line="266" w:lineRule="auto"/>
        <w:tabs>
          <w:tab w:leader="none" w:pos="34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Amended and Restated Certificate of Incorporation was duly adopted by the affirmative vote of the holders of a majority of the voting power of all of the outstanding shares of the capital stock of the Corporation entitled to vote generally at a meeting of stockholders in accordance with the provisions of Section 242 of the General Corporation Law of the State of Delaware (the “DGCL”).</w:t>
      </w:r>
    </w:p>
    <w:p>
      <w:pPr>
        <w:spacing w:after="0" w:line="8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Section E of Article SIXTH is deleted in its entirety and replaced with the following: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2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Armada Acquisition Corp. I has caused this Amendment to the Amended and Restated Certificate to be duly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name and on its behalf by an authorized officer as of this [x]th day of         , 2024.</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4345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Stephen P. Herbert</w:t>
      </w:r>
    </w:p>
    <w:p>
      <w:pPr>
        <w:spacing w:after="0" w:line="23"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55" w:right="439" w:bottom="1440" w:gutter="0" w:footer="0" w:header="0"/>
        </w:sectPr>
      </w:pPr>
    </w:p>
    <w:bookmarkStart w:id="682" w:name="page683"/>
    <w:bookmarkEnd w:id="6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TO STOCK ESCROW AGREEMENT</w:t>
      </w:r>
    </w:p>
    <w:p>
      <w:pPr>
        <w:spacing w:after="0" w:line="22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THIS AMENDMENT TO THE STOCK ESCROW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[x], 2024, by and between Armada Acquisition Corp. I,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Armada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Capitalized terms contained in this Amendment, but not specifically defined in this Amendment, shall have the meanings ascribed to such terms in the Stock Escrow Agreement (as defined below).</w:t>
      </w:r>
    </w:p>
    <w:p>
      <w:pPr>
        <w:spacing w:after="0" w:line="176"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previously entered into a stock escrow agreement, dated August 12, 2021, with the Escrow Agent,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(which agreement and any and all agreements heretofore supplemental thereto are herein collectively referred to as the “</w:t>
      </w:r>
      <w:r>
        <w:rPr>
          <w:rFonts w:ascii="Times New Roman" w:cs="Times New Roman" w:eastAsia="Times New Roman" w:hAnsi="Times New Roman"/>
          <w:sz w:val="18"/>
          <w:szCs w:val="18"/>
          <w:b w:val="1"/>
          <w:bCs w:val="1"/>
          <w:color w:val="auto"/>
        </w:rPr>
        <w:t>Stock 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governing the terms of the escrow;</w:t>
      </w:r>
    </w:p>
    <w:p>
      <w:pPr>
        <w:spacing w:after="0" w:line="171"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Sponsor entered into a subscription agreement, dated December 12, 2023 (the “</w:t>
      </w:r>
      <w:r>
        <w:rPr>
          <w:rFonts w:ascii="Times New Roman" w:cs="Times New Roman" w:eastAsia="Times New Roman" w:hAnsi="Times New Roman"/>
          <w:sz w:val="18"/>
          <w:szCs w:val="18"/>
          <w:b w:val="1"/>
          <w:bCs w:val="1"/>
          <w:i w:val="1"/>
          <w:iCs w:val="1"/>
          <w:color w:val="auto"/>
        </w:rPr>
        <w:t>Polar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Polar Multi-Strategy Master Fund (“</w:t>
      </w:r>
      <w:r>
        <w:rPr>
          <w:rFonts w:ascii="Times New Roman" w:cs="Times New Roman" w:eastAsia="Times New Roman" w:hAnsi="Times New Roman"/>
          <w:sz w:val="18"/>
          <w:szCs w:val="18"/>
          <w:b w:val="1"/>
          <w:bCs w:val="1"/>
          <w:i w:val="1"/>
          <w:iCs w:val="1"/>
          <w:color w:val="auto"/>
        </w:rPr>
        <w:t>Polar</w:t>
      </w:r>
      <w:r>
        <w:rPr>
          <w:rFonts w:ascii="Times New Roman" w:cs="Times New Roman" w:eastAsia="Times New Roman" w:hAnsi="Times New Roman"/>
          <w:sz w:val="18"/>
          <w:szCs w:val="18"/>
          <w:color w:val="auto"/>
        </w:rPr>
        <w:t>”), pursuant to which Polar agrees to make certain capital contributions in exchange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of the Sponsor to transfer 880,000 shares of common stock (the “</w:t>
      </w:r>
      <w:r>
        <w:rPr>
          <w:rFonts w:ascii="Times New Roman" w:cs="Times New Roman" w:eastAsia="Times New Roman" w:hAnsi="Times New Roman"/>
          <w:sz w:val="18"/>
          <w:szCs w:val="18"/>
          <w:b w:val="1"/>
          <w:bCs w:val="1"/>
          <w:i w:val="1"/>
          <w:iCs w:val="1"/>
          <w:color w:val="auto"/>
        </w:rPr>
        <w:t>Subscription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3.2 of the Stock Escrow Agreement provides that the Escrow Agent is required to hold the shares in escrow until 180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consummation of the business combination.</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facilitate the transactions contemplated by the Polar Subscription Agreement the parties wish to amend the Stock 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allow for the transfer of the Subscription Shares prior to completion of the Escrow Period.</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6.3 of the Stock Escrow Agreement provides that the Company, the Sponsor, and the Escrow Agent may amend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Agreement in writing signed by each of the parties thereto; and</w:t>
      </w:r>
    </w:p>
    <w:p>
      <w:pPr>
        <w:spacing w:after="0" w:line="155"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Original Agreement to, among other things, reflect the amendment to the Original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Trust Amendment.</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and intending to be legally bound hereby, the parties hereto agree as follows:</w:t>
      </w:r>
    </w:p>
    <w:p>
      <w:pPr>
        <w:spacing w:after="0" w:line="51" w:lineRule="exact"/>
        <w:rPr>
          <w:sz w:val="20"/>
          <w:szCs w:val="20"/>
          <w:color w:val="auto"/>
        </w:rPr>
      </w:pPr>
    </w:p>
    <w:p>
      <w:pPr>
        <w:ind w:left="740" w:hanging="184"/>
        <w:spacing w:after="0"/>
        <w:tabs>
          <w:tab w:leader="none" w:pos="74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Stock Escrow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 of the Stock Escrow Agreement is hereby amended to add the following sentence to the end of the paragraph.</w:t>
      </w:r>
    </w:p>
    <w:p>
      <w:pPr>
        <w:spacing w:after="0" w:line="225"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this Section 3.2, upon written request by the Company, the Escrow Agent shall distribute up to 880,000 Escrow Shares held by the Sponsor prior to the expiration of the Escrow Period as instructed by the Company in its written request.”</w:t>
      </w:r>
    </w:p>
    <w:p>
      <w:pPr>
        <w:spacing w:after="0" w:line="162" w:lineRule="exact"/>
        <w:rPr>
          <w:sz w:val="20"/>
          <w:szCs w:val="20"/>
          <w:color w:val="auto"/>
        </w:rPr>
      </w:pPr>
    </w:p>
    <w:p>
      <w:pPr>
        <w:ind w:left="740" w:hanging="184"/>
        <w:spacing w:after="0"/>
        <w:tabs>
          <w:tab w:leader="none" w:pos="74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80" w:firstLine="987"/>
        <w:spacing w:after="0" w:line="289" w:lineRule="auto"/>
        <w:tabs>
          <w:tab w:leader="none" w:pos="1356" w:val="left"/>
        </w:tabs>
        <w:numPr>
          <w:ilvl w:val="1"/>
          <w:numId w:val="6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Stock Escrow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on following page.</w:t>
      </w:r>
    </w:p>
    <w:p>
      <w:pPr>
        <w:sectPr>
          <w:pgSz w:w="11900" w:h="16838" w:orient="portrait"/>
          <w:cols w:equalWidth="0" w:num="1">
            <w:col w:w="11140"/>
          </w:cols>
          <w:pgMar w:left="320" w:top="455" w:right="439" w:bottom="1440" w:gutter="0" w:footer="0" w:header="0"/>
        </w:sectPr>
      </w:pPr>
    </w:p>
    <w:bookmarkStart w:id="683" w:name="page684"/>
    <w:bookmarkEnd w:id="6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P. Herbert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ARMADA SPONSOR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Stephen P. Herbert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Stephen P. Herbert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Douglas M. Lurio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Douglas M. Lurio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Stacy Aqui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Stacy Aqui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11140"/>
          </w:cols>
          <w:pgMar w:left="320" w:top="455" w:right="439" w:bottom="1440" w:gutter="0" w:footer="0" w:header="0"/>
        </w:sectPr>
      </w:pPr>
    </w:p>
    <w:bookmarkStart w:id="684" w:name="page685"/>
    <w:bookmarkEnd w:id="6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251460</wp:posOffset>
            </wp:positionV>
            <wp:extent cx="1457325" cy="6083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45732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Armada Acquisition Corp. 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Suite 3120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2005 Market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Members of the Board of Directors:</w:t>
      </w:r>
    </w:p>
    <w:p>
      <w:pPr>
        <w:spacing w:after="0" w:line="11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understand that Armada Acquisition Corp. I, a Delaware corporation (“</w:t>
      </w:r>
      <w:r>
        <w:rPr>
          <w:rFonts w:ascii="Times New Roman" w:cs="Times New Roman" w:eastAsia="Times New Roman" w:hAnsi="Times New Roman"/>
          <w:sz w:val="18"/>
          <w:szCs w:val="18"/>
          <w:u w:val="single" w:color="auto"/>
          <w:color w:val="auto"/>
        </w:rPr>
        <w:t>Armada</w:t>
      </w:r>
      <w:r>
        <w:rPr>
          <w:rFonts w:ascii="Times New Roman" w:cs="Times New Roman" w:eastAsia="Times New Roman" w:hAnsi="Times New Roman"/>
          <w:sz w:val="18"/>
          <w:szCs w:val="18"/>
          <w:color w:val="auto"/>
        </w:rPr>
        <w:t>”), proposes to enter into a Business Combination Agreement, originally dated as of December 16, 2021 and amended as of March 31, 2022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Armada, Rezolve Merger Sub, Inc., a Delaware corporation (“</w:t>
      </w:r>
      <w:r>
        <w:rPr>
          <w:rFonts w:ascii="Times New Roman" w:cs="Times New Roman" w:eastAsia="Times New Roman" w:hAnsi="Times New Roman"/>
          <w:sz w:val="18"/>
          <w:szCs w:val="18"/>
          <w:u w:val="single" w:color="auto"/>
          <w:color w:val="auto"/>
        </w:rPr>
        <w:t>Rezolve Merger Sub</w:t>
      </w:r>
      <w:r>
        <w:rPr>
          <w:rFonts w:ascii="Times New Roman" w:cs="Times New Roman" w:eastAsia="Times New Roman" w:hAnsi="Times New Roman"/>
          <w:sz w:val="18"/>
          <w:szCs w:val="18"/>
          <w:color w:val="auto"/>
        </w:rPr>
        <w:t>”), and Rezolve Limited, a private limited liability company registered under the laws of England and Wales with registration number 09773823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 which Armada will merge with and into Rezolve Merger Sub, with Armada continuing as the surviving entity. Each issued and outstanding share of common stock of Armada (“</w:t>
      </w:r>
      <w:r>
        <w:rPr>
          <w:rFonts w:ascii="Times New Roman" w:cs="Times New Roman" w:eastAsia="Times New Roman" w:hAnsi="Times New Roman"/>
          <w:sz w:val="18"/>
          <w:szCs w:val="18"/>
          <w:u w:val="single" w:color="auto"/>
          <w:color w:val="auto"/>
        </w:rPr>
        <w:t>Armada Common Stock</w:t>
      </w:r>
      <w:r>
        <w:rPr>
          <w:rFonts w:ascii="Times New Roman" w:cs="Times New Roman" w:eastAsia="Times New Roman" w:hAnsi="Times New Roman"/>
          <w:sz w:val="18"/>
          <w:szCs w:val="18"/>
          <w:color w:val="auto"/>
        </w:rPr>
        <w:t>”) immediately prior to the effective time of the Merger (the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will be exchanged for one Company Ordinary Share; (ii) each issued and outstanding warrant of Armada (an “</w:t>
      </w:r>
      <w:r>
        <w:rPr>
          <w:rFonts w:ascii="Times New Roman" w:cs="Times New Roman" w:eastAsia="Times New Roman" w:hAnsi="Times New Roman"/>
          <w:sz w:val="18"/>
          <w:szCs w:val="18"/>
          <w:u w:val="single" w:color="auto"/>
          <w:color w:val="auto"/>
        </w:rPr>
        <w:t>Armada Warrant</w:t>
      </w:r>
      <w:r>
        <w:rPr>
          <w:rFonts w:ascii="Times New Roman" w:cs="Times New Roman" w:eastAsia="Times New Roman" w:hAnsi="Times New Roman"/>
          <w:sz w:val="18"/>
          <w:szCs w:val="18"/>
          <w:color w:val="auto"/>
        </w:rPr>
        <w:t>”) immediately prior to the Merger Effective Time will be exchanged for one warrant in the capital of the Company (a “</w:t>
      </w:r>
      <w:r>
        <w:rPr>
          <w:rFonts w:ascii="Times New Roman" w:cs="Times New Roman" w:eastAsia="Times New Roman" w:hAnsi="Times New Roman"/>
          <w:sz w:val="18"/>
          <w:szCs w:val="18"/>
          <w:u w:val="single" w:color="auto"/>
          <w:color w:val="auto"/>
        </w:rPr>
        <w:t>Company Public Warrant</w:t>
      </w:r>
      <w:r>
        <w:rPr>
          <w:rFonts w:ascii="Times New Roman" w:cs="Times New Roman" w:eastAsia="Times New Roman" w:hAnsi="Times New Roman"/>
          <w:sz w:val="18"/>
          <w:szCs w:val="18"/>
          <w:color w:val="auto"/>
        </w:rPr>
        <w:t>”); (iii) each issued and outstanding unit of Armada (an “</w:t>
      </w:r>
      <w:r>
        <w:rPr>
          <w:rFonts w:ascii="Times New Roman" w:cs="Times New Roman" w:eastAsia="Times New Roman" w:hAnsi="Times New Roman"/>
          <w:sz w:val="18"/>
          <w:szCs w:val="18"/>
          <w:u w:val="single" w:color="auto"/>
          <w:color w:val="auto"/>
        </w:rPr>
        <w:t>Armada Unit</w:t>
      </w:r>
      <w:r>
        <w:rPr>
          <w:rFonts w:ascii="Times New Roman" w:cs="Times New Roman" w:eastAsia="Times New Roman" w:hAnsi="Times New Roman"/>
          <w:sz w:val="18"/>
          <w:szCs w:val="18"/>
          <w:color w:val="auto"/>
        </w:rPr>
        <w:t>”) immediately prior to the Merger Effective Time will be separated into its component parts (one share of Armada Common Stock and one-half of one Armada Warrant), with each share of Armada Common Stock to be exchanged for one Company Ordinary Share. As a result of the Business Combination, the Company will become a new public company, and Armada will become a wholly owned subsidiary of the Company.</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been advised that the Transaction will result in the shareholders of the Company holding a number of Company Ordinary Shares equal to</w:t>
      </w:r>
    </w:p>
    <w:p>
      <w:pPr>
        <w:spacing w:after="0" w:line="27" w:lineRule="exact"/>
        <w:rPr>
          <w:sz w:val="20"/>
          <w:szCs w:val="20"/>
          <w:color w:val="auto"/>
        </w:rPr>
      </w:pPr>
    </w:p>
    <w:p>
      <w:pPr>
        <w:ind w:left="120" w:right="60" w:hanging="4"/>
        <w:spacing w:after="0" w:line="253" w:lineRule="auto"/>
        <w:tabs>
          <w:tab w:leader="none" w:pos="415"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(x) $1,750,000,000 by (y) $10.00 minus (B) the Outstanding Warrant Number and minus (C) the Acquisition Shares (to the extent such Acquisition Shares are not already issued on or prior to the Company Reorganization Date). The terms of the Transaction are more fully set forth in the Business Combination Agreement and capitalized terms used but not defined herein have the meanings ascribed to such terms in the Business Combination Agreement.</w:t>
      </w:r>
    </w:p>
    <w:p>
      <w:pPr>
        <w:spacing w:after="0" w:line="18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You have requested our opinion as to (i) the fairness, from a financial point of view, to Armada of the Aggregate Stock Consideration under the Business Combination Agreement, and (ii) whether the Company has a fair market value equal to at least 80 percent of the balance of funds in Armada’s trust account (excluding deferred underwriting commissions and taxes payable). This letter supersedes our letter dated December 16, 2021.</w:t>
      </w:r>
    </w:p>
    <w:p>
      <w:pPr>
        <w:spacing w:after="0" w:line="17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as a customary part of our investment banking business, are continually engaged in performing financial analyses regarding businesses and their securities in connection with acquisitions, negotiated underwritings, competitive biddings, secondary distributions of listed and unlisted securities, private placements, and other transactions and for estate, corporate and other purposes. We have been engaged by the Board of Directors of Armada to render the opinions set forth below (the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to it and we will receive a fee of $1,150,000 from Armada for providing the Opinions, of which $100,000 was paid on December 16, 2021, $20,000 is payable upon delivery of the Opinions, and the balance is payable upon closing of the Transaction. In addition, Armada has agreed to reimburse certain of our expenses arising, and indemnify us against certain liabilities that may arise, out of our engagement relating to providing the Opinion. We have not been requested to, and did not,</w:t>
      </w:r>
    </w:p>
    <w:p>
      <w:pPr>
        <w:sectPr>
          <w:pgSz w:w="11900" w:h="16838" w:orient="portrait"/>
          <w:cols w:equalWidth="0" w:num="1">
            <w:col w:w="11140"/>
          </w:cols>
          <w:pgMar w:left="320" w:top="455" w:right="439" w:bottom="1440" w:gutter="0" w:footer="0" w:header="0"/>
        </w:sectPr>
      </w:pPr>
    </w:p>
    <w:bookmarkStart w:id="685" w:name="page686"/>
    <w:bookmarkEnd w:id="6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340" w:hanging="224"/>
        <w:spacing w:after="0"/>
        <w:tabs>
          <w:tab w:leader="none" w:pos="3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negotiations regarding the Business Combination Agreement, (ii) solicit any expressions of interest from any other parties regarding</w:t>
      </w:r>
    </w:p>
    <w:p>
      <w:pPr>
        <w:spacing w:after="0" w:line="27"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combination with Armada or any other alternative transaction or (iii) advise the Board of Directors of Armada or any other party regarding alternatives to the Transaction. In addition, we were not requested to and did not provide advice regarding the structure or any other aspect of the Transaction, or to provide services other than the delivery of the Opinion. We have not otherwise acted as financial advisor to any party to the Transaction. On August 12, 2021, we entered into an Underwriting Agreement with Armada, under which we received 1% of the gross proceeds of Armada’s initial public offering. Such amount totaled $1,500,000. On August 12, 2021, we entered into a Business Combination Marketing Agreement with Armada, under which we are entitled to receive (a) a cash advisory fee of 2.25% of the gross proceeds of Armada’s initial public offering; (b) a capital markets advisory fee of $2,500,000; and (c) a finder fee equal to 1% of the total consideration if we introduce Armanda to a target with which a business combination is completed. The fees under the Business Combination Marketing Agreement are payable upon the closing of Armada’s initial business combination. In the ordinary course of our business, we and our affiliates may actively trade securities of Armada for our own account or the account of our customers and, accordingly, we may hold a long or short position in such securities. We may seek to be engaged for compensation in the future to perform investment banking services for Armada.</w:t>
      </w:r>
    </w:p>
    <w:p>
      <w:pPr>
        <w:spacing w:after="0" w:line="19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connection with our review of the Transaction and in arriving at our Opinions, we have made such reviews, analyses, and inquiries as we have deemed necessary and appropriate under the circumstances. Among other things, we have reviewed:</w:t>
      </w:r>
    </w:p>
    <w:p>
      <w:pPr>
        <w:spacing w:after="0" w:line="67" w:lineRule="exact"/>
        <w:rPr>
          <w:sz w:val="20"/>
          <w:szCs w:val="20"/>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terms of the draft of the Business Combination Agreement, dated March 8, 2022;</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Registration Statement on Form S-1, as amended, and Final Prospectus filed under Rule 424;</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Armada’s Quarterly Report on Form 10-Q and other reports filed with the Securities and Exchange Commission;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financial statements for the calendar year ended December 31, 2020;</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revised projected financial statements for the calendar years ending December 31, 2021 through December 31, 2024, which were revised in March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roadshow presentation dated December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financial and business information provided to Northland by Armada, the Company, and their advisors;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information, estimates, and financial and operations forecasts for Rezolve, prepared by management of Armada or the Company;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releases issued by Armada and the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reports and research reports, including KPMG’s Commercial Due Diligence report dated November 3,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of the side letter between Armada Sponsor, LLC and the Company dated March 28, 2022;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historical price and trading activity for the common stock of Armada, compared to certain financial stock market information for Armada with that similar information for certain other companies the securities of which are publicly traded, and reviewed the financial terms of certain recent business combinations, and other studies and analyses it deemed appropriate.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participated in conference calls with Stephen Herbert, Chairman and CEO of Armada, and Douglas Lurio, President and Director of Armada.</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we have conducted such other analyses, examinations, and inquiries and considered such other financial, economic and market criteria as we have deemed necessary and appropriate in arriving at our Opinions.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120"/>
          </w:cols>
          <w:pgMar w:left="320" w:top="455" w:right="459" w:bottom="1440" w:gutter="0" w:footer="0" w:header="0"/>
        </w:sectPr>
      </w:pPr>
    </w:p>
    <w:bookmarkStart w:id="686" w:name="page687"/>
    <w:bookmarkEnd w:id="6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reviewing the Transaction, financial analyses, and in rendering our Opinions, we have relied upon and assumed, without independent verification, the accuracy and completeness of all data, material and other information furnished, or otherwise made available, to us, discussed with or reviewed by us, or publicly available, and assume no responsibility regarding such data, material, and other information. In addition, Armada’s management advised us, and we have assumed with your permission, that the financial projections reviewed by us have been reasonably prepared in good faith on bases reflecting the best available estimates and judgments of Armada’s management as to the future financial results and condition of the Company and we express no opinion regarding such projections or the assumptions on which they are based. We have relied upon Armada to advise us promptly if any information provided became inaccurate or had to be updated during the period of our review. If the foregoing assumptions are inaccurate, our Opinions could be materially affected. Armada does not publicly disclose internal financial information of the type provided to us in connection with our review of the Transaction. As a result, such information was prepared for financial planning purposes and was not prepared with the expectation of public disclosure.</w:t>
      </w:r>
    </w:p>
    <w:p>
      <w:pPr>
        <w:spacing w:after="0" w:line="19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you are aware, the credit, financial, and stock markets have from time-to-time experienced unusual volatility, and we express no opinion or view as to any potential effects of such volatility on the Transaction and the Opinions do not address potential developments in any such markets. In addition, we express no opinion or view as to any potential effects of the COVID-19 pandemic on the Transaction or Armada.</w:t>
      </w:r>
    </w:p>
    <w:p>
      <w:pPr>
        <w:spacing w:after="0" w:line="176"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there has been no change in the business, assets, liabilities, financial condition, results of operations, cash flows or prospects of since the respective dates of the most recent financial statements and other information, financial or otherwise, provided to us that would be material to our analyses or our Opinions, and there is no information or any facts that would make the information reviewed by us incomplete or misleading.</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have assumed that the final form of the Business Combination Agreement will be substantially similar to the draft we reviewed, dated March 8, 2022 without modification of material terms or conditions. We have assumed that the Transaction will be consummated under the terms of the Business Combination Agreement without amendments thereto and without waiver by any party of any conditions or obligations thereunder. In arriving at our Opinions, we have assumed that all the regulatory approvals and consents required for the Transaction will be obtained in a manner that will not adversely affect Armada or alter the terms of the Transaction. Without limiting the generality of the foregoing, we have, for purposes of our analyses of the Aggregate Stock Consideration, assumed the financial projections furnished to us by Armada are accurate and have further assumed there will be no adjustment to the consideration for balance sheet or other items.</w:t>
      </w:r>
    </w:p>
    <w:p>
      <w:pPr>
        <w:spacing w:after="0" w:line="189"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7"/>
          <w:szCs w:val="17"/>
          <w:color w:val="auto"/>
        </w:rPr>
        <w:t>In arriving at our Opinions, we have performed no appraisals or valuations of any specific assets or liabilities (fixed, contingent, or other) of the Company, including any intellectual property for which the Company might receive royalty or licensing fees, and we have not been furnished with any such appraisals or valuations, and have made no physical inspection of the property or assets of the Company. We express no opinion regarding the liquidation value of any entity. In arriving at the Opinions set forth below, we have undertaken no independent analysis of any pending or threatened litigation, governmental proceedings or investigations, possible unasserted claims or other contingent liabilities, to which any of the Company or its affiliates is a party or may be subject and at the Company’s o direction and with its consent, in arriving at our Opinions, we have made no assumption about and therefore have not considered, the possible assertion of claims, outcomes, damages, or recoveries arising out of any such matters.</w:t>
      </w:r>
    </w:p>
    <w:p>
      <w:pPr>
        <w:spacing w:after="0" w:line="17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None of the companies or transaction we may have used in any analysis for purposes of comparison is identical to the Company or the Transaction. Accordingly, our analysis of the results of the comparisons is not mathematical; rather, it involves complex considerations and judgments about differences in the companies and transactions to which the Company and the Transaction were compared and other factors that could affect the public trading value or transaction value of the companies or transactions. We also have considered no potential judicial, legislative, or regulatory changes pending or being considered or that may be adopted by any judicial,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J-3</w:t>
      </w:r>
    </w:p>
    <w:p>
      <w:pPr>
        <w:sectPr>
          <w:pgSz w:w="11900" w:h="16838" w:orient="portrait"/>
          <w:cols w:equalWidth="0" w:num="1">
            <w:col w:w="11120"/>
          </w:cols>
          <w:pgMar w:left="320" w:top="455" w:right="459" w:bottom="1440" w:gutter="0" w:footer="0" w:header="0"/>
        </w:sectPr>
      </w:pPr>
    </w:p>
    <w:bookmarkStart w:id="687" w:name="page688"/>
    <w:bookmarkEnd w:id="6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governmental, or regulatory bodies or any potential changes in accounting methods or generally accepted accounting principles that may be adopted.</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Opinions is based upon the financial, market, economic, and other conditions that exist on, and the information made available to us as of, the date hereof. It should be understood that subsequent developments may affect the Opinions and that we disclaim any undertaking or obligation to advise any person of any change in any fact or matter affecting the Opinions that may come or be brought to our attention after the date of the Opinions. We have not undertaken to reaffirm or revise the Opinions or otherwise comment upon any events after the date hereof and have no obligation to update, revise or reaffirm the Opinions.</w:t>
      </w:r>
    </w:p>
    <w:p>
      <w:pPr>
        <w:spacing w:after="0" w:line="183"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Consistent with applicable legal and regulatory requirements, we have adopted policies and procedures to establish and maintain the independence of our research department and personnel. Our research analysts may hold opinions, make statements or recommendations, or publish research reports regarding the Company or the Transaction and other participants in the Transaction that differ from the views of our investment banking personnel.</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Opinions is furnished under our engagement letter dated December 6, 2021 (as supplemented on March 29, 2022, the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The Opinions are directed to the Board of Directors of Armada in connection with its consideration of the Transaction. The Opinions are furnished solely to be used by the Board of Directors of Armada as only one input to consider in its process of analyzing the Transaction and is not intended to be and does not constitute a recommendation to any member of the Board of Directors or any stockholder of Armada as to how such director or stockholder should act or vote regarding the Transaction or any other matter. Notwithstanding the foregoing, the Board of Directors of Armada may rely upon the Opinions. The Opinions delivered to the Board of Directors are subject to the conditions, scope of engagement, limitations, and understandings in this opinion and in the Engagement Letter.</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Opinions address solely the fairness, from a financial point of view, to Armada of the Aggregate Stock Consideration under the Agreement and the fair market value of the Company. We were not requested to opine as to, and the Opinions do not address, the basic business decision to proceed with or effect the Transaction, or any solvency or fraudulent conveyance consideration relating to the Transaction. We express no opinion as to the relative merits of the Transaction as compared to any alternative business strategies or transactions that might exist for Armada or any other party or the effect of any other transaction in which Armada or any other party might engage. We express no opinion as to the amount, nature or fairness of the consideration or compensation to be received in or because of the Transaction by securityholders, officers, directors, or employees of the Company, or any other class of such persons, or relative to or in comparison with the Aggregate Stock Consideration. We have not been asked to consider, and the Opinions do not address, the solvency or viability of Armada to pay its obligations when they come due. We are not rendering any financial, legal, accounting, or other advice and understand that Armada is relying on its legal counsel and accounting advisors as to legal and accounting matters in connection with the Transaction.</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Preparing a fairness opinion is a complex, analytical process involving various determinations as to the most appropriate and relevant methods of financial analysis and applying those methods to the particular circumstances and is not necessarily susceptible to partial analysis or summary description. In arriving at the Opinions, we attributed no particular weight to any particular analysis or factor considered by us, but rather made qualitative judgments as to the significance and relevance of each analysis and factor. Several analytical methodologies were employed by us in our analyses, and no one method of analysis should be regarded as critical to the overall conclusion reached. Each analytical technique has inherent strengths and weaknesses, and the nature of the available information may further affect the value of particular techniques. Accordingly, we believe that our analyses must be considered as a whole and that selecting portions of our analyses and of the factors considered by us, without considering all analyses and factors in their entirety, could create a misleading or incomplete view of the evaluation process underlying the Opinions. The conclusion reached by us, therefore, is based on applying our own experience and judgment to all analyses and factors considered by us. The Opinions were reviewed and approved by the Northland Securities Fairness Opinion Committee.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J-4</w:t>
      </w:r>
    </w:p>
    <w:p>
      <w:pPr>
        <w:sectPr>
          <w:pgSz w:w="11900" w:h="16838" w:orient="portrait"/>
          <w:cols w:equalWidth="0" w:num="1">
            <w:col w:w="11120"/>
          </w:cols>
          <w:pgMar w:left="320" w:top="455" w:right="459" w:bottom="1440" w:gutter="0" w:footer="0" w:header="0"/>
        </w:sectPr>
      </w:pPr>
    </w:p>
    <w:bookmarkStart w:id="688" w:name="page689"/>
    <w:bookmarkEnd w:id="6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Opinions shall not be published, disclosed, or otherwise used, nor shall any public references to us be made, without our prior written approval. This letter and a summary thereof may be filed with or included in or with any proxy or information statement required to be filed by Armada with the Securities and Exchange Commission and delivered to the holders of Armada’s securities in connection with the Transaction. However, no reference to this letter or the Opinions in the proxy or information statement may be made without our written consent and subject to our approval of the language that references this letter or the Opinions, which consent we will not unreasonably withhold, condition, or delay.</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based upon such other factors as we consider relevant, it is our opinion that, as of the date hereof, (i) the Aggregate Stock Consideration under the Business Combination Agreement is fair, from a financial point of view, to Armada and (ii) the Company has a fair market value equal to at least 80 percent of the balance of funds in Armada’s trust account (excluding deferred underwriting commissions and taxes payable and subject to proportionate adjustments related to Nasdaq’s 80 percent test).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Northland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59715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J-5</w:t>
      </w:r>
    </w:p>
    <w:p>
      <w:pPr>
        <w:sectPr>
          <w:pgSz w:w="11900" w:h="16838" w:orient="portrait"/>
          <w:cols w:equalWidth="0" w:num="1">
            <w:col w:w="11120"/>
          </w:cols>
          <w:pgMar w:left="320" w:top="455" w:right="459" w:bottom="1440" w:gutter="0" w:footer="0" w:header="0"/>
        </w:sectPr>
      </w:pPr>
    </w:p>
    <w:bookmarkStart w:id="689" w:name="page690"/>
    <w:bookmarkEnd w:id="6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2099945" cy="7372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20999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Reference: 34-36-63609</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Mr. Stephen Herbert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1760 Market Street, Suite 602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Marshall &amp; Stevens Transaction Advisory Services LLC (referred to herein as “Marshall &amp; Stevens” or “we,” “us,” or “our”) has been engaged by Armada Acquisition Corp. I (“Armada” or the “Company”) for the sole benefit of and to advise the board of directors (the “Board”) in connection with the consideration by the Board of a possible acquisition of Rezolve Limited (“Rezolve” or the “Acquired Business”) in accordance with the terms of the Business Combination Agreement and Plan of Reorganization by and among Armada, Rezolve, and certain other parties and dated December 17, 2021, amended as of November 10, 2022, and as to be further amended and restated pursuant to the terms of an amendment and restatement deed to be dated June 16, 2023 (the “Business Combination Agreement”). We have been engaged to perform (1) an analysis of the reasonable range of value for the Acquired Business immediately prior to the Transaction and, for purposes of NASDAQ Listing Rule 5101-2(b), whether such values represent at least 80% of the value of the cash assets held in its trust account, excluding taxes payable on the interest earned on such account and assuming the company has no liabilities (including contingent liabilities that could result in claims against such assets) at the time of such advice and (2) a fairness analysis, from a financial point of view, of the purchase price to be paid by the Company for the Acquired Business all as set forth in our Engagement Letter dated February 16, 2023 and the accompanying (and by this reference incorporated herein) General Contractual Conditions therein (collectively, the “Agreement”). This letter shall serve as our opinion (the “Opinion”) as to the fairness to the Company, from a financial point of view, of the purchase price to be paid by the Company for the Acquired Business as referenced in and governed by that Agreement.</w:t>
      </w:r>
    </w:p>
    <w:p>
      <w:pPr>
        <w:spacing w:after="0" w:line="18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are advised, and have relied upon such advice with your approval, that the Transaction will be consummated as set forth in the Business Combination Agreement. We understand that the Transaction is expected to close (the “Closing”) by June 12, 2023, unless extended pursuant to the terms of the Business Combination Agreement (the “Transaction Date”). We are further advised, and have relied upon such advice with your approval, that the Transaction consists of an acquisition of the Acquired Business by the Company for consideration of One Billion Six Hundred Million Dollars ($1,600,000,000) (the “Purchase Price”) to be paid by the issuance to the equity holders of Rezolve of 160 million shares of the common stock (the “Transaction Shares”) of the surviving NASDAQ listed company (the “Surviving Company”) valued at $10 per share (“Parent Per Share Value”). We understand that the remainder of the common stock of the Surviving Company will be issued to the common shareholders of Armada again on the basis of a $10.00 per share value, and that the currently outstanding warrants of Armada will be assumed by the Surviving Company in each case without any changes in their rights, privileges and preferences or contract terms and that additional shares of the Surviving Company may be issued in a private placement (the “Pipe Transaction”) again at an issuance price of $10.00 per share. We understand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350 Fifth Avenue, Suite 4100, New York, NY 10118</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212.425.4300  ·  212.344.9731 fax   ·  www.marshall-stevens.com</w:t>
      </w:r>
    </w:p>
    <w:p>
      <w:pPr>
        <w:spacing w:after="0" w:line="93" w:lineRule="exact"/>
        <w:rPr>
          <w:sz w:val="20"/>
          <w:szCs w:val="20"/>
          <w:color w:val="auto"/>
        </w:rPr>
      </w:pPr>
    </w:p>
    <w:p>
      <w:pPr>
        <w:ind w:left="120"/>
        <w:spacing w:after="0"/>
        <w:tabs>
          <w:tab w:leader="none" w:pos="4120" w:val="left"/>
          <w:tab w:leader="none" w:pos="6920" w:val="left"/>
          <w:tab w:leader="none" w:pos="10720" w:val="left"/>
        </w:tabs>
        <w:rPr>
          <w:sz w:val="20"/>
          <w:szCs w:val="20"/>
          <w:color w:val="auto"/>
        </w:rPr>
      </w:pPr>
      <w:r>
        <w:rPr>
          <w:rFonts w:ascii="Times New Roman" w:cs="Times New Roman" w:eastAsia="Times New Roman" w:hAnsi="Times New Roman"/>
          <w:sz w:val="14"/>
          <w:szCs w:val="14"/>
          <w:color w:val="auto"/>
        </w:rPr>
        <w:t>Chicago</w:t>
      </w:r>
      <w:r>
        <w:rPr>
          <w:sz w:val="20"/>
          <w:szCs w:val="20"/>
          <w:color w:val="auto"/>
        </w:rPr>
        <w:tab/>
      </w:r>
      <w:r>
        <w:rPr>
          <w:rFonts w:ascii="Times New Roman" w:cs="Times New Roman" w:eastAsia="Times New Roman" w:hAnsi="Times New Roman"/>
          <w:sz w:val="14"/>
          <w:szCs w:val="14"/>
          <w:color w:val="auto"/>
        </w:rPr>
        <w:t>Los Angeles</w:t>
      </w:r>
      <w:r>
        <w:rPr>
          <w:sz w:val="20"/>
          <w:szCs w:val="20"/>
          <w:color w:val="auto"/>
        </w:rPr>
        <w:tab/>
      </w:r>
      <w:r>
        <w:rPr>
          <w:rFonts w:ascii="Times New Roman" w:cs="Times New Roman" w:eastAsia="Times New Roman" w:hAnsi="Times New Roman"/>
          <w:sz w:val="14"/>
          <w:szCs w:val="14"/>
          <w:color w:val="auto"/>
        </w:rPr>
        <w:t>New York</w:t>
      </w:r>
      <w:r>
        <w:rPr>
          <w:sz w:val="20"/>
          <w:szCs w:val="20"/>
          <w:color w:val="auto"/>
        </w:rPr>
        <w:tab/>
      </w:r>
      <w:r>
        <w:rPr>
          <w:rFonts w:ascii="Times New Roman" w:cs="Times New Roman" w:eastAsia="Times New Roman" w:hAnsi="Times New Roman"/>
          <w:sz w:val="14"/>
          <w:szCs w:val="14"/>
          <w:color w:val="auto"/>
        </w:rPr>
        <w:t>Tampa</w:t>
      </w:r>
    </w:p>
    <w:p>
      <w:pPr>
        <w:sectPr>
          <w:pgSz w:w="11900" w:h="16838" w:orient="portrait"/>
          <w:cols w:equalWidth="0" w:num="1">
            <w:col w:w="11140"/>
          </w:cols>
          <w:pgMar w:left="320" w:top="455" w:right="439" w:bottom="1440" w:gutter="0" w:footer="0" w:header="0"/>
        </w:sectPr>
      </w:pPr>
    </w:p>
    <w:bookmarkStart w:id="690" w:name="page691"/>
    <w:bookmarkEnd w:id="6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that the $10.00 per share Parent Per Share Value to be the estimated price at which the public stockholders of Armada will be entitled to redeem their Armada shares in connection with the Transaction (the “Redemption Price”).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Based on the fact that the Company is only recently formed, has no operating history, has no assets other than cash and its rights under the letter of intent dated September 7, 2021 (the “LOI”), and that its securities are thinly traded, we have assumed, with your approval, that the fair value of each of the shares of Common Stock to be issued in the Transaction is equivalent to the Parent Per Share Value and we have not performed any separate analysis regarding the fair value of the Transaction Shares. No opinion is expressed as to the fair market value of the shares to be issued by the Surviving Company in the Transaction.</w:t>
      </w:r>
    </w:p>
    <w:p>
      <w:pPr>
        <w:spacing w:after="0" w:line="18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understand that in connection with the Transaction, certain employees of Armada may enter into employment agreements with the surviving entity, and that certain equity of the Company may be reserved for issuance pursuant to stock bonus or incentive arrangements. Our Opinion will not address the fairness of such agreements or stock bonus or incentive arrangements. We further understand that in connection with the Transaction, the Company may make commitments with respect to the future financing or funding of the Acquired Business. Our Opinion will assign no value to such future financing or funding commitments or obligations. In addition, we understand that the Transaction contemplates certain changes in the rights, privileges, and preferences of the holders of the Company’s shares and certain changes in the composition of the Company’s management and board of directors. We have done no analysis of and express no opinion as to the fairness of such changes in rights, privileges, and preferences and/or in the changes to the composition of the Company’s management and board of directors.</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have been asked to advise the Board to the fairness, from a financial point of view, of the Purchase Price to be paid by the Company in the Transaction in the form of issuance of common stock of the surviving corporation to the shareholders of Rezolve. We have been asked to assume a Parent Per Share Value of $10.00 for the common stock of the Company and the Surviving Company. We have not been asked to render to any other person or entity besides the Board any opinion with respect to the fairness of the Purchase Price, and we specifically express no such opinion. We have not been engaged to serve as the financial advisor to the Board; we were not involved in the negotiation or structuring of the Transaction or the negotiation or structuring of the LOI or the Business Combination Agreement; we have not been involved in the raising of any funding for or with respect to, or associated with the Company and/or the Transaction or provided any advices with respect to such funding; and we have not been asked to consider any non-financial elements of the Transaction or any other alternatives that might be available to the Board or the Company.</w:t>
      </w:r>
    </w:p>
    <w:p>
      <w:pPr>
        <w:spacing w:after="0" w:line="192" w:lineRule="exact"/>
        <w:rPr>
          <w:sz w:val="20"/>
          <w:szCs w:val="20"/>
          <w:color w:val="auto"/>
        </w:rPr>
      </w:pPr>
    </w:p>
    <w:p>
      <w:pPr>
        <w:ind w:left="120" w:right="200"/>
        <w:spacing w:after="0" w:line="273" w:lineRule="auto"/>
        <w:rPr>
          <w:sz w:val="20"/>
          <w:szCs w:val="20"/>
          <w:color w:val="auto"/>
        </w:rPr>
      </w:pPr>
      <w:r>
        <w:rPr>
          <w:rFonts w:ascii="Times New Roman" w:cs="Times New Roman" w:eastAsia="Times New Roman" w:hAnsi="Times New Roman"/>
          <w:sz w:val="17"/>
          <w:szCs w:val="17"/>
          <w:color w:val="auto"/>
        </w:rPr>
        <w:t>With your consent, in establishing fair value, we have solely considered the equity value of Rezolve as of a valuation date of June 6, 2023 and prior to the Transaction and have not taken into consideration any possible consequences of the Transaction (either positive or negative). We have, with your consent, not considered the dilution effects of the issuance of common stock on the equity holders of the Company. Our services in rendering this opinion have been in our capacity as an independent valuation consultant and not as a fiduciary to the Board, the Company, the shareholders of the Company, the shareholders of Rezolve, or any other person or entity. We understand that this Opinion will be attached as an exhibit to the registration statement filed by the Company with the Securities and Exchange Commission (the “Registration Statement”) and have agree to the inclusion of this Opinion on the basis that the Company is solely responsible for truth, correctness, completeness and adequacy of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78105</wp:posOffset>
            </wp:positionV>
            <wp:extent cx="1457325" cy="53149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691" w:name="page692"/>
    <w:bookmarkEnd w:id="6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analysis, and inquiry as we, in the exercise of our professional judgment, have deemed necessary and appropriate under the circumstances. We have considered, among other things, the following information:</w:t>
      </w:r>
    </w:p>
    <w:p>
      <w:pPr>
        <w:spacing w:after="0" w:line="67" w:lineRule="exact"/>
        <w:rPr>
          <w:sz w:val="20"/>
          <w:szCs w:val="20"/>
          <w:color w:val="auto"/>
        </w:rPr>
      </w:pPr>
    </w:p>
    <w:p>
      <w:pPr>
        <w:jc w:val="both"/>
        <w:ind w:left="1080" w:right="60" w:hanging="424"/>
        <w:spacing w:after="0" w:line="266" w:lineRule="auto"/>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management interviews with Rezolve’s management. Topics addressed included, but were not limited to, transaction overview, business operations, product and service lines, financial results, projections, economic conditions and industry trends, market competitors, customer composition and various other topics related to business operations.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historical financial statements for the years ended December 31, 2020, December 31, 2021, and December 31, 2022, and for the three-month period ended March 31, 2023;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for Rezolve for the fiscal years ending December 31, 2023 through December 31, 2027;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presentations;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research reports;</w:t>
      </w:r>
    </w:p>
    <w:p>
      <w:pPr>
        <w:spacing w:after="0" w:line="12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industry and economic research, including, but not limited to, IBIS</w:t>
      </w:r>
      <w:r>
        <w:rPr>
          <w:rFonts w:ascii="Times New Roman" w:cs="Times New Roman" w:eastAsia="Times New Roman" w:hAnsi="Times New Roman"/>
          <w:sz w:val="18"/>
          <w:szCs w:val="18"/>
          <w:i w:val="1"/>
          <w:iCs w:val="1"/>
          <w:color w:val="auto"/>
        </w:rPr>
        <w:t>World</w:t>
      </w:r>
      <w:r>
        <w:rPr>
          <w:rFonts w:ascii="Times New Roman" w:cs="Times New Roman" w:eastAsia="Times New Roman" w:hAnsi="Times New Roman"/>
          <w:sz w:val="18"/>
          <w:szCs w:val="18"/>
          <w:color w:val="auto"/>
        </w:rPr>
        <w:t>, Capital IQ, Guide to Cost of Capital published by Duff &amp; Phelps LLC;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studies, and analyses as we deemed appropriate.</w:t>
      </w:r>
    </w:p>
    <w:p>
      <w:pPr>
        <w:spacing w:after="0" w:line="22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With your consent, we have i) relied upon the accuracy and completeness of the financial and supplemental information (a) provided by or on behalf of the Board, the Company and/or Rezolve or (b) which we have otherwise obtained from public sources or from private sources and which we believe, in the exercise of our professional judgment to be reasonably dependable, ii) not assumed responsibility for independent verification of such information, and iii) not conducted any independent valuation or appraisal of any specific assets of the Company or Rezolve or any appraisal or estimate of any specific liabilities of the Company or Rezolve. With respect to the relating to Rezolve, we have assumed, with your consent, that such projections have been reasonably prepared on the basis of and reflect the best currently available estimates and judgments of the management of Rezolve as to the future financial performance of that company and that management of the surviving corporation will be able to execute on the business plan underlying such projections and/or financial forecasts. With your consent, we assume no responsibility for, and express no view as to, such projections and/or financial forecasts or the assumptions on which they are based. Our Opinion assumes that there are no contingent or off-balance sheet assets or liabilities for the Company or Rezolve.</w:t>
      </w:r>
    </w:p>
    <w:p>
      <w:pPr>
        <w:spacing w:after="0" w:line="19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opinion is based upon economic, market and other conditions as they exist and can reasonably be evaluated on the date hereof and does not address the fairness of the Purchase Price as of any other date. In rendering our Opinion, we have assumed that the factual circumstances, agreements, and terms, as they existed at the date of the Opinion, will remain substantially unchanged through the time the Transaction is completed. It is understood that financial markets are subject to volatility, and our opinion does not purport to address potential developments in applicable financial markets.</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Opinion expressed herein has been prepared for the Board in connection with its consideration of the Transaction and may not be relied upon by any other person or entity or used for any other purpose.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71755</wp:posOffset>
            </wp:positionV>
            <wp:extent cx="1457325" cy="53149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692" w:name="page693"/>
    <w:bookmarkEnd w:id="6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of Armada Acquisition Corp. 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11,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does not constitute a recommendation to the Board or the shareholders of Company, the shareholders of Rezolve or any other person or entity as to any action the Board, the shareholders of Company, the shareholders of Rezolve or any other person or entity should take in connection with the Transaction or any aspect thereof. Our opinion does not address the merits of the Transaction or the underlying decision by the Board to engage in the Transaction or the relative merits of any alternatives that may be available to the Company. This Opinion addresses only the Purchase Price and does not address any other aspect of the Transaction. By way of example, our Opinion does not represent any advice as to the fairness of any matters of management compensation or of any fees paid or expenses incurred, any future funding or fund-raising commitments, or any changes in the rights, privileges and preferences of the holders of the Company’s shares or in the composition of the Company’s management and board of directors. Furthermore, our Opinion is not to be construed or deemed to be a solvency opinion or provide any advice as to legal, accounting or tax matters. This Opinion may not be reproduced, disseminated, quoted, or referred to at any time without our prior written consent.</w:t>
      </w:r>
    </w:p>
    <w:p>
      <w:pPr>
        <w:spacing w:after="0" w:line="188" w:lineRule="exact"/>
        <w:rPr>
          <w:sz w:val="20"/>
          <w:szCs w:val="20"/>
          <w:color w:val="auto"/>
        </w:rPr>
      </w:pPr>
    </w:p>
    <w:p>
      <w:pPr>
        <w:ind w:left="120" w:right="20"/>
        <w:spacing w:after="0" w:line="236" w:lineRule="auto"/>
        <w:rPr>
          <w:sz w:val="20"/>
          <w:szCs w:val="20"/>
          <w:color w:val="auto"/>
        </w:rPr>
      </w:pPr>
      <w:r>
        <w:rPr>
          <w:rFonts w:ascii="Times New Roman" w:cs="Times New Roman" w:eastAsia="Times New Roman" w:hAnsi="Times New Roman"/>
          <w:sz w:val="18"/>
          <w:szCs w:val="18"/>
          <w:color w:val="auto"/>
        </w:rPr>
        <w:t>Therefore, subject to the foregoing, it is our opinion that, as of the date hereof, based upon an analysis of the reasonable range of value for the Acquired Business immediately prior to the Transaction and, for purposes of NASDAQ Listing Rule 5101-2(b), such values represent at least 80% of the value of the cash assets held in its trust account, excluding taxes payable on the interest earned on such account and assuming the company has no liabilities (including contingent liabilities that could result in claims against such assets) at the date hereof.</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It is further our opinion that the Purchase Price to be paid by the Company to Rezolve in the Transaction in the form of the issuance of the common shares of the Surviving Company to the equity holders of Rezolve as provided in the Business Combination Agreement is fair to the Company from a financial point of view.</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Marshall &amp; Stevens Transaction Advisory Services, LLC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File No. 34-36-63609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6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It is our understanding that the cash in trust as of the date hereof is approximately Thirty-Seven Million Seven Hundred Thousand Dollars</w:t>
      </w:r>
    </w:p>
    <w:p>
      <w:pPr>
        <w:spacing w:after="0" w:line="1" w:lineRule="exact"/>
        <w:rPr>
          <w:rFonts w:ascii="Times New Roman" w:cs="Times New Roman" w:eastAsia="Times New Roman" w:hAnsi="Times New Roman"/>
          <w:sz w:val="27"/>
          <w:szCs w:val="27"/>
          <w:color w:val="auto"/>
          <w:vertAlign w:val="superscript"/>
        </w:rPr>
      </w:pPr>
    </w:p>
    <w:p>
      <w:pPr>
        <w:ind w:left="540" w:right="120"/>
        <w:spacing w:after="0" w:line="25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($36,700,000). Therefore, the 80% threshold is approximately Twenty-Nine Million, Three Hundred and Sixty Thousand Dollars ($36,700,000 x 80% = $29,360,000). Our estimates of fair market value of equity ranged from approximately One Billion Six Hundred Thirty Million Dollars ($1,630,000,000) to approximately One Billion Nine Hundred Twenty-Five Million Dollars ($1,925,000,000), with a midpoint of approximately One Billion Seven Hundred Seventy Million Dollars ($1,770,000,000).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87630</wp:posOffset>
            </wp:positionV>
            <wp:extent cx="1457325" cy="53149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2C77402"/>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5"/>
    </w:lvl>
  </w:abstractNum>
  <w:abstractNum w:abstractNumId="1">
    <w:nsid w:val="2BB5B1C6"/>
    <w:multiLevelType w:val="hybridMultilevel"/>
    <w:lvl w:ilvl="0">
      <w:lvlJc w:val="left"/>
      <w:lvlText w:val="(%1)"/>
      <w:numFmt w:val="lowerRoman"/>
      <w:start w:val="2"/>
    </w:lvl>
  </w:abstractNum>
  <w:abstractNum w:abstractNumId="2">
    <w:nsid w:val="66BE6B9"/>
    <w:multiLevelType w:val="hybridMultilevel"/>
    <w:lvl w:ilvl="0">
      <w:lvlJc w:val="left"/>
      <w:lvlText w:val="%1."/>
      <w:numFmt w:val="decimal"/>
      <w:start w:val="2"/>
    </w:lvl>
  </w:abstractNum>
  <w:abstractNum w:abstractNumId="3">
    <w:nsid w:val="62234363"/>
    <w:multiLevelType w:val="hybridMultilevel"/>
    <w:lvl w:ilvl="0">
      <w:lvlJc w:val="left"/>
      <w:lvlText w:val="(%1)"/>
      <w:numFmt w:val="lowerRoman"/>
      <w:start w:val="3"/>
    </w:lvl>
  </w:abstractNum>
  <w:abstractNum w:abstractNumId="4">
    <w:nsid w:val="66D385C9"/>
    <w:multiLevelType w:val="hybridMultilevel"/>
    <w:lvl w:ilvl="0">
      <w:lvlJc w:val="left"/>
      <w:lvlText w:val="2"/>
      <w:numFmt w:val="bullet"/>
      <w:start w:val="1"/>
    </w:lvl>
  </w:abstractNum>
  <w:abstractNum w:abstractNumId="5">
    <w:nsid w:val="596F6D8A"/>
    <w:multiLevelType w:val="hybridMultilevel"/>
    <w:lvl w:ilvl="0">
      <w:lvlJc w:val="left"/>
      <w:lvlText w:val="•"/>
      <w:numFmt w:val="bullet"/>
      <w:start w:val="1"/>
    </w:lvl>
  </w:abstractNum>
  <w:abstractNum w:abstractNumId="6">
    <w:nsid w:val="5749361F"/>
    <w:multiLevelType w:val="hybridMultilevel"/>
    <w:lvl w:ilvl="0">
      <w:lvlJc w:val="left"/>
      <w:lvlText w:val="(%1)"/>
      <w:numFmt w:val="lowerRoman"/>
      <w:start w:val="1"/>
    </w:lvl>
  </w:abstractNum>
  <w:abstractNum w:abstractNumId="7">
    <w:nsid w:val="73BC6770"/>
    <w:multiLevelType w:val="hybridMultilevel"/>
    <w:lvl w:ilvl="0">
      <w:lvlJc w:val="left"/>
      <w:lvlText w:val="(%1)"/>
      <w:numFmt w:val="decimal"/>
      <w:start w:val="1"/>
    </w:lvl>
  </w:abstractNum>
  <w:abstractNum w:abstractNumId="8">
    <w:nsid w:val="280E6897"/>
    <w:multiLevelType w:val="hybridMultilevel"/>
    <w:lvl w:ilvl="0">
      <w:lvlJc w:val="left"/>
      <w:lvlText w:val="(%1)"/>
      <w:numFmt w:val="decimal"/>
      <w:start w:val="2"/>
    </w:lvl>
  </w:abstractNum>
  <w:abstractNum w:abstractNumId="9">
    <w:nsid w:val="605138DE"/>
    <w:multiLevelType w:val="hybridMultilevel"/>
    <w:lvl w:ilvl="0">
      <w:lvlJc w:val="left"/>
      <w:lvlText w:val="•"/>
      <w:numFmt w:val="bullet"/>
      <w:start w:val="1"/>
    </w:lvl>
  </w:abstractNum>
  <w:abstractNum w:abstractNumId="10">
    <w:nsid w:val="2622AD0C"/>
    <w:multiLevelType w:val="hybridMultilevel"/>
    <w:lvl w:ilvl="0">
      <w:lvlJc w:val="left"/>
      <w:lvlText w:val="•"/>
      <w:numFmt w:val="bullet"/>
      <w:start w:val="1"/>
    </w:lvl>
  </w:abstractNum>
  <w:abstractNum w:abstractNumId="11">
    <w:nsid w:val="67997556"/>
    <w:multiLevelType w:val="hybridMultilevel"/>
    <w:lvl w:ilvl="0">
      <w:lvlJc w:val="left"/>
      <w:lvlText w:val="•"/>
      <w:numFmt w:val="bullet"/>
      <w:start w:val="1"/>
    </w:lvl>
  </w:abstractNum>
  <w:abstractNum w:abstractNumId="12">
    <w:nsid w:val="18333C89"/>
    <w:multiLevelType w:val="hybridMultilevel"/>
    <w:lvl w:ilvl="0">
      <w:lvlJc w:val="left"/>
      <w:lvlText w:val="•"/>
      <w:numFmt w:val="bullet"/>
      <w:start w:val="1"/>
    </w:lvl>
  </w:abstractNum>
  <w:abstractNum w:abstractNumId="13">
    <w:nsid w:val="4BA9831A"/>
    <w:multiLevelType w:val="hybridMultilevel"/>
    <w:lvl w:ilvl="0">
      <w:lvlJc w:val="left"/>
      <w:lvlText w:val="•"/>
      <w:numFmt w:val="bullet"/>
      <w:start w:val="1"/>
    </w:lvl>
  </w:abstractNum>
  <w:abstractNum w:abstractNumId="14">
    <w:nsid w:val="6D71A2B"/>
    <w:multiLevelType w:val="hybridMultilevel"/>
    <w:lvl w:ilvl="0">
      <w:lvlJc w:val="left"/>
      <w:lvlText w:val="%1:"/>
      <w:numFmt w:val="upperLetter"/>
      <w:start w:val="17"/>
    </w:lvl>
  </w:abstractNum>
  <w:abstractNum w:abstractNumId="15">
    <w:nsid w:val="CFC7321"/>
    <w:multiLevelType w:val="hybridMultilevel"/>
    <w:lvl w:ilvl="0">
      <w:lvlJc w:val="left"/>
      <w:lvlText w:val="%1:"/>
      <w:numFmt w:val="upperLetter"/>
      <w:start w:val="1"/>
    </w:lvl>
    <w:lvl w:ilvl="1">
      <w:lvlJc w:val="left"/>
      <w:lvlText w:val="(%2)"/>
      <w:numFmt w:val="lowerRoman"/>
      <w:start w:val="1"/>
    </w:lvl>
  </w:abstractNum>
  <w:abstractNum w:abstractNumId="16">
    <w:nsid w:val="1421971B"/>
    <w:multiLevelType w:val="hybridMultilevel"/>
    <w:lvl w:ilvl="0">
      <w:lvlJc w:val="left"/>
      <w:lvlText w:val="%1:"/>
      <w:numFmt w:val="upperLetter"/>
      <w:start w:val="17"/>
    </w:lvl>
  </w:abstractNum>
  <w:abstractNum w:abstractNumId="17">
    <w:nsid w:val="1F404301"/>
    <w:multiLevelType w:val="hybridMultilevel"/>
    <w:lvl w:ilvl="0">
      <w:lvlJc w:val="left"/>
      <w:lvlText w:val="%1:"/>
      <w:numFmt w:val="upperLetter"/>
      <w:start w:val="1"/>
    </w:lvl>
  </w:abstractNum>
  <w:abstractNum w:abstractNumId="18">
    <w:nsid w:val="116E0907"/>
    <w:multiLevelType w:val="hybridMultilevel"/>
    <w:lvl w:ilvl="0">
      <w:lvlJc w:val="left"/>
      <w:lvlText w:val="%1:"/>
      <w:numFmt w:val="upperLetter"/>
      <w:start w:val="17"/>
    </w:lvl>
  </w:abstractNum>
  <w:abstractNum w:abstractNumId="19">
    <w:nsid w:val="4B683D0D"/>
    <w:multiLevelType w:val="hybridMultilevel"/>
    <w:lvl w:ilvl="0">
      <w:lvlJc w:val="left"/>
      <w:lvlText w:val="%1:"/>
      <w:numFmt w:val="upperLetter"/>
      <w:start w:val="1"/>
    </w:lvl>
  </w:abstractNum>
  <w:abstractNum w:abstractNumId="20">
    <w:nsid w:val="76E41D8"/>
    <w:multiLevelType w:val="hybridMultilevel"/>
    <w:lvl w:ilvl="0">
      <w:lvlJc w:val="left"/>
      <w:lvlText w:val="%1:"/>
      <w:numFmt w:val="upperLetter"/>
      <w:start w:val="17"/>
    </w:lvl>
  </w:abstractNum>
  <w:abstractNum w:abstractNumId="21">
    <w:nsid w:val="71DCE0FD"/>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2">
    <w:nsid w:val="7906328B"/>
    <w:multiLevelType w:val="hybridMultilevel"/>
    <w:lvl w:ilvl="0">
      <w:lvlJc w:val="left"/>
      <w:lvlText w:val="(%1)"/>
      <w:numFmt w:val="lowerRoman"/>
      <w:start w:val="2"/>
    </w:lvl>
  </w:abstractNum>
  <w:abstractNum w:abstractNumId="23">
    <w:nsid w:val="72BBC16"/>
    <w:multiLevelType w:val="hybridMultilevel"/>
    <w:lvl w:ilvl="0">
      <w:lvlJc w:val="left"/>
      <w:lvlText w:val="%1"/>
      <w:numFmt w:val="upperLetter"/>
      <w:start w:val="1"/>
    </w:lvl>
    <w:lvl w:ilvl="1">
      <w:lvlJc w:val="left"/>
      <w:lvlText w:val="%2."/>
      <w:numFmt w:val="decimal"/>
      <w:start w:val="2"/>
    </w:lvl>
  </w:abstractNum>
  <w:abstractNum w:abstractNumId="24">
    <w:nsid w:val="766D98C2"/>
    <w:multiLevelType w:val="hybridMultilevel"/>
    <w:lvl w:ilvl="0">
      <w:lvlJc w:val="left"/>
      <w:lvlText w:val="%1:"/>
      <w:numFmt w:val="upperLetter"/>
      <w:start w:val="17"/>
    </w:lvl>
    <w:lvl w:ilvl="1">
      <w:lvlJc w:val="left"/>
      <w:lvlText w:val="%2"/>
      <w:numFmt w:val="decimal"/>
      <w:start w:val="1"/>
    </w:lvl>
  </w:abstractNum>
  <w:abstractNum w:abstractNumId="25">
    <w:nsid w:val="3C09D4A1"/>
    <w:multiLevelType w:val="hybridMultilevel"/>
    <w:lvl w:ilvl="0">
      <w:lvlJc w:val="left"/>
      <w:lvlText w:val="%1:"/>
      <w:numFmt w:val="upperLetter"/>
      <w:start w:val="1"/>
    </w:lvl>
  </w:abstractNum>
  <w:abstractNum w:abstractNumId="26">
    <w:nsid w:val="20E45CA4"/>
    <w:multiLevelType w:val="hybridMultilevel"/>
    <w:lvl w:ilvl="0">
      <w:lvlJc w:val="left"/>
      <w:lvlText w:val="%1:"/>
      <w:numFmt w:val="upperLetter"/>
      <w:start w:val="17"/>
    </w:lvl>
  </w:abstractNum>
  <w:abstractNum w:abstractNumId="27">
    <w:nsid w:val="4B232EE3"/>
    <w:multiLevelType w:val="hybridMultilevel"/>
    <w:lvl w:ilvl="0">
      <w:lvlJc w:val="left"/>
      <w:lvlText w:val="%1:"/>
      <w:numFmt w:val="upperLetter"/>
      <w:start w:val="1"/>
    </w:lvl>
  </w:abstractNum>
  <w:abstractNum w:abstractNumId="28">
    <w:nsid w:val="159C74CF"/>
    <w:multiLevelType w:val="hybridMultilevel"/>
    <w:lvl w:ilvl="0">
      <w:lvlJc w:val="left"/>
      <w:lvlText w:val="%1:"/>
      <w:numFmt w:val="upperLetter"/>
      <w:start w:val="17"/>
    </w:lvl>
  </w:abstractNum>
  <w:abstractNum w:abstractNumId="29">
    <w:nsid w:val="4AD3AFD2"/>
    <w:multiLevelType w:val="hybridMultilevel"/>
    <w:lvl w:ilvl="0">
      <w:lvlJc w:val="left"/>
      <w:lvlText w:val="%1:"/>
      <w:numFmt w:val="upperLetter"/>
      <w:start w:val="1"/>
    </w:lvl>
  </w:abstractNum>
  <w:abstractNum w:abstractNumId="30">
    <w:nsid w:val="3CF93092"/>
    <w:multiLevelType w:val="hybridMultilevel"/>
    <w:lvl w:ilvl="0">
      <w:lvlJc w:val="left"/>
      <w:lvlText w:val="%1:"/>
      <w:numFmt w:val="upperLetter"/>
      <w:start w:val="17"/>
    </w:lvl>
  </w:abstractNum>
  <w:abstractNum w:abstractNumId="31">
    <w:nsid w:val="6863E8D2"/>
    <w:multiLevelType w:val="hybridMultilevel"/>
    <w:lvl w:ilvl="0">
      <w:lvlJc w:val="left"/>
      <w:lvlText w:val="%1:"/>
      <w:numFmt w:val="upperLetter"/>
      <w:start w:val="1"/>
    </w:lvl>
  </w:abstractNum>
  <w:abstractNum w:abstractNumId="32">
    <w:nsid w:val="76896198"/>
    <w:multiLevelType w:val="hybridMultilevel"/>
    <w:lvl w:ilvl="0">
      <w:lvlJc w:val="left"/>
      <w:lvlText w:val="%1:"/>
      <w:numFmt w:val="upperLetter"/>
      <w:start w:val="17"/>
    </w:lvl>
  </w:abstractNum>
  <w:abstractNum w:abstractNumId="33">
    <w:nsid w:val="4365174B"/>
    <w:multiLevelType w:val="hybridMultilevel"/>
    <w:lvl w:ilvl="0">
      <w:lvlJc w:val="left"/>
      <w:lvlText w:val="%1:"/>
      <w:numFmt w:val="upperLetter"/>
      <w:start w:val="1"/>
    </w:lvl>
  </w:abstractNum>
  <w:abstractNum w:abstractNumId="34">
    <w:nsid w:val="4A872C35"/>
    <w:multiLevelType w:val="hybridMultilevel"/>
    <w:lvl w:ilvl="0">
      <w:lvlJc w:val="left"/>
      <w:lvlText w:val="%1:"/>
      <w:numFmt w:val="upperLetter"/>
      <w:start w:val="17"/>
    </w:lvl>
  </w:abstractNum>
  <w:abstractNum w:abstractNumId="35">
    <w:nsid w:val="5D5CE761"/>
    <w:multiLevelType w:val="hybridMultilevel"/>
    <w:lvl w:ilvl="0">
      <w:lvlJc w:val="left"/>
      <w:lvlText w:val="%1:"/>
      <w:numFmt w:val="upperLetter"/>
      <w:start w:val="1"/>
    </w:lvl>
  </w:abstractNum>
  <w:abstractNum w:abstractNumId="36">
    <w:nsid w:val="1CD484D5"/>
    <w:multiLevelType w:val="hybridMultilevel"/>
    <w:lvl w:ilvl="0">
      <w:lvlJc w:val="left"/>
      <w:lvlText w:val="%1:"/>
      <w:numFmt w:val="upperLetter"/>
      <w:start w:val="17"/>
    </w:lvl>
  </w:abstractNum>
  <w:abstractNum w:abstractNumId="37">
    <w:nsid w:val="21D06255"/>
    <w:multiLevelType w:val="hybridMultilevel"/>
    <w:lvl w:ilvl="0">
      <w:lvlJc w:val="left"/>
      <w:lvlText w:val="%1:"/>
      <w:numFmt w:val="upperLetter"/>
      <w:start w:val="1"/>
    </w:lvl>
  </w:abstractNum>
  <w:abstractNum w:abstractNumId="38">
    <w:nsid w:val="51194ED1"/>
    <w:multiLevelType w:val="hybridMultilevel"/>
    <w:lvl w:ilvl="0">
      <w:lvlJc w:val="left"/>
      <w:lvlText w:val="%1:"/>
      <w:numFmt w:val="upperLetter"/>
      <w:start w:val="17"/>
    </w:lvl>
  </w:abstractNum>
  <w:abstractNum w:abstractNumId="39">
    <w:nsid w:val="44E2ED6C"/>
    <w:multiLevelType w:val="hybridMultilevel"/>
    <w:lvl w:ilvl="0">
      <w:lvlJc w:val="left"/>
      <w:lvlText w:val="%1:"/>
      <w:numFmt w:val="upperLetter"/>
      <w:start w:val="1"/>
    </w:lvl>
  </w:abstractNum>
  <w:abstractNum w:abstractNumId="40">
    <w:nsid w:val="2219B33"/>
    <w:multiLevelType w:val="hybridMultilevel"/>
    <w:lvl w:ilvl="0">
      <w:lvlJc w:val="left"/>
      <w:lvlText w:val="%1:"/>
      <w:numFmt w:val="upperLetter"/>
      <w:start w:val="17"/>
    </w:lvl>
  </w:abstractNum>
  <w:abstractNum w:abstractNumId="41">
    <w:nsid w:val="773BFBDD"/>
    <w:multiLevelType w:val="hybridMultilevel"/>
    <w:lvl w:ilvl="0">
      <w:lvlJc w:val="left"/>
      <w:lvlText w:val="%1:"/>
      <w:numFmt w:val="upperLetter"/>
      <w:start w:val="1"/>
    </w:lvl>
  </w:abstractNum>
  <w:abstractNum w:abstractNumId="42">
    <w:nsid w:val="2C7C62C2"/>
    <w:multiLevelType w:val="hybridMultilevel"/>
    <w:lvl w:ilvl="0">
      <w:lvlJc w:val="left"/>
      <w:lvlText w:val="%1:"/>
      <w:numFmt w:val="upperLetter"/>
      <w:start w:val="17"/>
    </w:lvl>
  </w:abstractNum>
  <w:abstractNum w:abstractNumId="43">
    <w:nsid w:val="1A54D7BC"/>
    <w:multiLevelType w:val="hybridMultilevel"/>
    <w:lvl w:ilvl="0">
      <w:lvlJc w:val="left"/>
      <w:lvlText w:val="%1:"/>
      <w:numFmt w:val="upperLetter"/>
      <w:start w:val="1"/>
    </w:lvl>
  </w:abstractNum>
  <w:abstractNum w:abstractNumId="44">
    <w:nsid w:val="42E57EF7"/>
    <w:multiLevelType w:val="hybridMultilevel"/>
    <w:lvl w:ilvl="0">
      <w:lvlJc w:val="left"/>
      <w:lvlText w:val="%1:"/>
      <w:numFmt w:val="upperLetter"/>
      <w:start w:val="17"/>
    </w:lvl>
  </w:abstractNum>
  <w:abstractNum w:abstractNumId="45">
    <w:nsid w:val="33537CED"/>
    <w:multiLevelType w:val="hybridMultilevel"/>
    <w:lvl w:ilvl="0">
      <w:lvlJc w:val="left"/>
      <w:lvlText w:val="%1:"/>
      <w:numFmt w:val="upperLetter"/>
      <w:start w:val="1"/>
    </w:lvl>
  </w:abstractNum>
  <w:abstractNum w:abstractNumId="46">
    <w:nsid w:val="27514ADE"/>
    <w:multiLevelType w:val="hybridMultilevel"/>
    <w:lvl w:ilvl="0">
      <w:lvlJc w:val="left"/>
      <w:lvlText w:val="%1:"/>
      <w:numFmt w:val="upperLetter"/>
      <w:start w:val="17"/>
    </w:lvl>
  </w:abstractNum>
  <w:abstractNum w:abstractNumId="47">
    <w:nsid w:val="57071613"/>
    <w:multiLevelType w:val="hybridMultilevel"/>
    <w:lvl w:ilvl="0">
      <w:lvlJc w:val="left"/>
      <w:lvlText w:val="%1:"/>
      <w:numFmt w:val="upperLetter"/>
      <w:start w:val="1"/>
    </w:lvl>
  </w:abstractNum>
  <w:abstractNum w:abstractNumId="48">
    <w:nsid w:val="5293BFEF"/>
    <w:multiLevelType w:val="hybridMultilevel"/>
    <w:lvl w:ilvl="0">
      <w:lvlJc w:val="left"/>
      <w:lvlText w:val="%1:"/>
      <w:numFmt w:val="upperLetter"/>
      <w:start w:val="17"/>
    </w:lvl>
  </w:abstractNum>
  <w:abstractNum w:abstractNumId="49">
    <w:nsid w:val="38BF53E5"/>
    <w:multiLevelType w:val="hybridMultilevel"/>
    <w:lvl w:ilvl="0">
      <w:lvlJc w:val="left"/>
      <w:lvlText w:val="%1:"/>
      <w:numFmt w:val="upperLetter"/>
      <w:start w:val="1"/>
    </w:lvl>
  </w:abstractNum>
  <w:abstractNum w:abstractNumId="50">
    <w:nsid w:val="226F5320"/>
    <w:multiLevelType w:val="hybridMultilevel"/>
    <w:lvl w:ilvl="0">
      <w:lvlJc w:val="left"/>
      <w:lvlText w:val="%1:"/>
      <w:numFmt w:val="upperLetter"/>
      <w:start w:val="17"/>
    </w:lvl>
  </w:abstractNum>
  <w:abstractNum w:abstractNumId="51">
    <w:nsid w:val="5A0201C7"/>
    <w:multiLevelType w:val="hybridMultilevel"/>
    <w:lvl w:ilvl="0">
      <w:lvlJc w:val="left"/>
      <w:lvlText w:val="%1:"/>
      <w:numFmt w:val="upperLetter"/>
      <w:start w:val="1"/>
    </w:lvl>
  </w:abstractNum>
  <w:abstractNum w:abstractNumId="52">
    <w:nsid w:val="2A9C34E2"/>
    <w:multiLevelType w:val="hybridMultilevel"/>
    <w:lvl w:ilvl="0">
      <w:lvlJc w:val="left"/>
      <w:lvlText w:val="%1:"/>
      <w:numFmt w:val="upperLetter"/>
      <w:start w:val="17"/>
    </w:lvl>
  </w:abstractNum>
  <w:abstractNum w:abstractNumId="53">
    <w:nsid w:val="1B7585AB"/>
    <w:multiLevelType w:val="hybridMultilevel"/>
    <w:lvl w:ilvl="0">
      <w:lvlJc w:val="left"/>
      <w:lvlText w:val="%1:"/>
      <w:numFmt w:val="upperLetter"/>
      <w:start w:val="1"/>
    </w:lvl>
  </w:abstractNum>
  <w:abstractNum w:abstractNumId="54">
    <w:nsid w:val="612DBDDD"/>
    <w:multiLevelType w:val="hybridMultilevel"/>
    <w:lvl w:ilvl="0">
      <w:lvlJc w:val="left"/>
      <w:lvlText w:val="%1:"/>
      <w:numFmt w:val="upperLetter"/>
      <w:start w:val="17"/>
    </w:lvl>
  </w:abstractNum>
  <w:abstractNum w:abstractNumId="55">
    <w:nsid w:val="2109CDA4"/>
    <w:multiLevelType w:val="hybridMultilevel"/>
    <w:lvl w:ilvl="0">
      <w:lvlJc w:val="left"/>
      <w:lvlText w:val="%1:"/>
      <w:numFmt w:val="upperLetter"/>
      <w:start w:val="1"/>
    </w:lvl>
  </w:abstractNum>
  <w:abstractNum w:abstractNumId="56">
    <w:nsid w:val="577F5A4D"/>
    <w:multiLevelType w:val="hybridMultilevel"/>
    <w:lvl w:ilvl="0">
      <w:lvlJc w:val="left"/>
      <w:lvlText w:val="%1:"/>
      <w:numFmt w:val="upperLetter"/>
      <w:start w:val="17"/>
    </w:lvl>
  </w:abstractNum>
  <w:abstractNum w:abstractNumId="57">
    <w:nsid w:val="2121A81"/>
    <w:multiLevelType w:val="hybridMultilevel"/>
    <w:lvl w:ilvl="0">
      <w:lvlJc w:val="left"/>
      <w:lvlText w:val="%1:"/>
      <w:numFmt w:val="upperLetter"/>
      <w:start w:val="1"/>
    </w:lvl>
  </w:abstractNum>
  <w:abstractNum w:abstractNumId="58">
    <w:nsid w:val="6C2CFC88"/>
    <w:multiLevelType w:val="hybridMultilevel"/>
    <w:lvl w:ilvl="0">
      <w:lvlJc w:val="left"/>
      <w:lvlText w:val="%1:"/>
      <w:numFmt w:val="upperLetter"/>
      <w:start w:val="17"/>
    </w:lvl>
  </w:abstractNum>
  <w:abstractNum w:abstractNumId="59">
    <w:nsid w:val="6D1BCF1C"/>
    <w:multiLevelType w:val="hybridMultilevel"/>
    <w:lvl w:ilvl="0">
      <w:lvlJc w:val="left"/>
      <w:lvlText w:val="%1:"/>
      <w:numFmt w:val="upperLetter"/>
      <w:start w:val="1"/>
    </w:lvl>
  </w:abstractNum>
  <w:abstractNum w:abstractNumId="60">
    <w:nsid w:val="4CE5CA53"/>
    <w:multiLevelType w:val="hybridMultilevel"/>
    <w:lvl w:ilvl="0">
      <w:lvlJc w:val="left"/>
      <w:lvlText w:val="%1:"/>
      <w:numFmt w:val="upperLetter"/>
      <w:start w:val="17"/>
    </w:lvl>
  </w:abstractNum>
  <w:abstractNum w:abstractNumId="61">
    <w:nsid w:val="29262D1A"/>
    <w:multiLevelType w:val="hybridMultilevel"/>
    <w:lvl w:ilvl="0">
      <w:lvlJc w:val="left"/>
      <w:lvlText w:val="%1:"/>
      <w:numFmt w:val="upperLetter"/>
      <w:start w:val="1"/>
    </w:lvl>
  </w:abstractNum>
  <w:abstractNum w:abstractNumId="62">
    <w:nsid w:val="557FB7EE"/>
    <w:multiLevelType w:val="hybridMultilevel"/>
    <w:lvl w:ilvl="0">
      <w:lvlJc w:val="left"/>
      <w:lvlText w:val="%1:"/>
      <w:numFmt w:val="upperLetter"/>
      <w:start w:val="17"/>
    </w:lvl>
  </w:abstractNum>
  <w:abstractNum w:abstractNumId="63">
    <w:nsid w:val="436F2BEB"/>
    <w:multiLevelType w:val="hybridMultilevel"/>
    <w:lvl w:ilvl="0">
      <w:lvlJc w:val="left"/>
      <w:lvlText w:val="%1:"/>
      <w:numFmt w:val="upperLetter"/>
      <w:start w:val="1"/>
    </w:lvl>
  </w:abstractNum>
  <w:abstractNum w:abstractNumId="64">
    <w:nsid w:val="6C8B4466"/>
    <w:multiLevelType w:val="hybridMultilevel"/>
    <w:lvl w:ilvl="0">
      <w:lvlJc w:val="left"/>
      <w:lvlText w:val="%1:"/>
      <w:numFmt w:val="upperLetter"/>
      <w:start w:val="17"/>
    </w:lvl>
  </w:abstractNum>
  <w:abstractNum w:abstractNumId="65">
    <w:nsid w:val="2006E424"/>
    <w:multiLevelType w:val="hybridMultilevel"/>
    <w:lvl w:ilvl="0">
      <w:lvlJc w:val="left"/>
      <w:lvlText w:val="%1:"/>
      <w:numFmt w:val="upperLetter"/>
      <w:start w:val="1"/>
    </w:lvl>
  </w:abstractNum>
  <w:abstractNum w:abstractNumId="66">
    <w:nsid w:val="20CC134C"/>
    <w:multiLevelType w:val="hybridMultilevel"/>
    <w:lvl w:ilvl="0">
      <w:lvlJc w:val="left"/>
      <w:lvlText w:val="%1:"/>
      <w:numFmt w:val="upperLetter"/>
      <w:start w:val="17"/>
    </w:lvl>
  </w:abstractNum>
  <w:abstractNum w:abstractNumId="67">
    <w:nsid w:val="95FC93B"/>
    <w:multiLevelType w:val="hybridMultilevel"/>
    <w:lvl w:ilvl="0">
      <w:lvlJc w:val="left"/>
      <w:lvlText w:val="%1:"/>
      <w:numFmt w:val="upperLetter"/>
      <w:start w:val="1"/>
    </w:lvl>
  </w:abstractNum>
  <w:abstractNum w:abstractNumId="68">
    <w:nsid w:val="41D74679"/>
    <w:multiLevelType w:val="hybridMultilevel"/>
    <w:lvl w:ilvl="0">
      <w:lvlJc w:val="left"/>
      <w:lvlText w:val="%1:"/>
      <w:numFmt w:val="upperLetter"/>
      <w:start w:val="17"/>
    </w:lvl>
  </w:abstractNum>
  <w:abstractNum w:abstractNumId="69">
    <w:nsid w:val="71E5621E"/>
    <w:multiLevelType w:val="hybridMultilevel"/>
    <w:lvl w:ilvl="0">
      <w:lvlJc w:val="left"/>
      <w:lvlText w:val="%1:"/>
      <w:numFmt w:val="upperLetter"/>
      <w:start w:val="1"/>
    </w:lvl>
  </w:abstractNum>
  <w:abstractNum w:abstractNumId="70">
    <w:nsid w:val="4E42B6A8"/>
    <w:multiLevelType w:val="hybridMultilevel"/>
    <w:lvl w:ilvl="0">
      <w:lvlJc w:val="left"/>
      <w:lvlText w:val="%1:"/>
      <w:numFmt w:val="upperLetter"/>
      <w:start w:val="17"/>
    </w:lvl>
  </w:abstractNum>
  <w:abstractNum w:abstractNumId="71">
    <w:nsid w:val="43F8E1A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72">
    <w:nsid w:val="69215DFB"/>
    <w:multiLevelType w:val="hybridMultilevel"/>
    <w:lvl w:ilvl="0">
      <w:lvlJc w:val="left"/>
      <w:lvlText w:val="%1:"/>
      <w:numFmt w:val="upperLetter"/>
      <w:start w:val="17"/>
    </w:lvl>
  </w:abstractNum>
  <w:abstractNum w:abstractNumId="73">
    <w:nsid w:val="7ABF196A"/>
    <w:multiLevelType w:val="hybridMultilevel"/>
    <w:lvl w:ilvl="0">
      <w:lvlJc w:val="left"/>
      <w:lvlText w:val="%1:"/>
      <w:numFmt w:val="upperLetter"/>
      <w:start w:val="1"/>
    </w:lvl>
  </w:abstractNum>
  <w:abstractNum w:abstractNumId="74">
    <w:nsid w:val="5E4DB968"/>
    <w:multiLevelType w:val="hybridMultilevel"/>
    <w:lvl w:ilvl="0">
      <w:lvlJc w:val="left"/>
      <w:lvlText w:val="%1:"/>
      <w:numFmt w:val="upperLetter"/>
      <w:start w:val="17"/>
    </w:lvl>
  </w:abstractNum>
  <w:abstractNum w:abstractNumId="75">
    <w:nsid w:val="2C06DCF3"/>
    <w:multiLevelType w:val="hybridMultilevel"/>
    <w:lvl w:ilvl="0">
      <w:lvlJc w:val="left"/>
      <w:lvlText w:val="%1:"/>
      <w:numFmt w:val="upperLetter"/>
      <w:start w:val="1"/>
    </w:lvl>
  </w:abstractNum>
  <w:abstractNum w:abstractNumId="76">
    <w:nsid w:val="2E129658"/>
    <w:multiLevelType w:val="hybridMultilevel"/>
    <w:lvl w:ilvl="0">
      <w:lvlJc w:val="left"/>
      <w:lvlText w:val="%1:"/>
      <w:numFmt w:val="upperLetter"/>
      <w:start w:val="17"/>
    </w:lvl>
  </w:abstractNum>
  <w:abstractNum w:abstractNumId="77">
    <w:nsid w:val="59F0446"/>
    <w:multiLevelType w:val="hybridMultilevel"/>
    <w:lvl w:ilvl="0">
      <w:lvlJc w:val="left"/>
      <w:lvlText w:val="%1:"/>
      <w:numFmt w:val="upperLetter"/>
      <w:start w:val="1"/>
    </w:lvl>
  </w:abstractNum>
  <w:abstractNum w:abstractNumId="78">
    <w:nsid w:val="30DF306"/>
    <w:multiLevelType w:val="hybridMultilevel"/>
    <w:lvl w:ilvl="0">
      <w:lvlJc w:val="left"/>
      <w:lvlText w:val="%1:"/>
      <w:numFmt w:val="upperLetter"/>
      <w:start w:val="17"/>
    </w:lvl>
  </w:abstractNum>
  <w:abstractNum w:abstractNumId="79">
    <w:nsid w:val="A65647"/>
    <w:multiLevelType w:val="hybridMultilevel"/>
    <w:lvl w:ilvl="0">
      <w:lvlJc w:val="left"/>
      <w:lvlText w:val="%1:"/>
      <w:numFmt w:val="upperLetter"/>
      <w:start w:val="1"/>
    </w:lvl>
  </w:abstractNum>
  <w:abstractNum w:abstractNumId="80">
    <w:nsid w:val="3E5E582B"/>
    <w:multiLevelType w:val="hybridMultilevel"/>
    <w:lvl w:ilvl="0">
      <w:lvlJc w:val="left"/>
      <w:lvlText w:val="%1:"/>
      <w:numFmt w:val="upperLetter"/>
      <w:start w:val="17"/>
    </w:lvl>
  </w:abstractNum>
  <w:abstractNum w:abstractNumId="81">
    <w:nsid w:val="257D4626"/>
    <w:multiLevelType w:val="hybridMultilevel"/>
    <w:lvl w:ilvl="0">
      <w:lvlJc w:val="left"/>
      <w:lvlText w:val="%1:"/>
      <w:numFmt w:val="upperLetter"/>
      <w:start w:val="1"/>
    </w:lvl>
  </w:abstractNum>
  <w:abstractNum w:abstractNumId="82">
    <w:nsid w:val="5AA8580E"/>
    <w:multiLevelType w:val="hybridMultilevel"/>
    <w:lvl w:ilvl="0">
      <w:lvlJc w:val="left"/>
      <w:lvlText w:val="%1:"/>
      <w:numFmt w:val="upperLetter"/>
      <w:start w:val="17"/>
    </w:lvl>
  </w:abstractNum>
  <w:abstractNum w:abstractNumId="83">
    <w:nsid w:val="68FA8D0D"/>
    <w:multiLevelType w:val="hybridMultilevel"/>
    <w:lvl w:ilvl="0">
      <w:lvlJc w:val="left"/>
      <w:lvlText w:val="%1:"/>
      <w:numFmt w:val="upperLetter"/>
      <w:start w:val="1"/>
    </w:lvl>
  </w:abstractNum>
  <w:abstractNum w:abstractNumId="84">
    <w:nsid w:val="40F2CBD2"/>
    <w:multiLevelType w:val="hybridMultilevel"/>
    <w:lvl w:ilvl="0">
      <w:lvlJc w:val="left"/>
      <w:lvlText w:val="%1:"/>
      <w:numFmt w:val="upperLetter"/>
      <w:start w:val="17"/>
    </w:lvl>
  </w:abstractNum>
  <w:abstractNum w:abstractNumId="85">
    <w:nsid w:val="3BD615EB"/>
    <w:multiLevelType w:val="hybridMultilevel"/>
    <w:lvl w:ilvl="0">
      <w:lvlJc w:val="left"/>
      <w:lvlText w:val="%1:"/>
      <w:numFmt w:val="upperLetter"/>
      <w:start w:val="1"/>
    </w:lvl>
    <w:lvl w:ilvl="1">
      <w:lvlJc w:val="left"/>
      <w:lvlText w:val="•"/>
      <w:numFmt w:val="bullet"/>
      <w:start w:val="1"/>
    </w:lvl>
  </w:abstractNum>
  <w:abstractNum w:abstractNumId="86">
    <w:nsid w:val="A045AB2"/>
    <w:multiLevelType w:val="hybridMultilevel"/>
    <w:lvl w:ilvl="0">
      <w:lvlJc w:val="left"/>
      <w:lvlText w:val="%1:"/>
      <w:numFmt w:val="upperLetter"/>
      <w:start w:val="17"/>
    </w:lvl>
  </w:abstractNum>
  <w:abstractNum w:abstractNumId="87">
    <w:nsid w:val="1872261F"/>
    <w:multiLevelType w:val="hybridMultilevel"/>
    <w:lvl w:ilvl="0">
      <w:lvlJc w:val="left"/>
      <w:lvlText w:val="%1:"/>
      <w:numFmt w:val="upperLetter"/>
      <w:start w:val="1"/>
    </w:lvl>
  </w:abstractNum>
  <w:abstractNum w:abstractNumId="88">
    <w:nsid w:val="3DE8306C"/>
    <w:multiLevelType w:val="hybridMultilevel"/>
    <w:lvl w:ilvl="0">
      <w:lvlJc w:val="left"/>
      <w:lvlText w:val="%1:"/>
      <w:numFmt w:val="upperLetter"/>
      <w:start w:val="17"/>
    </w:lvl>
  </w:abstractNum>
  <w:abstractNum w:abstractNumId="89">
    <w:nsid w:val="7631573A"/>
    <w:multiLevelType w:val="hybridMultilevel"/>
    <w:lvl w:ilvl="0">
      <w:lvlJc w:val="left"/>
      <w:lvlText w:val="%1:"/>
      <w:numFmt w:val="upperLetter"/>
      <w:start w:val="1"/>
    </w:lvl>
    <w:lvl w:ilvl="1">
      <w:lvlJc w:val="left"/>
      <w:lvlText w:val="•"/>
      <w:numFmt w:val="bullet"/>
      <w:start w:val="1"/>
    </w:lvl>
  </w:abstractNum>
  <w:abstractNum w:abstractNumId="90">
    <w:nsid w:val="58DF53B"/>
    <w:multiLevelType w:val="hybridMultilevel"/>
    <w:lvl w:ilvl="0">
      <w:lvlJc w:val="left"/>
      <w:lvlText w:val="•"/>
      <w:numFmt w:val="bullet"/>
      <w:start w:val="1"/>
    </w:lvl>
  </w:abstractNum>
  <w:abstractNum w:abstractNumId="91">
    <w:nsid w:val="ACDFAC0"/>
    <w:multiLevelType w:val="hybridMultilevel"/>
    <w:lvl w:ilvl="0">
      <w:lvlJc w:val="left"/>
      <w:lvlText w:val="•"/>
      <w:numFmt w:val="bullet"/>
      <w:start w:val="1"/>
    </w:lvl>
  </w:abstractNum>
  <w:abstractNum w:abstractNumId="92">
    <w:nsid w:val="1F578454"/>
    <w:multiLevelType w:val="hybridMultilevel"/>
    <w:lvl w:ilvl="0">
      <w:lvlJc w:val="left"/>
      <w:lvlText w:val="(%1)"/>
      <w:numFmt w:val="lowerLetter"/>
      <w:start w:val="1"/>
    </w:lvl>
  </w:abstractNum>
  <w:abstractNum w:abstractNumId="93">
    <w:nsid w:val="5B0DAD2A"/>
    <w:multiLevelType w:val="hybridMultilevel"/>
    <w:lvl w:ilvl="0">
      <w:lvlJc w:val="left"/>
      <w:lvlText w:val="%1:"/>
      <w:numFmt w:val="upperLetter"/>
      <w:start w:val="17"/>
    </w:lvl>
  </w:abstractNum>
  <w:abstractNum w:abstractNumId="94">
    <w:nsid w:val="4E3D26AB"/>
    <w:multiLevelType w:val="hybridMultilevel"/>
    <w:lvl w:ilvl="0">
      <w:lvlJc w:val="left"/>
      <w:lvlText w:val="%1:"/>
      <w:numFmt w:val="upperLetter"/>
      <w:start w:val="1"/>
    </w:lvl>
  </w:abstractNum>
  <w:abstractNum w:abstractNumId="95">
    <w:nsid w:val="BE2C8BA"/>
    <w:multiLevelType w:val="hybridMultilevel"/>
    <w:lvl w:ilvl="0">
      <w:lvlJc w:val="left"/>
      <w:lvlText w:val="%1:"/>
      <w:numFmt w:val="upperLetter"/>
      <w:start w:val="17"/>
    </w:lvl>
  </w:abstractNum>
  <w:abstractNum w:abstractNumId="96">
    <w:nsid w:val="7B14914E"/>
    <w:multiLevelType w:val="hybridMultilevel"/>
    <w:lvl w:ilvl="0">
      <w:lvlJc w:val="left"/>
      <w:lvlText w:val="%1:"/>
      <w:numFmt w:val="upperLetter"/>
      <w:start w:val="1"/>
    </w:lvl>
  </w:abstractNum>
  <w:abstractNum w:abstractNumId="97">
    <w:nsid w:val="6F0939F8"/>
    <w:multiLevelType w:val="hybridMultilevel"/>
    <w:lvl w:ilvl="0">
      <w:lvlJc w:val="left"/>
      <w:lvlText w:val="(%1)"/>
      <w:numFmt w:val="decimal"/>
      <w:start w:val="1"/>
    </w:lvl>
  </w:abstractNum>
  <w:abstractNum w:abstractNumId="98">
    <w:nsid w:val="154291F6"/>
    <w:multiLevelType w:val="hybridMultilevel"/>
    <w:lvl w:ilvl="0">
      <w:lvlJc w:val="left"/>
      <w:lvlText w:val="(%1)"/>
      <w:numFmt w:val="decimal"/>
      <w:start w:val="1"/>
    </w:lvl>
  </w:abstractNum>
  <w:abstractNum w:abstractNumId="99">
    <w:nsid w:val="3CEBD7C7"/>
    <w:multiLevelType w:val="hybridMultilevel"/>
    <w:lvl w:ilvl="0">
      <w:lvlJc w:val="left"/>
      <w:lvlText w:val="%1:"/>
      <w:numFmt w:val="upperLetter"/>
      <w:start w:val="17"/>
    </w:lvl>
  </w:abstractNum>
  <w:abstractNum w:abstractNumId="100">
    <w:nsid w:val="60EE9C16"/>
    <w:multiLevelType w:val="hybridMultilevel"/>
    <w:lvl w:ilvl="0">
      <w:lvlJc w:val="left"/>
      <w:lvlText w:val="%1:"/>
      <w:numFmt w:val="upperLetter"/>
      <w:start w:val="1"/>
    </w:lvl>
  </w:abstractNum>
  <w:abstractNum w:abstractNumId="101">
    <w:nsid w:val="6385489E"/>
    <w:multiLevelType w:val="hybridMultilevel"/>
    <w:lvl w:ilvl="0">
      <w:lvlJc w:val="left"/>
      <w:lvlText w:val="%1:"/>
      <w:numFmt w:val="upperLetter"/>
      <w:start w:val="17"/>
    </w:lvl>
  </w:abstractNum>
  <w:abstractNum w:abstractNumId="102">
    <w:nsid w:val="E4B973"/>
    <w:multiLevelType w:val="hybridMultilevel"/>
    <w:lvl w:ilvl="0">
      <w:lvlJc w:val="left"/>
      <w:lvlText w:val="%1:"/>
      <w:numFmt w:val="upperLetter"/>
      <w:start w:val="1"/>
    </w:lvl>
  </w:abstractNum>
  <w:abstractNum w:abstractNumId="103">
    <w:nsid w:val="4A0FFA11"/>
    <w:multiLevelType w:val="hybridMultilevel"/>
    <w:lvl w:ilvl="0">
      <w:lvlJc w:val="left"/>
      <w:lvlText w:val="%1:"/>
      <w:numFmt w:val="upperLetter"/>
      <w:start w:val="17"/>
    </w:lvl>
  </w:abstractNum>
  <w:abstractNum w:abstractNumId="104">
    <w:nsid w:val="5E446208"/>
    <w:multiLevelType w:val="hybridMultilevel"/>
    <w:lvl w:ilvl="0">
      <w:lvlJc w:val="left"/>
      <w:lvlText w:val="%1:"/>
      <w:numFmt w:val="upperLetter"/>
      <w:start w:val="1"/>
    </w:lvl>
  </w:abstractNum>
  <w:abstractNum w:abstractNumId="105">
    <w:nsid w:val="5F3272DB"/>
    <w:multiLevelType w:val="hybridMultilevel"/>
    <w:lvl w:ilvl="0">
      <w:lvlJc w:val="left"/>
      <w:lvlText w:val="%1:"/>
      <w:numFmt w:val="upperLetter"/>
      <w:start w:val="17"/>
    </w:lvl>
  </w:abstractNum>
  <w:abstractNum w:abstractNumId="106">
    <w:nsid w:val="7616D704"/>
    <w:multiLevelType w:val="hybridMultilevel"/>
    <w:lvl w:ilvl="0">
      <w:lvlJc w:val="left"/>
      <w:lvlText w:val="%1:"/>
      <w:numFmt w:val="upperLetter"/>
      <w:start w:val="1"/>
    </w:lvl>
  </w:abstractNum>
  <w:abstractNum w:abstractNumId="107">
    <w:nsid w:val="C56F860"/>
    <w:multiLevelType w:val="hybridMultilevel"/>
    <w:lvl w:ilvl="0">
      <w:lvlJc w:val="left"/>
      <w:lvlText w:val="%1:"/>
      <w:numFmt w:val="upperLetter"/>
      <w:start w:val="17"/>
    </w:lvl>
  </w:abstractNum>
  <w:abstractNum w:abstractNumId="108">
    <w:nsid w:val="64D17722"/>
    <w:multiLevelType w:val="hybridMultilevel"/>
    <w:lvl w:ilvl="0">
      <w:lvlJc w:val="left"/>
      <w:lvlText w:val="%1:"/>
      <w:numFmt w:val="upperLetter"/>
      <w:start w:val="1"/>
    </w:lvl>
  </w:abstractNum>
  <w:abstractNum w:abstractNumId="109">
    <w:nsid w:val="7924CA0A"/>
    <w:multiLevelType w:val="hybridMultilevel"/>
    <w:lvl w:ilvl="0">
      <w:lvlJc w:val="left"/>
      <w:lvlText w:val="%1:"/>
      <w:numFmt w:val="upperLetter"/>
      <w:start w:val="17"/>
    </w:lvl>
  </w:abstractNum>
  <w:abstractNum w:abstractNumId="110">
    <w:nsid w:val="CFD4EA7"/>
    <w:multiLevelType w:val="hybridMultilevel"/>
    <w:lvl w:ilvl="0">
      <w:lvlJc w:val="left"/>
      <w:lvlText w:val="%1:"/>
      <w:numFmt w:val="upperLetter"/>
      <w:start w:val="1"/>
    </w:lvl>
  </w:abstractNum>
  <w:abstractNum w:abstractNumId="111">
    <w:nsid w:val="232FCF4D"/>
    <w:multiLevelType w:val="hybridMultilevel"/>
    <w:lvl w:ilvl="0">
      <w:lvlJc w:val="left"/>
      <w:lvlText w:val="%1:"/>
      <w:numFmt w:val="upperLetter"/>
      <w:start w:val="17"/>
    </w:lvl>
  </w:abstractNum>
  <w:abstractNum w:abstractNumId="112">
    <w:nsid w:val="1EA21031"/>
    <w:multiLevelType w:val="hybridMultilevel"/>
    <w:lvl w:ilvl="0">
      <w:lvlJc w:val="left"/>
      <w:lvlText w:val="%1:"/>
      <w:numFmt w:val="upperLetter"/>
      <w:start w:val="1"/>
    </w:lvl>
  </w:abstractNum>
  <w:abstractNum w:abstractNumId="113">
    <w:nsid w:val="67A5A6B5"/>
    <w:multiLevelType w:val="hybridMultilevel"/>
    <w:lvl w:ilvl="0">
      <w:lvlJc w:val="left"/>
      <w:lvlText w:val="%1:"/>
      <w:numFmt w:val="upperLetter"/>
      <w:start w:val="17"/>
    </w:lvl>
  </w:abstractNum>
  <w:abstractNum w:abstractNumId="114">
    <w:nsid w:val="C2A5C5B"/>
    <w:multiLevelType w:val="hybridMultilevel"/>
    <w:lvl w:ilvl="0">
      <w:lvlJc w:val="left"/>
      <w:lvlText w:val="%1:"/>
      <w:numFmt w:val="upperLetter"/>
      <w:start w:val="1"/>
    </w:lvl>
  </w:abstractNum>
  <w:abstractNum w:abstractNumId="115">
    <w:nsid w:val="5F94DC03"/>
    <w:multiLevelType w:val="hybridMultilevel"/>
    <w:lvl w:ilvl="0">
      <w:lvlJc w:val="left"/>
      <w:lvlText w:val="%1:"/>
      <w:numFmt w:val="upperLetter"/>
      <w:start w:val="17"/>
    </w:lvl>
  </w:abstractNum>
  <w:abstractNum w:abstractNumId="116">
    <w:nsid w:val="237BBCA0"/>
    <w:multiLevelType w:val="hybridMultilevel"/>
    <w:lvl w:ilvl="0">
      <w:lvlJc w:val="left"/>
      <w:lvlText w:val="%1:"/>
      <w:numFmt w:val="upperLetter"/>
      <w:start w:val="1"/>
    </w:lvl>
  </w:abstractNum>
  <w:abstractNum w:abstractNumId="117">
    <w:nsid w:val="162EB70D"/>
    <w:multiLevelType w:val="hybridMultilevel"/>
    <w:lvl w:ilvl="0">
      <w:lvlJc w:val="left"/>
      <w:lvlText w:val="%1:"/>
      <w:numFmt w:val="upperLetter"/>
      <w:start w:val="17"/>
    </w:lvl>
  </w:abstractNum>
  <w:abstractNum w:abstractNumId="118">
    <w:nsid w:val="78070222"/>
    <w:multiLevelType w:val="hybridMultilevel"/>
    <w:lvl w:ilvl="0">
      <w:lvlJc w:val="left"/>
      <w:lvlText w:val="%1:"/>
      <w:numFmt w:val="upperLetter"/>
      <w:start w:val="1"/>
    </w:lvl>
  </w:abstractNum>
  <w:abstractNum w:abstractNumId="119">
    <w:nsid w:val="6163ED0D"/>
    <w:multiLevelType w:val="hybridMultilevel"/>
    <w:lvl w:ilvl="0">
      <w:lvlJc w:val="left"/>
      <w:lvlText w:val="%1:"/>
      <w:numFmt w:val="upperLetter"/>
      <w:start w:val="17"/>
    </w:lvl>
  </w:abstractNum>
  <w:abstractNum w:abstractNumId="120">
    <w:nsid w:val="C600E47"/>
    <w:multiLevelType w:val="hybridMultilevel"/>
    <w:lvl w:ilvl="0">
      <w:lvlJc w:val="left"/>
      <w:lvlText w:val="%1:"/>
      <w:numFmt w:val="upperLetter"/>
      <w:start w:val="1"/>
    </w:lvl>
  </w:abstractNum>
  <w:abstractNum w:abstractNumId="121">
    <w:nsid w:val="7D94F75D"/>
    <w:multiLevelType w:val="hybridMultilevel"/>
    <w:lvl w:ilvl="0">
      <w:lvlJc w:val="left"/>
      <w:lvlText w:val="%1:"/>
      <w:numFmt w:val="upperLetter"/>
      <w:start w:val="17"/>
    </w:lvl>
  </w:abstractNum>
  <w:abstractNum w:abstractNumId="122">
    <w:nsid w:val="6C31E7CD"/>
    <w:multiLevelType w:val="hybridMultilevel"/>
    <w:lvl w:ilvl="0">
      <w:lvlJc w:val="left"/>
      <w:lvlText w:val="%1:"/>
      <w:numFmt w:val="upperLetter"/>
      <w:start w:val="1"/>
    </w:lvl>
  </w:abstractNum>
  <w:abstractNum w:abstractNumId="123">
    <w:nsid w:val="2BB7929B"/>
    <w:multiLevelType w:val="hybridMultilevel"/>
    <w:lvl w:ilvl="0">
      <w:lvlJc w:val="left"/>
      <w:lvlText w:val="%1:"/>
      <w:numFmt w:val="upperLetter"/>
      <w:start w:val="17"/>
    </w:lvl>
  </w:abstractNum>
  <w:abstractNum w:abstractNumId="124">
    <w:nsid w:val="58A2A487"/>
    <w:multiLevelType w:val="hybridMultilevel"/>
    <w:lvl w:ilvl="0">
      <w:lvlJc w:val="left"/>
      <w:lvlText w:val="%1:"/>
      <w:numFmt w:val="upperLetter"/>
      <w:start w:val="1"/>
    </w:lvl>
  </w:abstractNum>
  <w:abstractNum w:abstractNumId="125">
    <w:nsid w:val="3A6F0E78"/>
    <w:multiLevelType w:val="hybridMultilevel"/>
    <w:lvl w:ilvl="0">
      <w:lvlJc w:val="left"/>
      <w:lvlText w:val="%1:"/>
      <w:numFmt w:val="upperLetter"/>
      <w:start w:val="17"/>
    </w:lvl>
  </w:abstractNum>
  <w:abstractNum w:abstractNumId="126">
    <w:nsid w:val="379A5B56"/>
    <w:multiLevelType w:val="hybridMultilevel"/>
    <w:lvl w:ilvl="0">
      <w:lvlJc w:val="left"/>
      <w:lvlText w:val="%1:"/>
      <w:numFmt w:val="upperLetter"/>
      <w:start w:val="1"/>
    </w:lvl>
  </w:abstractNum>
  <w:abstractNum w:abstractNumId="127">
    <w:nsid w:val="53B735D5"/>
    <w:multiLevelType w:val="hybridMultilevel"/>
    <w:lvl w:ilvl="0">
      <w:lvlJc w:val="left"/>
      <w:lvlText w:val="1"/>
      <w:numFmt w:val="bullet"/>
      <w:start w:val="1"/>
    </w:lvl>
  </w:abstractNum>
  <w:abstractNum w:abstractNumId="128">
    <w:nsid w:val="29784870"/>
    <w:multiLevelType w:val="hybridMultilevel"/>
    <w:lvl w:ilvl="0">
      <w:lvlJc w:val="left"/>
      <w:lvlText w:val="•"/>
      <w:numFmt w:val="bullet"/>
      <w:start w:val="1"/>
    </w:lvl>
  </w:abstractNum>
  <w:abstractNum w:abstractNumId="129">
    <w:nsid w:val="4CDCED4C"/>
    <w:multiLevelType w:val="hybridMultilevel"/>
    <w:lvl w:ilvl="0">
      <w:lvlJc w:val="left"/>
      <w:lvlText w:val="•"/>
      <w:numFmt w:val="bullet"/>
      <w:start w:val="1"/>
    </w:lvl>
  </w:abstractNum>
  <w:abstractNum w:abstractNumId="130">
    <w:nsid w:val="10A30D9C"/>
    <w:multiLevelType w:val="hybridMultilevel"/>
    <w:lvl w:ilvl="0">
      <w:lvlJc w:val="left"/>
      <w:lvlText w:val="•"/>
      <w:numFmt w:val="bullet"/>
      <w:start w:val="1"/>
    </w:lvl>
  </w:abstractNum>
  <w:abstractNum w:abstractNumId="131">
    <w:nsid w:val="A66E486"/>
    <w:multiLevelType w:val="hybridMultilevel"/>
    <w:lvl w:ilvl="0">
      <w:lvlJc w:val="left"/>
      <w:lvlText w:val="•"/>
      <w:numFmt w:val="bullet"/>
      <w:start w:val="1"/>
    </w:lvl>
  </w:abstractNum>
  <w:abstractNum w:abstractNumId="132">
    <w:nsid w:val="306235EA"/>
    <w:multiLevelType w:val="hybridMultilevel"/>
    <w:lvl w:ilvl="0">
      <w:lvlJc w:val="left"/>
      <w:lvlText w:val="(%1)"/>
      <w:numFmt w:val="decimal"/>
      <w:start w:val="1"/>
    </w:lvl>
  </w:abstractNum>
  <w:abstractNum w:abstractNumId="133">
    <w:nsid w:val="1187C70F"/>
    <w:multiLevelType w:val="hybridMultilevel"/>
    <w:lvl w:ilvl="0">
      <w:lvlJc w:val="left"/>
      <w:lvlText w:val="•"/>
      <w:numFmt w:val="bullet"/>
      <w:start w:val="1"/>
    </w:lvl>
  </w:abstractNum>
  <w:abstractNum w:abstractNumId="134">
    <w:nsid w:val="5476DE98"/>
    <w:multiLevelType w:val="hybridMultilevel"/>
    <w:lvl w:ilvl="0">
      <w:lvlJc w:val="left"/>
      <w:lvlText w:val="•"/>
      <w:numFmt w:val="bullet"/>
      <w:start w:val="1"/>
    </w:lvl>
  </w:abstractNum>
  <w:abstractNum w:abstractNumId="135">
    <w:nsid w:val="EA697F2"/>
    <w:multiLevelType w:val="hybridMultilevel"/>
    <w:lvl w:ilvl="0">
      <w:lvlJc w:val="left"/>
      <w:lvlText w:val="•"/>
      <w:numFmt w:val="bullet"/>
      <w:start w:val="1"/>
    </w:lvl>
  </w:abstractNum>
  <w:abstractNum w:abstractNumId="136">
    <w:nsid w:val="70BA39EB"/>
    <w:multiLevelType w:val="hybridMultilevel"/>
    <w:lvl w:ilvl="0">
      <w:lvlJc w:val="left"/>
      <w:lvlText w:val="•"/>
      <w:numFmt w:val="bullet"/>
      <w:start w:val="1"/>
    </w:lvl>
  </w:abstractNum>
  <w:abstractNum w:abstractNumId="137">
    <w:nsid w:val="4A8DB59C"/>
    <w:multiLevelType w:val="hybridMultilevel"/>
    <w:lvl w:ilvl="0">
      <w:lvlJc w:val="left"/>
      <w:lvlText w:val="•"/>
      <w:numFmt w:val="bullet"/>
      <w:start w:val="1"/>
    </w:lvl>
  </w:abstractNum>
  <w:abstractNum w:abstractNumId="138">
    <w:nsid w:val="1AFD9053"/>
    <w:multiLevelType w:val="hybridMultilevel"/>
    <w:lvl w:ilvl="0">
      <w:lvlJc w:val="left"/>
      <w:lvlText w:val="•"/>
      <w:numFmt w:val="bullet"/>
      <w:start w:val="1"/>
    </w:lvl>
  </w:abstractNum>
  <w:abstractNum w:abstractNumId="139">
    <w:nsid w:val="558BB10D"/>
    <w:multiLevelType w:val="hybridMultilevel"/>
    <w:lvl w:ilvl="0">
      <w:lvlJc w:val="left"/>
      <w:lvlText w:val="•"/>
      <w:numFmt w:val="bullet"/>
      <w:start w:val="1"/>
    </w:lvl>
  </w:abstractNum>
  <w:abstractNum w:abstractNumId="140">
    <w:nsid w:val="43B27FA7"/>
    <w:multiLevelType w:val="hybridMultilevel"/>
    <w:lvl w:ilvl="0">
      <w:lvlJc w:val="left"/>
      <w:lvlText w:val="•"/>
      <w:numFmt w:val="bullet"/>
      <w:start w:val="1"/>
    </w:lvl>
  </w:abstractNum>
  <w:abstractNum w:abstractNumId="141">
    <w:nsid w:val="27FADEFA"/>
    <w:multiLevelType w:val="hybridMultilevel"/>
    <w:lvl w:ilvl="0">
      <w:lvlJc w:val="left"/>
      <w:lvlText w:val="•"/>
      <w:numFmt w:val="bullet"/>
      <w:start w:val="1"/>
    </w:lvl>
  </w:abstractNum>
  <w:abstractNum w:abstractNumId="142">
    <w:nsid w:val="78BB805A"/>
    <w:multiLevelType w:val="hybridMultilevel"/>
    <w:lvl w:ilvl="0">
      <w:lvlJc w:val="left"/>
      <w:lvlText w:val="•"/>
      <w:numFmt w:val="bullet"/>
      <w:start w:val="1"/>
    </w:lvl>
  </w:abstractNum>
  <w:abstractNum w:abstractNumId="143">
    <w:nsid w:val="62548FD8"/>
    <w:multiLevelType w:val="hybridMultilevel"/>
    <w:lvl w:ilvl="0">
      <w:lvlJc w:val="left"/>
      <w:lvlText w:val="•"/>
      <w:numFmt w:val="bullet"/>
      <w:start w:val="1"/>
    </w:lvl>
  </w:abstractNum>
  <w:abstractNum w:abstractNumId="144">
    <w:nsid w:val="FA085B0"/>
    <w:multiLevelType w:val="hybridMultilevel"/>
    <w:lvl w:ilvl="0">
      <w:lvlJc w:val="left"/>
      <w:lvlText w:val="•"/>
      <w:numFmt w:val="bullet"/>
      <w:start w:val="1"/>
    </w:lvl>
  </w:abstractNum>
  <w:abstractNum w:abstractNumId="145">
    <w:nsid w:val="4E5DCB5"/>
    <w:multiLevelType w:val="hybridMultilevel"/>
    <w:lvl w:ilvl="0">
      <w:lvlJc w:val="left"/>
      <w:lvlText w:val="•"/>
      <w:numFmt w:val="bullet"/>
      <w:start w:val="1"/>
    </w:lvl>
  </w:abstractNum>
  <w:abstractNum w:abstractNumId="146">
    <w:nsid w:val="41E96BDB"/>
    <w:multiLevelType w:val="hybridMultilevel"/>
    <w:lvl w:ilvl="0">
      <w:lvlJc w:val="left"/>
      <w:lvlText w:val="•"/>
      <w:numFmt w:val="bullet"/>
      <w:start w:val="1"/>
    </w:lvl>
  </w:abstractNum>
  <w:abstractNum w:abstractNumId="147">
    <w:nsid w:val="331C4250"/>
    <w:multiLevelType w:val="hybridMultilevel"/>
    <w:lvl w:ilvl="0">
      <w:lvlJc w:val="left"/>
      <w:lvlText w:val="•"/>
      <w:numFmt w:val="bullet"/>
      <w:start w:val="1"/>
    </w:lvl>
  </w:abstractNum>
  <w:abstractNum w:abstractNumId="148">
    <w:nsid w:val="1B1493C2"/>
    <w:multiLevelType w:val="hybridMultilevel"/>
    <w:lvl w:ilvl="0">
      <w:lvlJc w:val="left"/>
      <w:lvlText w:val="•"/>
      <w:numFmt w:val="bullet"/>
      <w:start w:val="1"/>
    </w:lvl>
  </w:abstractNum>
  <w:abstractNum w:abstractNumId="149">
    <w:nsid w:val="39F06DFD"/>
    <w:multiLevelType w:val="hybridMultilevel"/>
    <w:lvl w:ilvl="0">
      <w:lvlJc w:val="left"/>
      <w:lvlText w:val="•"/>
      <w:numFmt w:val="bullet"/>
      <w:start w:val="1"/>
    </w:lvl>
  </w:abstractNum>
  <w:abstractNum w:abstractNumId="150">
    <w:nsid w:val="14802F5D"/>
    <w:multiLevelType w:val="hybridMultilevel"/>
    <w:lvl w:ilvl="0">
      <w:lvlJc w:val="left"/>
      <w:lvlText w:val="•"/>
      <w:numFmt w:val="bullet"/>
      <w:start w:val="1"/>
    </w:lvl>
  </w:abstractNum>
  <w:abstractNum w:abstractNumId="151">
    <w:nsid w:val="2774A209"/>
    <w:multiLevelType w:val="hybridMultilevel"/>
    <w:lvl w:ilvl="0">
      <w:lvlJc w:val="left"/>
      <w:lvlText w:val="(%1)"/>
      <w:numFmt w:val="lowerRoman"/>
      <w:start w:val="1"/>
    </w:lvl>
  </w:abstractNum>
  <w:abstractNum w:abstractNumId="152">
    <w:nsid w:val="3785655A"/>
    <w:multiLevelType w:val="hybridMultilevel"/>
    <w:lvl w:ilvl="0">
      <w:lvlJc w:val="left"/>
      <w:lvlText w:val="•"/>
      <w:numFmt w:val="bullet"/>
      <w:start w:val="1"/>
    </w:lvl>
  </w:abstractNum>
  <w:abstractNum w:abstractNumId="153">
    <w:nsid w:val="B2172A"/>
    <w:multiLevelType w:val="hybridMultilevel"/>
    <w:lvl w:ilvl="0">
      <w:lvlJc w:val="left"/>
      <w:lvlText w:val="•"/>
      <w:numFmt w:val="bullet"/>
      <w:start w:val="1"/>
    </w:lvl>
  </w:abstractNum>
  <w:abstractNum w:abstractNumId="154">
    <w:nsid w:val="532C34A5"/>
    <w:multiLevelType w:val="hybridMultilevel"/>
    <w:lvl w:ilvl="0">
      <w:lvlJc w:val="left"/>
      <w:lvlText w:val="•"/>
      <w:numFmt w:val="bullet"/>
      <w:start w:val="1"/>
    </w:lvl>
  </w:abstractNum>
  <w:abstractNum w:abstractNumId="155">
    <w:nsid w:val="102809E2"/>
    <w:multiLevelType w:val="hybridMultilevel"/>
    <w:lvl w:ilvl="0">
      <w:lvlJc w:val="left"/>
      <w:lvlText w:val="•"/>
      <w:numFmt w:val="bullet"/>
      <w:start w:val="1"/>
    </w:lvl>
  </w:abstractNum>
  <w:abstractNum w:abstractNumId="156">
    <w:nsid w:val="3B2125A3"/>
    <w:multiLevelType w:val="hybridMultilevel"/>
    <w:lvl w:ilvl="0">
      <w:lvlJc w:val="left"/>
      <w:lvlText w:val="•"/>
      <w:numFmt w:val="bullet"/>
      <w:start w:val="1"/>
    </w:lvl>
  </w:abstractNum>
  <w:abstractNum w:abstractNumId="157">
    <w:nsid w:val="AC68FFB"/>
    <w:multiLevelType w:val="hybridMultilevel"/>
    <w:lvl w:ilvl="0">
      <w:lvlJc w:val="left"/>
      <w:lvlText w:val="•"/>
      <w:numFmt w:val="bullet"/>
      <w:start w:val="1"/>
    </w:lvl>
    <w:lvl w:ilvl="1">
      <w:lvlJc w:val="left"/>
      <w:lvlText w:val="(%2)"/>
      <w:numFmt w:val="lowerLetter"/>
      <w:start w:val="9"/>
    </w:lvl>
  </w:abstractNum>
  <w:abstractNum w:abstractNumId="158">
    <w:nsid w:val="63DF3FB7"/>
    <w:multiLevelType w:val="hybridMultilevel"/>
    <w:lvl w:ilvl="0">
      <w:lvlJc w:val="left"/>
      <w:lvlText w:val="(%1)"/>
      <w:numFmt w:val="lowerRoman"/>
      <w:start w:val="2"/>
    </w:lvl>
  </w:abstractNum>
  <w:abstractNum w:abstractNumId="159">
    <w:nsid w:val="64996E13"/>
    <w:multiLevelType w:val="hybridMultilevel"/>
    <w:lvl w:ilvl="0">
      <w:lvlJc w:val="left"/>
      <w:lvlText w:val="•"/>
      <w:numFmt w:val="bullet"/>
      <w:start w:val="1"/>
    </w:lvl>
  </w:abstractNum>
  <w:abstractNum w:abstractNumId="160">
    <w:nsid w:val="57A37D47"/>
    <w:multiLevelType w:val="hybridMultilevel"/>
    <w:lvl w:ilvl="0">
      <w:lvlJc w:val="left"/>
      <w:lvlText w:val="(%1)"/>
      <w:numFmt w:val="lowerLetter"/>
      <w:start w:val="7"/>
    </w:lvl>
  </w:abstractNum>
  <w:abstractNum w:abstractNumId="161">
    <w:nsid w:val="74824D54"/>
    <w:multiLevelType w:val="hybridMultilevel"/>
    <w:lvl w:ilvl="0">
      <w:lvlJc w:val="left"/>
      <w:lvlText w:val="(%1)"/>
      <w:numFmt w:val="decimal"/>
      <w:start w:val="1"/>
    </w:lvl>
  </w:abstractNum>
  <w:abstractNum w:abstractNumId="162">
    <w:nsid w:val="6F00529A"/>
    <w:multiLevelType w:val="hybridMultilevel"/>
    <w:lvl w:ilvl="0">
      <w:lvlJc w:val="left"/>
      <w:lvlText w:val="(%1)"/>
      <w:numFmt w:val="lowerRoman"/>
      <w:start w:val="3"/>
    </w:lvl>
  </w:abstractNum>
  <w:abstractNum w:abstractNumId="163">
    <w:nsid w:val="805B331"/>
    <w:multiLevelType w:val="hybridMultilevel"/>
    <w:lvl w:ilvl="0">
      <w:lvlJc w:val="left"/>
      <w:lvlText w:val="•"/>
      <w:numFmt w:val="bullet"/>
      <w:start w:val="1"/>
    </w:lvl>
  </w:abstractNum>
  <w:abstractNum w:abstractNumId="164">
    <w:nsid w:val="60A1463"/>
    <w:multiLevelType w:val="hybridMultilevel"/>
    <w:lvl w:ilvl="0">
      <w:lvlJc w:val="left"/>
      <w:lvlText w:val="(%1)"/>
      <w:numFmt w:val="lowerLetter"/>
      <w:start w:val="1"/>
    </w:lvl>
    <w:lvl w:ilvl="1">
      <w:lvlJc w:val="left"/>
      <w:lvlText w:val="•"/>
      <w:numFmt w:val="bullet"/>
      <w:start w:val="1"/>
    </w:lvl>
  </w:abstractNum>
  <w:abstractNum w:abstractNumId="165">
    <w:nsid w:val="43773132"/>
    <w:multiLevelType w:val="hybridMultilevel"/>
    <w:lvl w:ilvl="0">
      <w:lvlJc w:val="left"/>
      <w:lvlText w:val="(%1)"/>
      <w:numFmt w:val="lowerLetter"/>
      <w:start w:val="6"/>
    </w:lvl>
  </w:abstractNum>
  <w:abstractNum w:abstractNumId="166">
    <w:nsid w:val="16AC4B23"/>
    <w:multiLevelType w:val="hybridMultilevel"/>
    <w:lvl w:ilvl="0">
      <w:lvlJc w:val="left"/>
      <w:lvlText w:val="(%1)"/>
      <w:numFmt w:val="lowerLetter"/>
      <w:start w:val="27"/>
    </w:lvl>
  </w:abstractNum>
  <w:abstractNum w:abstractNumId="167">
    <w:nsid w:val="76C44E4E"/>
    <w:multiLevelType w:val="hybridMultilevel"/>
    <w:lvl w:ilvl="0">
      <w:lvlJc w:val="left"/>
      <w:lvlText w:val="(%1)"/>
      <w:numFmt w:val="lowerLetter"/>
      <w:start w:val="31"/>
    </w:lvl>
  </w:abstractNum>
  <w:abstractNum w:abstractNumId="168">
    <w:nsid w:val="E04E6CE"/>
    <w:multiLevelType w:val="hybridMultilevel"/>
    <w:lvl w:ilvl="0">
      <w:lvlJc w:val="left"/>
      <w:lvlText w:val="•"/>
      <w:numFmt w:val="bullet"/>
      <w:start w:val="1"/>
    </w:lvl>
  </w:abstractNum>
  <w:abstractNum w:abstractNumId="169">
    <w:nsid w:val="31A9DB76"/>
    <w:multiLevelType w:val="hybridMultilevel"/>
    <w:lvl w:ilvl="0">
      <w:lvlJc w:val="left"/>
      <w:lvlText w:val="•"/>
      <w:numFmt w:val="bullet"/>
      <w:start w:val="1"/>
    </w:lvl>
    <w:lvl w:ilvl="1">
      <w:lvlJc w:val="left"/>
      <w:lvlText w:val="(%2)"/>
      <w:numFmt w:val="lowerRoman"/>
      <w:start w:val="1"/>
    </w:lvl>
  </w:abstractNum>
  <w:abstractNum w:abstractNumId="170">
    <w:nsid w:val="4C4FFF5B"/>
    <w:multiLevelType w:val="hybridMultilevel"/>
    <w:lvl w:ilvl="0">
      <w:lvlJc w:val="left"/>
      <w:lvlText w:val="•"/>
      <w:numFmt w:val="bullet"/>
      <w:start w:val="1"/>
    </w:lvl>
  </w:abstractNum>
  <w:abstractNum w:abstractNumId="171">
    <w:nsid w:val="51B76675"/>
    <w:multiLevelType w:val="hybridMultilevel"/>
    <w:lvl w:ilvl="0">
      <w:lvlJc w:val="left"/>
      <w:lvlText w:val="•"/>
      <w:numFmt w:val="bullet"/>
      <w:start w:val="1"/>
    </w:lvl>
  </w:abstractNum>
  <w:abstractNum w:abstractNumId="172">
    <w:nsid w:val="59A4BA71"/>
    <w:multiLevelType w:val="hybridMultilevel"/>
    <w:lvl w:ilvl="0">
      <w:lvlJc w:val="left"/>
      <w:lvlText w:val="•"/>
      <w:numFmt w:val="bullet"/>
      <w:start w:val="1"/>
    </w:lvl>
  </w:abstractNum>
  <w:abstractNum w:abstractNumId="173">
    <w:nsid w:val="450B7FB6"/>
    <w:multiLevelType w:val="hybridMultilevel"/>
    <w:lvl w:ilvl="0">
      <w:lvlJc w:val="left"/>
      <w:lvlText w:val="•"/>
      <w:numFmt w:val="bullet"/>
      <w:start w:val="1"/>
    </w:lvl>
  </w:abstractNum>
  <w:abstractNum w:abstractNumId="174">
    <w:nsid w:val="340BF64D"/>
    <w:multiLevelType w:val="hybridMultilevel"/>
    <w:lvl w:ilvl="0">
      <w:lvlJc w:val="left"/>
      <w:lvlText w:val="•"/>
      <w:numFmt w:val="bullet"/>
      <w:start w:val="1"/>
    </w:lvl>
  </w:abstractNum>
  <w:abstractNum w:abstractNumId="175">
    <w:nsid w:val="69454021"/>
    <w:multiLevelType w:val="hybridMultilevel"/>
    <w:lvl w:ilvl="0">
      <w:lvlJc w:val="left"/>
      <w:lvlText w:val="•"/>
      <w:numFmt w:val="bullet"/>
      <w:start w:val="1"/>
    </w:lvl>
  </w:abstractNum>
  <w:abstractNum w:abstractNumId="176">
    <w:nsid w:val="49F15C6B"/>
    <w:multiLevelType w:val="hybridMultilevel"/>
    <w:lvl w:ilvl="0">
      <w:lvlJc w:val="left"/>
      <w:lvlText w:val="•"/>
      <w:numFmt w:val="bullet"/>
      <w:start w:val="1"/>
    </w:lvl>
  </w:abstractNum>
  <w:abstractNum w:abstractNumId="177">
    <w:nsid w:val="75F56228"/>
    <w:multiLevelType w:val="hybridMultilevel"/>
    <w:lvl w:ilvl="0">
      <w:lvlJc w:val="left"/>
      <w:lvlText w:val="(%1)"/>
      <w:numFmt w:val="lowerRoman"/>
      <w:start w:val="1"/>
    </w:lvl>
  </w:abstractNum>
  <w:abstractNum w:abstractNumId="178">
    <w:nsid w:val="1C618271"/>
    <w:multiLevelType w:val="hybridMultilevel"/>
    <w:lvl w:ilvl="0">
      <w:lvlJc w:val="left"/>
      <w:lvlText w:val="(%1)"/>
      <w:numFmt w:val="decimal"/>
      <w:start w:val="1"/>
    </w:lvl>
  </w:abstractNum>
  <w:abstractNum w:abstractNumId="179">
    <w:nsid w:val="6505F02E"/>
    <w:multiLevelType w:val="hybridMultilevel"/>
    <w:lvl w:ilvl="0">
      <w:lvlJc w:val="left"/>
      <w:lvlText w:val="(%1)"/>
      <w:numFmt w:val="decimal"/>
      <w:start w:val="2"/>
    </w:lvl>
  </w:abstractNum>
  <w:abstractNum w:abstractNumId="180">
    <w:nsid w:val="2FE5D025"/>
    <w:multiLevelType w:val="hybridMultilevel"/>
    <w:lvl w:ilvl="0">
      <w:lvlJc w:val="left"/>
      <w:lvlText w:val="(%1)"/>
      <w:numFmt w:val="lowerRoman"/>
      <w:start w:val="11"/>
    </w:lvl>
  </w:abstractNum>
  <w:abstractNum w:abstractNumId="181">
    <w:nsid w:val="30E1B1CF"/>
    <w:multiLevelType w:val="hybridMultilevel"/>
    <w:lvl w:ilvl="0">
      <w:lvlJc w:val="left"/>
      <w:lvlText w:val="(%1)"/>
      <w:numFmt w:val="lowerRoman"/>
      <w:start w:val="18"/>
    </w:lvl>
  </w:abstractNum>
  <w:abstractNum w:abstractNumId="182">
    <w:nsid w:val="C7A9237"/>
    <w:multiLevelType w:val="hybridMultilevel"/>
    <w:lvl w:ilvl="0">
      <w:lvlJc w:val="left"/>
      <w:lvlText w:val="(%1)"/>
      <w:numFmt w:val="lowerLetter"/>
      <w:start w:val="2"/>
    </w:lvl>
  </w:abstractNum>
  <w:abstractNum w:abstractNumId="183">
    <w:nsid w:val="676B3580"/>
    <w:multiLevelType w:val="hybridMultilevel"/>
    <w:lvl w:ilvl="0">
      <w:lvlJc w:val="left"/>
      <w:lvlText w:val="(%1)"/>
      <w:numFmt w:val="lowerLetter"/>
      <w:start w:val="7"/>
    </w:lvl>
  </w:abstractNum>
  <w:abstractNum w:abstractNumId="184">
    <w:nsid w:val="3193C8F9"/>
    <w:multiLevelType w:val="hybridMultilevel"/>
    <w:lvl w:ilvl="0">
      <w:lvlJc w:val="left"/>
      <w:lvlText w:val="•"/>
      <w:numFmt w:val="bullet"/>
      <w:start w:val="1"/>
    </w:lvl>
  </w:abstractNum>
  <w:abstractNum w:abstractNumId="185">
    <w:nsid w:val="5FA6C6DC"/>
    <w:multiLevelType w:val="hybridMultilevel"/>
    <w:lvl w:ilvl="0">
      <w:lvlJc w:val="left"/>
      <w:lvlText w:val="(%1)"/>
      <w:numFmt w:val="lowerLetter"/>
      <w:start w:val="2"/>
    </w:lvl>
  </w:abstractNum>
  <w:abstractNum w:abstractNumId="186">
    <w:nsid w:val="77933F62"/>
    <w:multiLevelType w:val="hybridMultilevel"/>
    <w:lvl w:ilvl="0">
      <w:lvlJc w:val="left"/>
      <w:lvlText w:val="•"/>
      <w:numFmt w:val="bullet"/>
      <w:start w:val="1"/>
    </w:lvl>
  </w:abstractNum>
  <w:abstractNum w:abstractNumId="187">
    <w:nsid w:val="6CB4EE9C"/>
    <w:multiLevelType w:val="hybridMultilevel"/>
    <w:lvl w:ilvl="0">
      <w:lvlJc w:val="left"/>
      <w:lvlText w:val="(%1)"/>
      <w:numFmt w:val="lowerLetter"/>
      <w:start w:val="2"/>
    </w:lvl>
  </w:abstractNum>
  <w:abstractNum w:abstractNumId="188">
    <w:nsid w:val="6A6D56D7"/>
    <w:multiLevelType w:val="hybridMultilevel"/>
    <w:lvl w:ilvl="0">
      <w:lvlJc w:val="left"/>
      <w:lvlText w:val="(%1)"/>
      <w:numFmt w:val="lowerRoman"/>
      <w:start w:val="1"/>
    </w:lvl>
  </w:abstractNum>
  <w:abstractNum w:abstractNumId="189">
    <w:nsid w:val="5B727F19"/>
    <w:multiLevelType w:val="hybridMultilevel"/>
    <w:lvl w:ilvl="0">
      <w:lvlJc w:val="left"/>
      <w:lvlText w:val="(%1)"/>
      <w:numFmt w:val="lowerRoman"/>
      <w:start w:val="1"/>
    </w:lvl>
  </w:abstractNum>
  <w:abstractNum w:abstractNumId="190">
    <w:nsid w:val="514E5CB0"/>
    <w:multiLevelType w:val="hybridMultilevel"/>
    <w:lvl w:ilvl="0">
      <w:lvlJc w:val="left"/>
      <w:lvlText w:val="•"/>
      <w:numFmt w:val="bullet"/>
      <w:start w:val="1"/>
    </w:lvl>
  </w:abstractNum>
  <w:abstractNum w:abstractNumId="191">
    <w:nsid w:val="4210D41E"/>
    <w:multiLevelType w:val="hybridMultilevel"/>
    <w:lvl w:ilvl="0">
      <w:lvlJc w:val="left"/>
      <w:lvlText w:val="•"/>
      <w:numFmt w:val="bullet"/>
      <w:start w:val="1"/>
    </w:lvl>
  </w:abstractNum>
  <w:abstractNum w:abstractNumId="192">
    <w:nsid w:val="4FF4CC6D"/>
    <w:multiLevelType w:val="hybridMultilevel"/>
    <w:lvl w:ilvl="0">
      <w:lvlJc w:val="left"/>
      <w:lvlText w:val="•"/>
      <w:numFmt w:val="bullet"/>
      <w:start w:val="1"/>
    </w:lvl>
  </w:abstractNum>
  <w:abstractNum w:abstractNumId="193">
    <w:nsid w:val="404EAF4A"/>
    <w:multiLevelType w:val="hybridMultilevel"/>
    <w:lvl w:ilvl="0">
      <w:lvlJc w:val="left"/>
      <w:lvlText w:val="•"/>
      <w:numFmt w:val="bullet"/>
      <w:start w:val="1"/>
    </w:lvl>
  </w:abstractNum>
  <w:abstractNum w:abstractNumId="194">
    <w:nsid w:val="4A16874F"/>
    <w:multiLevelType w:val="hybridMultilevel"/>
    <w:lvl w:ilvl="0">
      <w:lvlJc w:val="left"/>
      <w:lvlText w:val="•"/>
      <w:numFmt w:val="bullet"/>
      <w:start w:val="1"/>
    </w:lvl>
  </w:abstractNum>
  <w:abstractNum w:abstractNumId="195">
    <w:nsid w:val="55FEE0D1"/>
    <w:multiLevelType w:val="hybridMultilevel"/>
    <w:lvl w:ilvl="0">
      <w:lvlJc w:val="left"/>
      <w:lvlText w:val="•"/>
      <w:numFmt w:val="bullet"/>
      <w:start w:val="1"/>
    </w:lvl>
  </w:abstractNum>
  <w:abstractNum w:abstractNumId="196">
    <w:nsid w:val="3C5E07C"/>
    <w:multiLevelType w:val="hybridMultilevel"/>
    <w:lvl w:ilvl="0">
      <w:lvlJc w:val="left"/>
      <w:lvlText w:val="•"/>
      <w:numFmt w:val="bullet"/>
      <w:start w:val="1"/>
    </w:lvl>
  </w:abstractNum>
  <w:abstractNum w:abstractNumId="197">
    <w:nsid w:val="60C2D273"/>
    <w:multiLevelType w:val="hybridMultilevel"/>
    <w:lvl w:ilvl="0">
      <w:lvlJc w:val="left"/>
      <w:lvlText w:val="•"/>
      <w:numFmt w:val="bullet"/>
      <w:start w:val="1"/>
    </w:lvl>
  </w:abstractNum>
  <w:abstractNum w:abstractNumId="198">
    <w:nsid w:val="4CC32F1F"/>
    <w:multiLevelType w:val="hybridMultilevel"/>
    <w:lvl w:ilvl="0">
      <w:lvlJc w:val="left"/>
      <w:lvlText w:val="•"/>
      <w:numFmt w:val="bullet"/>
      <w:start w:val="1"/>
    </w:lvl>
  </w:abstractNum>
  <w:abstractNum w:abstractNumId="199">
    <w:nsid w:val="11CAC74A"/>
    <w:multiLevelType w:val="hybridMultilevel"/>
    <w:lvl w:ilvl="0">
      <w:lvlJc w:val="left"/>
      <w:lvlText w:val="•"/>
      <w:numFmt w:val="bullet"/>
      <w:start w:val="1"/>
    </w:lvl>
  </w:abstractNum>
  <w:abstractNum w:abstractNumId="200">
    <w:nsid w:val="126CADE9"/>
    <w:multiLevelType w:val="hybridMultilevel"/>
    <w:lvl w:ilvl="0">
      <w:lvlJc w:val="left"/>
      <w:lvlText w:val="•"/>
      <w:numFmt w:val="bullet"/>
      <w:start w:val="1"/>
    </w:lvl>
  </w:abstractNum>
  <w:abstractNum w:abstractNumId="201">
    <w:nsid w:val="19132E7B"/>
    <w:multiLevelType w:val="hybridMultilevel"/>
    <w:lvl w:ilvl="0">
      <w:lvlJc w:val="left"/>
      <w:lvlText w:val="•"/>
      <w:numFmt w:val="bullet"/>
      <w:start w:val="1"/>
    </w:lvl>
  </w:abstractNum>
  <w:abstractNum w:abstractNumId="202">
    <w:nsid w:val="63822DC0"/>
    <w:multiLevelType w:val="hybridMultilevel"/>
    <w:lvl w:ilvl="0">
      <w:lvlJc w:val="left"/>
      <w:lvlText w:val="(%1)"/>
      <w:numFmt w:val="decimal"/>
      <w:start w:val="1"/>
    </w:lvl>
  </w:abstractNum>
  <w:abstractNum w:abstractNumId="203">
    <w:nsid w:val="6C11685A"/>
    <w:multiLevelType w:val="hybridMultilevel"/>
    <w:lvl w:ilvl="0">
      <w:lvlJc w:val="left"/>
      <w:lvlText w:val="•"/>
      <w:numFmt w:val="bullet"/>
      <w:start w:val="1"/>
    </w:lvl>
  </w:abstractNum>
  <w:abstractNum w:abstractNumId="204">
    <w:nsid w:val="5E1EAE31"/>
    <w:multiLevelType w:val="hybridMultilevel"/>
    <w:lvl w:ilvl="0">
      <w:lvlJc w:val="left"/>
      <w:lvlText w:val="•"/>
      <w:numFmt w:val="bullet"/>
      <w:start w:val="1"/>
    </w:lvl>
  </w:abstractNum>
  <w:abstractNum w:abstractNumId="205">
    <w:nsid w:val="178E240D"/>
    <w:multiLevelType w:val="hybridMultilevel"/>
    <w:lvl w:ilvl="0">
      <w:lvlJc w:val="left"/>
      <w:lvlText w:val="(%1)"/>
      <w:numFmt w:val="decimal"/>
      <w:start w:val="1"/>
    </w:lvl>
  </w:abstractNum>
  <w:abstractNum w:abstractNumId="206">
    <w:nsid w:val="5556A87B"/>
    <w:multiLevelType w:val="hybridMultilevel"/>
    <w:lvl w:ilvl="0">
      <w:lvlJc w:val="left"/>
      <w:lvlText w:val="•"/>
      <w:numFmt w:val="bullet"/>
      <w:start w:val="1"/>
    </w:lvl>
  </w:abstractNum>
  <w:abstractNum w:abstractNumId="207">
    <w:nsid w:val="28100A9C"/>
    <w:multiLevelType w:val="hybridMultilevel"/>
    <w:lvl w:ilvl="0">
      <w:lvlJc w:val="left"/>
      <w:lvlText w:val="•"/>
      <w:numFmt w:val="bullet"/>
      <w:start w:val="1"/>
    </w:lvl>
    <w:lvl w:ilvl="1">
      <w:lvlJc w:val="left"/>
      <w:lvlText w:val="•"/>
      <w:numFmt w:val="bullet"/>
      <w:start w:val="1"/>
    </w:lvl>
  </w:abstractNum>
  <w:abstractNum w:abstractNumId="208">
    <w:nsid w:val="D838636"/>
    <w:multiLevelType w:val="hybridMultilevel"/>
    <w:lvl w:ilvl="0">
      <w:lvlJc w:val="left"/>
      <w:lvlText w:val="2"/>
      <w:numFmt w:val="bullet"/>
      <w:start w:val="1"/>
    </w:lvl>
  </w:abstractNum>
  <w:abstractNum w:abstractNumId="209">
    <w:nsid w:val="71B82AED"/>
    <w:multiLevelType w:val="hybridMultilevel"/>
    <w:lvl w:ilvl="0">
      <w:lvlJc w:val="left"/>
      <w:lvlText w:val="•"/>
      <w:numFmt w:val="bullet"/>
      <w:start w:val="1"/>
    </w:lvl>
  </w:abstractNum>
  <w:abstractNum w:abstractNumId="210">
    <w:nsid w:val="D15FACA"/>
    <w:multiLevelType w:val="hybridMultilevel"/>
    <w:lvl w:ilvl="0">
      <w:lvlJc w:val="left"/>
      <w:lvlText w:val="5"/>
      <w:numFmt w:val="bullet"/>
      <w:start w:val="1"/>
    </w:lvl>
  </w:abstractNum>
  <w:abstractNum w:abstractNumId="211">
    <w:nsid w:val="3D69565B"/>
    <w:multiLevelType w:val="hybridMultilevel"/>
    <w:lvl w:ilvl="0">
      <w:lvlJc w:val="left"/>
      <w:lvlText w:val="6"/>
      <w:numFmt w:val="bullet"/>
      <w:start w:val="1"/>
    </w:lvl>
  </w:abstractNum>
  <w:abstractNum w:abstractNumId="212">
    <w:nsid w:val="2299DCBC"/>
    <w:multiLevelType w:val="hybridMultilevel"/>
    <w:lvl w:ilvl="0">
      <w:lvlJc w:val="left"/>
      <w:lvlText w:val="•"/>
      <w:numFmt w:val="bullet"/>
      <w:start w:val="1"/>
    </w:lvl>
  </w:abstractNum>
  <w:abstractNum w:abstractNumId="213">
    <w:nsid w:val="19908D02"/>
    <w:multiLevelType w:val="hybridMultilevel"/>
    <w:lvl w:ilvl="0">
      <w:lvlJc w:val="left"/>
      <w:lvlText w:val="•"/>
      <w:numFmt w:val="bullet"/>
      <w:start w:val="1"/>
    </w:lvl>
  </w:abstractNum>
  <w:abstractNum w:abstractNumId="214">
    <w:nsid w:val="24D48BDB"/>
    <w:multiLevelType w:val="hybridMultilevel"/>
    <w:lvl w:ilvl="0">
      <w:lvlJc w:val="left"/>
      <w:lvlText w:val="•"/>
      <w:numFmt w:val="bullet"/>
      <w:start w:val="1"/>
    </w:lvl>
  </w:abstractNum>
  <w:abstractNum w:abstractNumId="215">
    <w:nsid w:val="542DA5B5"/>
    <w:multiLevelType w:val="hybridMultilevel"/>
    <w:lvl w:ilvl="0">
      <w:lvlJc w:val="left"/>
      <w:lvlText w:val="(%1)"/>
      <w:numFmt w:val="decimal"/>
      <w:start w:val="1"/>
    </w:lvl>
  </w:abstractNum>
  <w:abstractNum w:abstractNumId="216">
    <w:nsid w:val="793753DE"/>
    <w:multiLevelType w:val="hybridMultilevel"/>
    <w:lvl w:ilvl="0">
      <w:lvlJc w:val="left"/>
      <w:lvlText w:val="•"/>
      <w:numFmt w:val="bullet"/>
      <w:start w:val="1"/>
    </w:lvl>
  </w:abstractNum>
  <w:abstractNum w:abstractNumId="217">
    <w:nsid w:val="1C67CB3D"/>
    <w:multiLevelType w:val="hybridMultilevel"/>
    <w:lvl w:ilvl="0">
      <w:lvlJc w:val="left"/>
      <w:lvlText w:val="(%1)"/>
      <w:numFmt w:val="lowerRoman"/>
      <w:start w:val="1"/>
    </w:lvl>
  </w:abstractNum>
  <w:abstractNum w:abstractNumId="218">
    <w:nsid w:val="40E29452"/>
    <w:multiLevelType w:val="hybridMultilevel"/>
    <w:lvl w:ilvl="0">
      <w:lvlJc w:val="left"/>
      <w:lvlText w:val="(%1)"/>
      <w:numFmt w:val="lowerRoman"/>
      <w:start w:val="7"/>
    </w:lvl>
  </w:abstractNum>
  <w:abstractNum w:abstractNumId="219">
    <w:nsid w:val="63A4AAB6"/>
    <w:multiLevelType w:val="hybridMultilevel"/>
    <w:lvl w:ilvl="0">
      <w:lvlJc w:val="left"/>
      <w:lvlText w:val="•"/>
      <w:numFmt w:val="bullet"/>
      <w:start w:val="1"/>
    </w:lvl>
  </w:abstractNum>
  <w:abstractNum w:abstractNumId="220">
    <w:nsid w:val="77DA4A57"/>
    <w:multiLevelType w:val="hybridMultilevel"/>
    <w:lvl w:ilvl="0">
      <w:lvlJc w:val="left"/>
      <w:lvlText w:val="\emdash "/>
      <w:numFmt w:val="bullet"/>
      <w:start w:val="1"/>
    </w:lvl>
  </w:abstractNum>
  <w:abstractNum w:abstractNumId="221">
    <w:nsid w:val="1230F102"/>
    <w:multiLevelType w:val="hybridMultilevel"/>
    <w:lvl w:ilvl="0">
      <w:lvlJc w:val="left"/>
      <w:lvlText w:val="(%1)"/>
      <w:numFmt w:val="lowerRoman"/>
      <w:start w:val="2"/>
    </w:lvl>
    <w:lvl w:ilvl="1">
      <w:lvlJc w:val="left"/>
      <w:lvlText w:val="•"/>
      <w:numFmt w:val="bullet"/>
      <w:start w:val="1"/>
    </w:lvl>
  </w:abstractNum>
  <w:abstractNum w:abstractNumId="222">
    <w:nsid w:val="25B57ED4"/>
    <w:multiLevelType w:val="hybridMultilevel"/>
    <w:lvl w:ilvl="0">
      <w:lvlJc w:val="left"/>
      <w:lvlText w:val="•"/>
      <w:numFmt w:val="bullet"/>
      <w:start w:val="1"/>
    </w:lvl>
  </w:abstractNum>
  <w:abstractNum w:abstractNumId="223">
    <w:nsid w:val="47CF16C4"/>
    <w:multiLevelType w:val="hybridMultilevel"/>
    <w:lvl w:ilvl="0">
      <w:lvlJc w:val="left"/>
      <w:lvlText w:val="•"/>
      <w:numFmt w:val="bullet"/>
      <w:start w:val="1"/>
    </w:lvl>
  </w:abstractNum>
  <w:abstractNum w:abstractNumId="224">
    <w:nsid w:val="527FA04C"/>
    <w:multiLevelType w:val="hybridMultilevel"/>
    <w:lvl w:ilvl="0">
      <w:lvlJc w:val="left"/>
      <w:lvlText w:val="(%1)"/>
      <w:numFmt w:val="lowerRoman"/>
      <w:start w:val="2"/>
    </w:lvl>
  </w:abstractNum>
  <w:abstractNum w:abstractNumId="225">
    <w:nsid w:val="6FCC0624"/>
    <w:multiLevelType w:val="hybridMultilevel"/>
    <w:lvl w:ilvl="0">
      <w:lvlJc w:val="left"/>
      <w:lvlText w:val="•"/>
      <w:numFmt w:val="bullet"/>
      <w:start w:val="1"/>
    </w:lvl>
  </w:abstractNum>
  <w:abstractNum w:abstractNumId="226">
    <w:nsid w:val="1DCDF795"/>
    <w:multiLevelType w:val="hybridMultilevel"/>
    <w:lvl w:ilvl="0">
      <w:lvlJc w:val="left"/>
      <w:lvlText w:val="(%1)"/>
      <w:numFmt w:val="lowerRoman"/>
      <w:start w:val="1"/>
    </w:lvl>
  </w:abstractNum>
  <w:abstractNum w:abstractNumId="227">
    <w:nsid w:val="564580C8"/>
    <w:multiLevelType w:val="hybridMultilevel"/>
    <w:lvl w:ilvl="0">
      <w:lvlJc w:val="left"/>
      <w:lvlText w:val="(%1)"/>
      <w:numFmt w:val="lowerRoman"/>
      <w:start w:val="2"/>
    </w:lvl>
  </w:abstractNum>
  <w:abstractNum w:abstractNumId="228">
    <w:nsid w:val="508ED897"/>
    <w:multiLevelType w:val="hybridMultilevel"/>
    <w:lvl w:ilvl="0">
      <w:lvlJc w:val="left"/>
      <w:lvlText w:val="•"/>
      <w:numFmt w:val="bullet"/>
      <w:start w:val="1"/>
    </w:lvl>
  </w:abstractNum>
  <w:abstractNum w:abstractNumId="229">
    <w:nsid w:val="6A9126B5"/>
    <w:multiLevelType w:val="hybridMultilevel"/>
    <w:lvl w:ilvl="0">
      <w:lvlJc w:val="left"/>
      <w:lvlText w:val="•"/>
      <w:numFmt w:val="bullet"/>
      <w:start w:val="1"/>
    </w:lvl>
  </w:abstractNum>
  <w:abstractNum w:abstractNumId="230">
    <w:nsid w:val="68104812"/>
    <w:multiLevelType w:val="hybridMultilevel"/>
    <w:lvl w:ilvl="0">
      <w:lvlJc w:val="left"/>
      <w:lvlText w:val="•"/>
      <w:numFmt w:val="bullet"/>
      <w:start w:val="1"/>
    </w:lvl>
  </w:abstractNum>
  <w:abstractNum w:abstractNumId="231">
    <w:nsid w:val="62FB8680"/>
    <w:multiLevelType w:val="hybridMultilevel"/>
    <w:lvl w:ilvl="0">
      <w:lvlJc w:val="left"/>
      <w:lvlText w:val="•"/>
      <w:numFmt w:val="bullet"/>
      <w:start w:val="1"/>
    </w:lvl>
  </w:abstractNum>
  <w:abstractNum w:abstractNumId="232">
    <w:nsid w:val="3A45530"/>
    <w:multiLevelType w:val="hybridMultilevel"/>
    <w:lvl w:ilvl="0">
      <w:lvlJc w:val="left"/>
      <w:lvlText w:val="•"/>
      <w:numFmt w:val="bullet"/>
      <w:start w:val="1"/>
    </w:lvl>
  </w:abstractNum>
  <w:abstractNum w:abstractNumId="233">
    <w:nsid w:val="4B9275D2"/>
    <w:multiLevelType w:val="hybridMultilevel"/>
    <w:lvl w:ilvl="0">
      <w:lvlJc w:val="left"/>
      <w:lvlText w:val="•"/>
      <w:numFmt w:val="bullet"/>
      <w:start w:val="1"/>
    </w:lvl>
  </w:abstractNum>
  <w:abstractNum w:abstractNumId="234">
    <w:nsid w:val="4F0CEEDB"/>
    <w:multiLevelType w:val="hybridMultilevel"/>
    <w:lvl w:ilvl="0">
      <w:lvlJc w:val="left"/>
      <w:lvlText w:val="(%1)"/>
      <w:numFmt w:val="lowerRoman"/>
      <w:start w:val="1"/>
    </w:lvl>
  </w:abstractNum>
  <w:abstractNum w:abstractNumId="235">
    <w:nsid w:val="61C30361"/>
    <w:multiLevelType w:val="hybridMultilevel"/>
    <w:lvl w:ilvl="0">
      <w:lvlJc w:val="left"/>
      <w:lvlText w:val="(%1)"/>
      <w:numFmt w:val="lowerRoman"/>
      <w:start w:val="2"/>
    </w:lvl>
  </w:abstractNum>
  <w:abstractNum w:abstractNumId="236">
    <w:nsid w:val="632099E0"/>
    <w:multiLevelType w:val="hybridMultilevel"/>
    <w:lvl w:ilvl="0">
      <w:lvlJc w:val="left"/>
      <w:lvlText w:val="(%1)"/>
      <w:numFmt w:val="lowerLetter"/>
      <w:start w:val="2"/>
    </w:lvl>
  </w:abstractNum>
  <w:abstractNum w:abstractNumId="237">
    <w:nsid w:val="24639756"/>
    <w:multiLevelType w:val="hybridMultilevel"/>
    <w:lvl w:ilvl="0">
      <w:lvlJc w:val="left"/>
      <w:lvlText w:val="7"/>
      <w:numFmt w:val="bullet"/>
      <w:start w:val="1"/>
    </w:lvl>
  </w:abstractNum>
  <w:abstractNum w:abstractNumId="238">
    <w:nsid w:val="9D30DFD"/>
    <w:multiLevelType w:val="hybridMultilevel"/>
    <w:lvl w:ilvl="0">
      <w:lvlJc w:val="left"/>
      <w:lvlText w:val="•"/>
      <w:numFmt w:val="bullet"/>
      <w:start w:val="1"/>
    </w:lvl>
  </w:abstractNum>
  <w:abstractNum w:abstractNumId="239">
    <w:nsid w:val="70A42016"/>
    <w:multiLevelType w:val="hybridMultilevel"/>
    <w:lvl w:ilvl="0">
      <w:lvlJc w:val="left"/>
      <w:lvlText w:val="•"/>
      <w:numFmt w:val="bullet"/>
      <w:start w:val="1"/>
    </w:lvl>
  </w:abstractNum>
  <w:abstractNum w:abstractNumId="240">
    <w:nsid w:val="161BC243"/>
    <w:multiLevelType w:val="hybridMultilevel"/>
    <w:lvl w:ilvl="0">
      <w:lvlJc w:val="left"/>
      <w:lvlText w:val="•"/>
      <w:numFmt w:val="bullet"/>
      <w:start w:val="1"/>
    </w:lvl>
  </w:abstractNum>
  <w:abstractNum w:abstractNumId="241">
    <w:nsid w:val="16E908C8"/>
    <w:multiLevelType w:val="hybridMultilevel"/>
    <w:lvl w:ilvl="0">
      <w:lvlJc w:val="left"/>
      <w:lvlText w:val="•"/>
      <w:numFmt w:val="bullet"/>
      <w:start w:val="1"/>
    </w:lvl>
  </w:abstractNum>
  <w:abstractNum w:abstractNumId="242">
    <w:nsid w:val="2E0D7671"/>
    <w:multiLevelType w:val="hybridMultilevel"/>
    <w:lvl w:ilvl="0">
      <w:lvlJc w:val="left"/>
      <w:lvlText w:val="•"/>
      <w:numFmt w:val="bullet"/>
      <w:start w:val="1"/>
    </w:lvl>
  </w:abstractNum>
  <w:abstractNum w:abstractNumId="243">
    <w:nsid w:val="38B59EFF"/>
    <w:multiLevelType w:val="hybridMultilevel"/>
    <w:lvl w:ilvl="0">
      <w:lvlJc w:val="left"/>
      <w:lvlText w:val="•"/>
      <w:numFmt w:val="bullet"/>
      <w:start w:val="1"/>
    </w:lvl>
  </w:abstractNum>
  <w:abstractNum w:abstractNumId="244">
    <w:nsid w:val="307995CA"/>
    <w:multiLevelType w:val="hybridMultilevel"/>
    <w:lvl w:ilvl="0">
      <w:lvlJc w:val="left"/>
      <w:lvlText w:val="•"/>
      <w:numFmt w:val="bullet"/>
      <w:start w:val="1"/>
    </w:lvl>
  </w:abstractNum>
  <w:abstractNum w:abstractNumId="245">
    <w:nsid w:val="52E2024D"/>
    <w:multiLevelType w:val="hybridMultilevel"/>
    <w:lvl w:ilvl="0">
      <w:lvlJc w:val="left"/>
      <w:lvlText w:val="•"/>
      <w:numFmt w:val="bullet"/>
      <w:start w:val="1"/>
    </w:lvl>
  </w:abstractNum>
  <w:abstractNum w:abstractNumId="246">
    <w:nsid w:val="CE344B5"/>
    <w:multiLevelType w:val="hybridMultilevel"/>
    <w:lvl w:ilvl="0">
      <w:lvlJc w:val="left"/>
      <w:lvlText w:val="•"/>
      <w:numFmt w:val="bullet"/>
      <w:start w:val="1"/>
    </w:lvl>
  </w:abstractNum>
  <w:abstractNum w:abstractNumId="247">
    <w:nsid w:val="29B0E9A8"/>
    <w:multiLevelType w:val="hybridMultilevel"/>
    <w:lvl w:ilvl="0">
      <w:lvlJc w:val="left"/>
      <w:lvlText w:val="•"/>
      <w:numFmt w:val="bullet"/>
      <w:start w:val="1"/>
    </w:lvl>
  </w:abstractNum>
  <w:abstractNum w:abstractNumId="248">
    <w:nsid w:val="6F49CD8A"/>
    <w:multiLevelType w:val="hybridMultilevel"/>
    <w:lvl w:ilvl="0">
      <w:lvlJc w:val="left"/>
      <w:lvlText w:val="•"/>
      <w:numFmt w:val="bullet"/>
      <w:start w:val="1"/>
    </w:lvl>
  </w:abstractNum>
  <w:abstractNum w:abstractNumId="249">
    <w:nsid w:val="4DC5D907"/>
    <w:multiLevelType w:val="hybridMultilevel"/>
    <w:lvl w:ilvl="0">
      <w:lvlJc w:val="left"/>
      <w:lvlText w:val="•"/>
      <w:numFmt w:val="bullet"/>
      <w:start w:val="1"/>
    </w:lvl>
  </w:abstractNum>
  <w:abstractNum w:abstractNumId="250">
    <w:nsid w:val="D55945E"/>
    <w:multiLevelType w:val="hybridMultilevel"/>
    <w:lvl w:ilvl="0">
      <w:lvlJc w:val="left"/>
      <w:lvlText w:val="•"/>
      <w:numFmt w:val="bullet"/>
      <w:start w:val="1"/>
    </w:lvl>
  </w:abstractNum>
  <w:abstractNum w:abstractNumId="251">
    <w:nsid w:val="672417E1"/>
    <w:multiLevelType w:val="hybridMultilevel"/>
    <w:lvl w:ilvl="0">
      <w:lvlJc w:val="left"/>
      <w:lvlText w:val="•"/>
      <w:numFmt w:val="bullet"/>
      <w:start w:val="1"/>
    </w:lvl>
  </w:abstractNum>
  <w:abstractNum w:abstractNumId="252">
    <w:nsid w:val="5FF6CA09"/>
    <w:multiLevelType w:val="hybridMultilevel"/>
    <w:lvl w:ilvl="0">
      <w:lvlJc w:val="left"/>
      <w:lvlText w:val="•"/>
      <w:numFmt w:val="bullet"/>
      <w:start w:val="1"/>
    </w:lvl>
  </w:abstractNum>
  <w:abstractNum w:abstractNumId="253">
    <w:nsid w:val="330B1333"/>
    <w:multiLevelType w:val="hybridMultilevel"/>
    <w:lvl w:ilvl="0">
      <w:lvlJc w:val="left"/>
      <w:lvlText w:val="•"/>
      <w:numFmt w:val="bullet"/>
      <w:start w:val="1"/>
    </w:lvl>
  </w:abstractNum>
  <w:abstractNum w:abstractNumId="254">
    <w:nsid w:val="2EF32EA6"/>
    <w:multiLevelType w:val="hybridMultilevel"/>
    <w:lvl w:ilvl="0">
      <w:lvlJc w:val="left"/>
      <w:lvlText w:val="8"/>
      <w:numFmt w:val="bullet"/>
      <w:start w:val="1"/>
    </w:lvl>
  </w:abstractNum>
  <w:abstractNum w:abstractNumId="255">
    <w:nsid w:val="32766A55"/>
    <w:multiLevelType w:val="hybridMultilevel"/>
    <w:lvl w:ilvl="0">
      <w:lvlJc w:val="left"/>
      <w:lvlText w:val="•"/>
      <w:numFmt w:val="bullet"/>
      <w:start w:val="1"/>
    </w:lvl>
  </w:abstractNum>
  <w:abstractNum w:abstractNumId="256">
    <w:nsid w:val="22D71957"/>
    <w:multiLevelType w:val="hybridMultilevel"/>
    <w:lvl w:ilvl="0">
      <w:lvlJc w:val="left"/>
      <w:lvlText w:val="•"/>
      <w:numFmt w:val="bullet"/>
      <w:start w:val="1"/>
    </w:lvl>
  </w:abstractNum>
  <w:abstractNum w:abstractNumId="257">
    <w:nsid w:val="4CC1263B"/>
    <w:multiLevelType w:val="hybridMultilevel"/>
    <w:lvl w:ilvl="0">
      <w:lvlJc w:val="left"/>
      <w:lvlText w:val="•"/>
      <w:numFmt w:val="bullet"/>
      <w:start w:val="1"/>
    </w:lvl>
  </w:abstractNum>
  <w:abstractNum w:abstractNumId="258">
    <w:nsid w:val="8BBEB1D"/>
    <w:multiLevelType w:val="hybridMultilevel"/>
    <w:lvl w:ilvl="0">
      <w:lvlJc w:val="left"/>
      <w:lvlText w:val="•"/>
      <w:numFmt w:val="bullet"/>
      <w:start w:val="1"/>
    </w:lvl>
  </w:abstractNum>
  <w:abstractNum w:abstractNumId="259">
    <w:nsid w:val="7365F1EE"/>
    <w:multiLevelType w:val="hybridMultilevel"/>
    <w:lvl w:ilvl="0">
      <w:lvlJc w:val="left"/>
      <w:lvlText w:val="•"/>
      <w:numFmt w:val="bullet"/>
      <w:start w:val="1"/>
    </w:lvl>
  </w:abstractNum>
  <w:abstractNum w:abstractNumId="260">
    <w:nsid w:val="37524CF0"/>
    <w:multiLevelType w:val="hybridMultilevel"/>
    <w:lvl w:ilvl="0">
      <w:lvlJc w:val="left"/>
      <w:lvlText w:val="•"/>
      <w:numFmt w:val="bullet"/>
      <w:start w:val="1"/>
    </w:lvl>
  </w:abstractNum>
  <w:abstractNum w:abstractNumId="261">
    <w:nsid w:val="70CC332F"/>
    <w:multiLevelType w:val="hybridMultilevel"/>
    <w:lvl w:ilvl="0">
      <w:lvlJc w:val="left"/>
      <w:lvlText w:val="•"/>
      <w:numFmt w:val="bullet"/>
      <w:start w:val="1"/>
    </w:lvl>
  </w:abstractNum>
  <w:abstractNum w:abstractNumId="262">
    <w:nsid w:val="5661786E"/>
    <w:multiLevelType w:val="hybridMultilevel"/>
    <w:lvl w:ilvl="0">
      <w:lvlJc w:val="left"/>
      <w:lvlText w:val="•"/>
      <w:numFmt w:val="bullet"/>
      <w:start w:val="1"/>
    </w:lvl>
  </w:abstractNum>
  <w:abstractNum w:abstractNumId="263">
    <w:nsid w:val="3AF6A220"/>
    <w:multiLevelType w:val="hybridMultilevel"/>
    <w:lvl w:ilvl="0">
      <w:lvlJc w:val="left"/>
      <w:lvlText w:val="•"/>
      <w:numFmt w:val="bullet"/>
      <w:start w:val="1"/>
    </w:lvl>
  </w:abstractNum>
  <w:abstractNum w:abstractNumId="264">
    <w:nsid w:val="3C5EA902"/>
    <w:multiLevelType w:val="hybridMultilevel"/>
    <w:lvl w:ilvl="0">
      <w:lvlJc w:val="left"/>
      <w:lvlText w:val="•"/>
      <w:numFmt w:val="bullet"/>
      <w:start w:val="1"/>
    </w:lvl>
  </w:abstractNum>
  <w:abstractNum w:abstractNumId="265">
    <w:nsid w:val="256E6749"/>
    <w:multiLevelType w:val="hybridMultilevel"/>
    <w:lvl w:ilvl="0">
      <w:lvlJc w:val="left"/>
      <w:lvlText w:val="•"/>
      <w:numFmt w:val="bullet"/>
      <w:start w:val="1"/>
    </w:lvl>
  </w:abstractNum>
  <w:abstractNum w:abstractNumId="266">
    <w:nsid w:val="1CB9A581"/>
    <w:multiLevelType w:val="hybridMultilevel"/>
    <w:lvl w:ilvl="0">
      <w:lvlJc w:val="left"/>
      <w:lvlText w:val="•"/>
      <w:numFmt w:val="bullet"/>
      <w:start w:val="1"/>
    </w:lvl>
  </w:abstractNum>
  <w:abstractNum w:abstractNumId="267">
    <w:nsid w:val="1F7F42E2"/>
    <w:multiLevelType w:val="hybridMultilevel"/>
    <w:lvl w:ilvl="0">
      <w:lvlJc w:val="left"/>
      <w:lvlText w:val="•"/>
      <w:numFmt w:val="bullet"/>
      <w:start w:val="1"/>
    </w:lvl>
  </w:abstractNum>
  <w:abstractNum w:abstractNumId="268">
    <w:nsid w:val="49D1FEA0"/>
    <w:multiLevelType w:val="hybridMultilevel"/>
    <w:lvl w:ilvl="0">
      <w:lvlJc w:val="left"/>
      <w:lvlText w:val="(%1)"/>
      <w:numFmt w:val="decimal"/>
      <w:start w:val="1"/>
    </w:lvl>
  </w:abstractNum>
  <w:abstractNum w:abstractNumId="269">
    <w:nsid w:val="268CB37F"/>
    <w:multiLevelType w:val="hybridMultilevel"/>
    <w:lvl w:ilvl="0">
      <w:lvlJc w:val="left"/>
      <w:lvlText w:val="•"/>
      <w:numFmt w:val="bullet"/>
      <w:start w:val="1"/>
    </w:lvl>
  </w:abstractNum>
  <w:abstractNum w:abstractNumId="270">
    <w:nsid w:val="102362F8"/>
    <w:multiLevelType w:val="hybridMultilevel"/>
    <w:lvl w:ilvl="0">
      <w:lvlJc w:val="left"/>
      <w:lvlText w:val="•"/>
      <w:numFmt w:val="bullet"/>
      <w:start w:val="1"/>
    </w:lvl>
  </w:abstractNum>
  <w:abstractNum w:abstractNumId="271">
    <w:nsid w:val="5FEDC0E3"/>
    <w:multiLevelType w:val="hybridMultilevel"/>
    <w:lvl w:ilvl="0">
      <w:lvlJc w:val="left"/>
      <w:lvlText w:val="•"/>
      <w:numFmt w:val="bullet"/>
      <w:start w:val="1"/>
    </w:lvl>
  </w:abstractNum>
  <w:abstractNum w:abstractNumId="272">
    <w:nsid w:val="3D75BC47"/>
    <w:multiLevelType w:val="hybridMultilevel"/>
    <w:lvl w:ilvl="0">
      <w:lvlJc w:val="left"/>
      <w:lvlText w:val="•"/>
      <w:numFmt w:val="bullet"/>
      <w:start w:val="1"/>
    </w:lvl>
  </w:abstractNum>
  <w:abstractNum w:abstractNumId="273">
    <w:nsid w:val="3E30D969"/>
    <w:multiLevelType w:val="hybridMultilevel"/>
    <w:lvl w:ilvl="0">
      <w:lvlJc w:val="left"/>
      <w:lvlText w:val="•"/>
      <w:numFmt w:val="bullet"/>
      <w:start w:val="1"/>
    </w:lvl>
  </w:abstractNum>
  <w:abstractNum w:abstractNumId="274">
    <w:nsid w:val="18A35FE3"/>
    <w:multiLevelType w:val="hybridMultilevel"/>
    <w:lvl w:ilvl="0">
      <w:lvlJc w:val="left"/>
      <w:lvlText w:val="•"/>
      <w:numFmt w:val="bullet"/>
      <w:start w:val="1"/>
    </w:lvl>
  </w:abstractNum>
  <w:abstractNum w:abstractNumId="275">
    <w:nsid w:val="6DEF5211"/>
    <w:multiLevelType w:val="hybridMultilevel"/>
    <w:lvl w:ilvl="0">
      <w:lvlJc w:val="left"/>
      <w:lvlText w:val="•"/>
      <w:numFmt w:val="bullet"/>
      <w:start w:val="1"/>
    </w:lvl>
  </w:abstractNum>
  <w:abstractNum w:abstractNumId="276">
    <w:nsid w:val="1112DBB6"/>
    <w:multiLevelType w:val="hybridMultilevel"/>
    <w:lvl w:ilvl="0">
      <w:lvlJc w:val="left"/>
      <w:lvlText w:val="•"/>
      <w:numFmt w:val="bullet"/>
      <w:start w:val="1"/>
    </w:lvl>
  </w:abstractNum>
  <w:abstractNum w:abstractNumId="277">
    <w:nsid w:val="2586A498"/>
    <w:multiLevelType w:val="hybridMultilevel"/>
    <w:lvl w:ilvl="0">
      <w:lvlJc w:val="left"/>
      <w:lvlText w:val="•"/>
      <w:numFmt w:val="bullet"/>
      <w:start w:val="1"/>
    </w:lvl>
  </w:abstractNum>
  <w:abstractNum w:abstractNumId="278">
    <w:nsid w:val="17A03BB9"/>
    <w:multiLevelType w:val="hybridMultilevel"/>
    <w:lvl w:ilvl="0">
      <w:lvlJc w:val="left"/>
      <w:lvlText w:val="*"/>
      <w:numFmt w:val="bullet"/>
      <w:start w:val="1"/>
    </w:lvl>
  </w:abstractNum>
  <w:abstractNum w:abstractNumId="279">
    <w:nsid w:val="5CA941"/>
    <w:multiLevelType w:val="hybridMultilevel"/>
    <w:lvl w:ilvl="0">
      <w:lvlJc w:val="left"/>
      <w:lvlText w:val="(%1)"/>
      <w:numFmt w:val="decimal"/>
      <w:start w:val="1"/>
    </w:lvl>
  </w:abstractNum>
  <w:abstractNum w:abstractNumId="280">
    <w:nsid w:val="734C7D9F"/>
    <w:multiLevelType w:val="hybridMultilevel"/>
    <w:lvl w:ilvl="0">
      <w:lvlJc w:val="left"/>
      <w:lvlText w:val="(%1)"/>
      <w:numFmt w:val="decimal"/>
      <w:start w:val="5"/>
    </w:lvl>
  </w:abstractNum>
  <w:abstractNum w:abstractNumId="281">
    <w:nsid w:val="24F5D018"/>
    <w:multiLevelType w:val="hybridMultilevel"/>
    <w:lvl w:ilvl="0">
      <w:lvlJc w:val="left"/>
      <w:lvlText w:val="•"/>
      <w:numFmt w:val="bullet"/>
      <w:start w:val="1"/>
    </w:lvl>
  </w:abstractNum>
  <w:abstractNum w:abstractNumId="282">
    <w:nsid w:val="6780C122"/>
    <w:multiLevelType w:val="hybridMultilevel"/>
    <w:lvl w:ilvl="0">
      <w:lvlJc w:val="left"/>
      <w:lvlText w:val="•"/>
      <w:numFmt w:val="bullet"/>
      <w:start w:val="1"/>
    </w:lvl>
  </w:abstractNum>
  <w:abstractNum w:abstractNumId="283">
    <w:nsid w:val="534347A8"/>
    <w:multiLevelType w:val="hybridMultilevel"/>
    <w:lvl w:ilvl="0">
      <w:lvlJc w:val="left"/>
      <w:lvlText w:val="*"/>
      <w:numFmt w:val="bullet"/>
      <w:start w:val="1"/>
    </w:lvl>
  </w:abstractNum>
  <w:abstractNum w:abstractNumId="284">
    <w:nsid w:val="5800E34B"/>
    <w:multiLevelType w:val="hybridMultilevel"/>
    <w:lvl w:ilvl="0">
      <w:lvlJc w:val="left"/>
      <w:lvlText w:val="(%1)"/>
      <w:numFmt w:val="decimal"/>
      <w:start w:val="1"/>
    </w:lvl>
  </w:abstractNum>
  <w:abstractNum w:abstractNumId="285">
    <w:nsid w:val="1673EFC8"/>
    <w:multiLevelType w:val="hybridMultilevel"/>
    <w:lvl w:ilvl="0">
      <w:lvlJc w:val="left"/>
      <w:lvlText w:val="(%1)"/>
      <w:numFmt w:val="decimal"/>
      <w:start w:val="8"/>
    </w:lvl>
  </w:abstractNum>
  <w:abstractNum w:abstractNumId="286">
    <w:nsid w:val="5B9B1FD"/>
    <w:multiLevelType w:val="hybridMultilevel"/>
    <w:lvl w:ilvl="0">
      <w:lvlJc w:val="left"/>
      <w:lvlText w:val="•"/>
      <w:numFmt w:val="bullet"/>
      <w:start w:val="1"/>
    </w:lvl>
  </w:abstractNum>
  <w:abstractNum w:abstractNumId="287">
    <w:nsid w:val="7AD7FCA2"/>
    <w:multiLevelType w:val="hybridMultilevel"/>
    <w:lvl w:ilvl="0">
      <w:lvlJc w:val="left"/>
      <w:lvlText w:val="•"/>
      <w:numFmt w:val="bullet"/>
      <w:start w:val="1"/>
    </w:lvl>
  </w:abstractNum>
  <w:abstractNum w:abstractNumId="288">
    <w:nsid w:val="63351604"/>
    <w:multiLevelType w:val="hybridMultilevel"/>
    <w:lvl w:ilvl="0">
      <w:lvlJc w:val="left"/>
      <w:lvlText w:val="•"/>
      <w:numFmt w:val="bullet"/>
      <w:start w:val="1"/>
    </w:lvl>
  </w:abstractNum>
  <w:abstractNum w:abstractNumId="289">
    <w:nsid w:val="E759D1A"/>
    <w:multiLevelType w:val="hybridMultilevel"/>
    <w:lvl w:ilvl="0">
      <w:lvlJc w:val="left"/>
      <w:lvlText w:val="•"/>
      <w:numFmt w:val="bullet"/>
      <w:start w:val="1"/>
    </w:lvl>
  </w:abstractNum>
  <w:abstractNum w:abstractNumId="290">
    <w:nsid w:val="6E3DEE90"/>
    <w:multiLevelType w:val="hybridMultilevel"/>
    <w:lvl w:ilvl="0">
      <w:lvlJc w:val="left"/>
      <w:lvlText w:val="(%1)"/>
      <w:numFmt w:val="lowerRoman"/>
      <w:start w:val="1"/>
    </w:lvl>
  </w:abstractNum>
  <w:abstractNum w:abstractNumId="291">
    <w:nsid w:val="1A8762F4"/>
    <w:multiLevelType w:val="hybridMultilevel"/>
    <w:lvl w:ilvl="0">
      <w:lvlJc w:val="left"/>
      <w:lvlText w:val="•"/>
      <w:numFmt w:val="bullet"/>
      <w:start w:val="1"/>
    </w:lvl>
  </w:abstractNum>
  <w:abstractNum w:abstractNumId="292">
    <w:nsid w:val="7F41D049"/>
    <w:multiLevelType w:val="hybridMultilevel"/>
    <w:lvl w:ilvl="0">
      <w:lvlJc w:val="left"/>
      <w:lvlText w:val="•"/>
      <w:numFmt w:val="bullet"/>
      <w:start w:val="1"/>
    </w:lvl>
  </w:abstractNum>
  <w:abstractNum w:abstractNumId="293">
    <w:nsid w:val="449F66FE"/>
    <w:multiLevelType w:val="hybridMultilevel"/>
    <w:lvl w:ilvl="0">
      <w:lvlJc w:val="left"/>
      <w:lvlText w:val="•"/>
      <w:numFmt w:val="bullet"/>
      <w:start w:val="1"/>
    </w:lvl>
  </w:abstractNum>
  <w:abstractNum w:abstractNumId="294">
    <w:nsid w:val="557E0515"/>
    <w:multiLevelType w:val="hybridMultilevel"/>
    <w:lvl w:ilvl="0">
      <w:lvlJc w:val="left"/>
      <w:lvlText w:val="•"/>
      <w:numFmt w:val="bullet"/>
      <w:start w:val="1"/>
    </w:lvl>
  </w:abstractNum>
  <w:abstractNum w:abstractNumId="295">
    <w:nsid w:val="3BA0794B"/>
    <w:multiLevelType w:val="hybridMultilevel"/>
    <w:lvl w:ilvl="0">
      <w:lvlJc w:val="left"/>
      <w:lvlText w:val="•"/>
      <w:numFmt w:val="bullet"/>
      <w:start w:val="1"/>
    </w:lvl>
  </w:abstractNum>
  <w:abstractNum w:abstractNumId="296">
    <w:nsid w:val="6A0DCE48"/>
    <w:multiLevelType w:val="hybridMultilevel"/>
    <w:lvl w:ilvl="0">
      <w:lvlJc w:val="left"/>
      <w:lvlText w:val="•"/>
      <w:numFmt w:val="bullet"/>
      <w:start w:val="1"/>
    </w:lvl>
  </w:abstractNum>
  <w:abstractNum w:abstractNumId="297">
    <w:nsid w:val="7237AA96"/>
    <w:multiLevelType w:val="hybridMultilevel"/>
    <w:lvl w:ilvl="0">
      <w:lvlJc w:val="left"/>
      <w:lvlText w:val="•"/>
      <w:numFmt w:val="bullet"/>
      <w:start w:val="1"/>
    </w:lvl>
  </w:abstractNum>
  <w:abstractNum w:abstractNumId="298">
    <w:nsid w:val="5B1FBC2D"/>
    <w:multiLevelType w:val="hybridMultilevel"/>
    <w:lvl w:ilvl="0">
      <w:lvlJc w:val="left"/>
      <w:lvlText w:val="(%1)"/>
      <w:numFmt w:val="lowerRoman"/>
      <w:start w:val="1"/>
    </w:lvl>
  </w:abstractNum>
  <w:abstractNum w:abstractNumId="299">
    <w:nsid w:val="33DFCCE8"/>
    <w:multiLevelType w:val="hybridMultilevel"/>
    <w:lvl w:ilvl="0">
      <w:lvlJc w:val="left"/>
      <w:lvlText w:val="(%1)"/>
      <w:numFmt w:val="lowerRoman"/>
      <w:start w:val="2"/>
    </w:lvl>
  </w:abstractNum>
  <w:abstractNum w:abstractNumId="300">
    <w:nsid w:val="18C45E15"/>
    <w:multiLevelType w:val="hybridMultilevel"/>
    <w:lvl w:ilvl="0">
      <w:lvlJc w:val="left"/>
      <w:lvlText w:val="(%1)"/>
      <w:numFmt w:val="lowerRoman"/>
      <w:start w:val="1"/>
    </w:lvl>
  </w:abstractNum>
  <w:abstractNum w:abstractNumId="301">
    <w:nsid w:val="6B431F25"/>
    <w:multiLevelType w:val="hybridMultilevel"/>
    <w:lvl w:ilvl="0">
      <w:lvlJc w:val="left"/>
      <w:lvlText w:val="(%1)"/>
      <w:numFmt w:val="decimal"/>
      <w:start w:val="215"/>
    </w:lvl>
  </w:abstractNum>
  <w:abstractNum w:abstractNumId="302">
    <w:nsid w:val="13CD8DCB"/>
    <w:multiLevelType w:val="hybridMultilevel"/>
    <w:lvl w:ilvl="0">
      <w:lvlJc w:val="left"/>
      <w:lvlText w:val="(%1)"/>
      <w:numFmt w:val="decimal"/>
      <w:start w:val="1"/>
    </w:lvl>
  </w:abstractNum>
  <w:abstractNum w:abstractNumId="303">
    <w:nsid w:val="563A1A5C"/>
    <w:multiLevelType w:val="hybridMultilevel"/>
    <w:lvl w:ilvl="0">
      <w:lvlJc w:val="left"/>
      <w:lvlText w:val="%1."/>
      <w:numFmt w:val="decimal"/>
      <w:start w:val="1"/>
    </w:lvl>
  </w:abstractNum>
  <w:abstractNum w:abstractNumId="304">
    <w:nsid w:val="2973F88F"/>
    <w:multiLevelType w:val="hybridMultilevel"/>
    <w:lvl w:ilvl="0">
      <w:lvlJc w:val="left"/>
      <w:lvlText w:val="•"/>
      <w:numFmt w:val="bullet"/>
      <w:start w:val="1"/>
    </w:lvl>
  </w:abstractNum>
  <w:abstractNum w:abstractNumId="305">
    <w:nsid w:val="2C70EDAE"/>
    <w:multiLevelType w:val="hybridMultilevel"/>
    <w:lvl w:ilvl="0">
      <w:lvlJc w:val="left"/>
      <w:lvlText w:val="•"/>
      <w:numFmt w:val="bullet"/>
      <w:start w:val="1"/>
    </w:lvl>
  </w:abstractNum>
  <w:abstractNum w:abstractNumId="306">
    <w:nsid w:val="44296C6D"/>
    <w:multiLevelType w:val="hybridMultilevel"/>
    <w:lvl w:ilvl="0">
      <w:lvlJc w:val="left"/>
      <w:lvlText w:val="•"/>
      <w:numFmt w:val="bullet"/>
      <w:start w:val="1"/>
    </w:lvl>
  </w:abstractNum>
  <w:abstractNum w:abstractNumId="307">
    <w:nsid w:val="3A86D445"/>
    <w:multiLevelType w:val="hybridMultilevel"/>
    <w:lvl w:ilvl="0">
      <w:lvlJc w:val="left"/>
      <w:lvlText w:val="•"/>
      <w:numFmt w:val="bullet"/>
      <w:start w:val="1"/>
    </w:lvl>
  </w:abstractNum>
  <w:abstractNum w:abstractNumId="308">
    <w:nsid w:val="51F79246"/>
    <w:multiLevelType w:val="hybridMultilevel"/>
    <w:lvl w:ilvl="0">
      <w:lvlJc w:val="left"/>
      <w:lvlText w:val="(%1)"/>
      <w:numFmt w:val="decimal"/>
      <w:start w:val="1"/>
    </w:lvl>
  </w:abstractNum>
  <w:abstractNum w:abstractNumId="309">
    <w:nsid w:val="5BC9A827"/>
    <w:multiLevelType w:val="hybridMultilevel"/>
    <w:lvl w:ilvl="0">
      <w:lvlJc w:val="left"/>
      <w:lvlText w:val="%1."/>
      <w:numFmt w:val="decimal"/>
      <w:start w:val="3"/>
    </w:lvl>
  </w:abstractNum>
  <w:abstractNum w:abstractNumId="310">
    <w:nsid w:val="3AE37D86"/>
    <w:multiLevelType w:val="hybridMultilevel"/>
    <w:lvl w:ilvl="0">
      <w:lvlJc w:val="left"/>
      <w:lvlText w:val="%1."/>
      <w:numFmt w:val="decimal"/>
      <w:start w:val="5"/>
    </w:lvl>
    <w:lvl w:ilvl="1">
      <w:lvlJc w:val="left"/>
      <w:lvlText w:val="•"/>
      <w:numFmt w:val="bullet"/>
      <w:start w:val="1"/>
    </w:lvl>
  </w:abstractNum>
  <w:abstractNum w:abstractNumId="311">
    <w:nsid w:val="45440FE5"/>
    <w:multiLevelType w:val="hybridMultilevel"/>
    <w:lvl w:ilvl="0">
      <w:lvlJc w:val="left"/>
      <w:lvlText w:val="•"/>
      <w:numFmt w:val="bullet"/>
      <w:start w:val="1"/>
    </w:lvl>
  </w:abstractNum>
  <w:abstractNum w:abstractNumId="312">
    <w:nsid w:val="BF783F"/>
    <w:multiLevelType w:val="hybridMultilevel"/>
    <w:lvl w:ilvl="0">
      <w:lvlJc w:val="left"/>
      <w:lvlText w:val="•"/>
      <w:numFmt w:val="bullet"/>
      <w:start w:val="1"/>
    </w:lvl>
  </w:abstractNum>
  <w:abstractNum w:abstractNumId="313">
    <w:nsid w:val="22643EA9"/>
    <w:multiLevelType w:val="hybridMultilevel"/>
    <w:lvl w:ilvl="0">
      <w:lvlJc w:val="left"/>
      <w:lvlText w:val="•"/>
      <w:numFmt w:val="bullet"/>
      <w:start w:val="1"/>
    </w:lvl>
  </w:abstractNum>
  <w:abstractNum w:abstractNumId="314">
    <w:nsid w:val="1887578D"/>
    <w:multiLevelType w:val="hybridMultilevel"/>
    <w:lvl w:ilvl="0">
      <w:lvlJc w:val="left"/>
      <w:lvlText w:val="•"/>
      <w:numFmt w:val="bullet"/>
      <w:start w:val="1"/>
    </w:lvl>
    <w:lvl w:ilvl="1">
      <w:lvlJc w:val="left"/>
      <w:lvlText w:val="•"/>
      <w:numFmt w:val="bullet"/>
      <w:start w:val="1"/>
    </w:lvl>
  </w:abstractNum>
  <w:abstractNum w:abstractNumId="315">
    <w:nsid w:val="58C05B8A"/>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316">
    <w:nsid w:val="38D82E71"/>
    <w:multiLevelType w:val="hybridMultilevel"/>
    <w:lvl w:ilvl="0">
      <w:lvlJc w:val="left"/>
      <w:lvlText w:val="(%1)"/>
      <w:numFmt w:val="lowerRoman"/>
      <w:start w:val="2"/>
    </w:lvl>
  </w:abstractNum>
  <w:abstractNum w:abstractNumId="317">
    <w:nsid w:val="1E41098A"/>
    <w:multiLevelType w:val="hybridMultilevel"/>
    <w:lvl w:ilvl="0">
      <w:lvlJc w:val="left"/>
      <w:lvlText w:val="%1."/>
      <w:numFmt w:val="decimal"/>
      <w:start w:val="9"/>
    </w:lvl>
  </w:abstractNum>
  <w:abstractNum w:abstractNumId="318">
    <w:nsid w:val="5398582C"/>
    <w:multiLevelType w:val="hybridMultilevel"/>
    <w:lvl w:ilvl="0">
      <w:lvlJc w:val="left"/>
      <w:lvlText w:val="(%1)"/>
      <w:numFmt w:val="decimal"/>
      <w:start w:val="1"/>
    </w:lvl>
  </w:abstractNum>
  <w:abstractNum w:abstractNumId="319">
    <w:nsid w:val="1C0D4475"/>
    <w:multiLevelType w:val="hybridMultilevel"/>
    <w:lvl w:ilvl="0">
      <w:lvlJc w:val="left"/>
      <w:lvlText w:val="•"/>
      <w:numFmt w:val="bullet"/>
      <w:start w:val="1"/>
    </w:lvl>
  </w:abstractNum>
  <w:abstractNum w:abstractNumId="320">
    <w:nsid w:val="2CB6A6A4"/>
    <w:multiLevelType w:val="hybridMultilevel"/>
    <w:lvl w:ilvl="0">
      <w:lvlJc w:val="left"/>
      <w:lvlText w:val="(%1)"/>
      <w:numFmt w:val="decimal"/>
      <w:start w:val="1"/>
    </w:lvl>
  </w:abstractNum>
  <w:abstractNum w:abstractNumId="321">
    <w:nsid w:val="41D646BC"/>
    <w:multiLevelType w:val="hybridMultilevel"/>
    <w:lvl w:ilvl="0">
      <w:lvlJc w:val="left"/>
      <w:lvlText w:val="%1."/>
      <w:numFmt w:val="decimal"/>
      <w:start w:val="12"/>
    </w:lvl>
  </w:abstractNum>
  <w:abstractNum w:abstractNumId="322">
    <w:nsid w:val="3694A76A"/>
    <w:multiLevelType w:val="hybridMultilevel"/>
    <w:lvl w:ilvl="0">
      <w:lvlJc w:val="left"/>
      <w:lvlText w:val="%1."/>
      <w:numFmt w:val="decimal"/>
      <w:start w:val="13"/>
    </w:lvl>
  </w:abstractNum>
  <w:abstractNum w:abstractNumId="323">
    <w:nsid w:val="2BF876EE"/>
    <w:multiLevelType w:val="hybridMultilevel"/>
    <w:lvl w:ilvl="0">
      <w:lvlJc w:val="left"/>
      <w:lvlText w:val="$"/>
      <w:numFmt w:val="bullet"/>
      <w:start w:val="1"/>
    </w:lvl>
  </w:abstractNum>
  <w:abstractNum w:abstractNumId="324">
    <w:nsid w:val="675ADBA"/>
    <w:multiLevelType w:val="hybridMultilevel"/>
    <w:lvl w:ilvl="0">
      <w:lvlJc w:val="left"/>
      <w:lvlText w:val="%1."/>
      <w:numFmt w:val="decimal"/>
      <w:start w:val="14"/>
    </w:lvl>
  </w:abstractNum>
  <w:abstractNum w:abstractNumId="325">
    <w:nsid w:val="C12AC7F"/>
    <w:multiLevelType w:val="hybridMultilevel"/>
    <w:lvl w:ilvl="0">
      <w:lvlJc w:val="left"/>
      <w:lvlText w:val="(%1)"/>
      <w:numFmt w:val="decimal"/>
      <w:start w:val="1"/>
    </w:lvl>
  </w:abstractNum>
  <w:abstractNum w:abstractNumId="326">
    <w:nsid w:val="6798F039"/>
    <w:multiLevelType w:val="hybridMultilevel"/>
    <w:lvl w:ilvl="0">
      <w:lvlJc w:val="left"/>
      <w:lvlText w:val="(%1)"/>
      <w:numFmt w:val="decimal"/>
      <w:start w:val="2"/>
    </w:lvl>
  </w:abstractNum>
  <w:abstractNum w:abstractNumId="327">
    <w:nsid w:val="70837C02"/>
    <w:multiLevelType w:val="hybridMultilevel"/>
    <w:lvl w:ilvl="0">
      <w:lvlJc w:val="left"/>
      <w:lvlText w:val="%1"/>
      <w:numFmt w:val="decimal"/>
      <w:start w:val="1"/>
    </w:lvl>
    <w:lvl w:ilvl="1">
      <w:lvlJc w:val="left"/>
      <w:lvlText w:val="(%2)"/>
      <w:numFmt w:val="decimal"/>
      <w:start w:val="2"/>
    </w:lvl>
  </w:abstractNum>
  <w:abstractNum w:abstractNumId="328">
    <w:nsid w:val="7E4A5715"/>
    <w:multiLevelType w:val="hybridMultilevel"/>
    <w:lvl w:ilvl="0">
      <w:lvlJc w:val="left"/>
      <w:lvlText w:val="%1."/>
      <w:numFmt w:val="decimal"/>
      <w:start w:val="15"/>
    </w:lvl>
    <w:lvl w:ilvl="1">
      <w:lvlJc w:val="left"/>
      <w:lvlText w:val="%2"/>
      <w:numFmt w:val="decimal"/>
      <w:start w:val="1"/>
    </w:lvl>
  </w:abstractNum>
  <w:abstractNum w:abstractNumId="329">
    <w:nsid w:val="42B8AC67"/>
    <w:multiLevelType w:val="hybridMultilevel"/>
    <w:lvl w:ilvl="0">
      <w:lvlJc w:val="left"/>
      <w:lvlText w:val="(%1)"/>
      <w:numFmt w:val="lowerLetter"/>
      <w:start w:val="1"/>
    </w:lvl>
  </w:abstractNum>
  <w:abstractNum w:abstractNumId="330">
    <w:nsid w:val="246348EA"/>
    <w:multiLevelType w:val="hybridMultilevel"/>
    <w:lvl w:ilvl="0">
      <w:lvlJc w:val="left"/>
      <w:lvlText w:val="(%1)"/>
      <w:numFmt w:val="decimal"/>
      <w:start w:val="1"/>
    </w:lvl>
  </w:abstractNum>
  <w:abstractNum w:abstractNumId="331">
    <w:nsid w:val="170EB52B"/>
    <w:multiLevelType w:val="hybridMultilevel"/>
    <w:lvl w:ilvl="0">
      <w:lvlJc w:val="left"/>
      <w:lvlText w:val="%1."/>
      <w:numFmt w:val="decimal"/>
      <w:start w:val="17"/>
    </w:lvl>
  </w:abstractNum>
  <w:abstractNum w:abstractNumId="332">
    <w:nsid w:val="2DFBCB8C"/>
    <w:multiLevelType w:val="hybridMultilevel"/>
    <w:lvl w:ilvl="0">
      <w:lvlJc w:val="left"/>
      <w:lvlText w:val="•"/>
      <w:numFmt w:val="bullet"/>
      <w:start w:val="1"/>
    </w:lvl>
  </w:abstractNum>
  <w:abstractNum w:abstractNumId="333">
    <w:nsid w:val="3830D6B6"/>
    <w:multiLevelType w:val="hybridMultilevel"/>
    <w:lvl w:ilvl="0">
      <w:lvlJc w:val="left"/>
      <w:lvlText w:val="(%1)"/>
      <w:numFmt w:val="lowerRoman"/>
      <w:start w:val="2"/>
    </w:lvl>
  </w:abstractNum>
  <w:abstractNum w:abstractNumId="334">
    <w:nsid w:val="6D48CF87"/>
    <w:multiLevelType w:val="hybridMultilevel"/>
    <w:lvl w:ilvl="0">
      <w:lvlJc w:val="left"/>
      <w:lvlText w:val="•"/>
      <w:numFmt w:val="bullet"/>
      <w:start w:val="1"/>
    </w:lvl>
  </w:abstractNum>
  <w:abstractNum w:abstractNumId="335">
    <w:nsid w:val="576FC41B"/>
    <w:multiLevelType w:val="hybridMultilevel"/>
    <w:lvl w:ilvl="0">
      <w:lvlJc w:val="left"/>
      <w:lvlText w:val="•"/>
      <w:numFmt w:val="bullet"/>
      <w:start w:val="1"/>
    </w:lvl>
  </w:abstractNum>
  <w:abstractNum w:abstractNumId="336">
    <w:nsid w:val="64A1C464"/>
    <w:multiLevelType w:val="hybridMultilevel"/>
    <w:lvl w:ilvl="0">
      <w:lvlJc w:val="left"/>
      <w:lvlText w:val="•"/>
      <w:numFmt w:val="bullet"/>
      <w:start w:val="1"/>
    </w:lvl>
  </w:abstractNum>
  <w:abstractNum w:abstractNumId="337">
    <w:nsid w:val="31723BF5"/>
    <w:multiLevelType w:val="hybridMultilevel"/>
    <w:lvl w:ilvl="0">
      <w:lvlJc w:val="left"/>
      <w:lvlText w:val="•"/>
      <w:numFmt w:val="bullet"/>
      <w:start w:val="1"/>
    </w:lvl>
  </w:abstractNum>
  <w:abstractNum w:abstractNumId="338">
    <w:nsid w:val="11F69861"/>
    <w:multiLevelType w:val="hybridMultilevel"/>
    <w:lvl w:ilvl="0">
      <w:lvlJc w:val="left"/>
      <w:lvlText w:val="(%1)"/>
      <w:numFmt w:val="lowerRoman"/>
      <w:start w:val="1"/>
    </w:lvl>
  </w:abstractNum>
  <w:abstractNum w:abstractNumId="339">
    <w:nsid w:val="369956AB"/>
    <w:multiLevelType w:val="hybridMultilevel"/>
    <w:lvl w:ilvl="0">
      <w:lvlJc w:val="left"/>
      <w:lvlText w:val="•"/>
      <w:numFmt w:val="bullet"/>
      <w:start w:val="1"/>
    </w:lvl>
  </w:abstractNum>
  <w:abstractNum w:abstractNumId="340">
    <w:nsid w:val="D3BE41C"/>
    <w:multiLevelType w:val="hybridMultilevel"/>
    <w:lvl w:ilvl="0">
      <w:lvlJc w:val="left"/>
      <w:lvlText w:val="•"/>
      <w:numFmt w:val="bullet"/>
      <w:start w:val="1"/>
    </w:lvl>
  </w:abstractNum>
  <w:abstractNum w:abstractNumId="341">
    <w:nsid w:val="4CDA15E7"/>
    <w:multiLevelType w:val="hybridMultilevel"/>
    <w:lvl w:ilvl="0">
      <w:lvlJc w:val="left"/>
      <w:lvlText w:val="(%1)"/>
      <w:numFmt w:val="decimal"/>
      <w:start w:val="1"/>
    </w:lvl>
  </w:abstractNum>
  <w:abstractNum w:abstractNumId="342">
    <w:nsid w:val="7BDD6690"/>
    <w:multiLevelType w:val="hybridMultilevel"/>
    <w:lvl w:ilvl="0">
      <w:lvlJc w:val="left"/>
      <w:lvlText w:val="(%1)"/>
      <w:numFmt w:val="upperLetter"/>
      <w:start w:val="1"/>
    </w:lvl>
  </w:abstractNum>
  <w:abstractNum w:abstractNumId="343">
    <w:nsid w:val="DFB5C5B"/>
    <w:multiLevelType w:val="hybridMultilevel"/>
    <w:lvl w:ilvl="0">
      <w:lvlJc w:val="left"/>
      <w:lvlText w:val="%1."/>
      <w:numFmt w:val="decimal"/>
      <w:start w:val="1"/>
    </w:lvl>
  </w:abstractNum>
  <w:abstractNum w:abstractNumId="344">
    <w:nsid w:val="6F3E5490"/>
    <w:multiLevelType w:val="hybridMultilevel"/>
    <w:lvl w:ilvl="0">
      <w:lvlJc w:val="left"/>
      <w:lvlText w:val="(%1)"/>
      <w:numFmt w:val="lowerLetter"/>
      <w:start w:val="1"/>
    </w:lvl>
  </w:abstractNum>
  <w:abstractNum w:abstractNumId="345">
    <w:nsid w:val="1464BE1E"/>
    <w:multiLevelType w:val="hybridMultilevel"/>
    <w:lvl w:ilvl="0">
      <w:lvlJc w:val="left"/>
      <w:lvlText w:val="%1."/>
      <w:numFmt w:val="decimal"/>
      <w:start w:val="4"/>
    </w:lvl>
  </w:abstractNum>
  <w:abstractNum w:abstractNumId="346">
    <w:nsid w:val="66BBB7E5"/>
    <w:multiLevelType w:val="hybridMultilevel"/>
    <w:lvl w:ilvl="0">
      <w:lvlJc w:val="left"/>
      <w:lvlText w:val="(%1)"/>
      <w:numFmt w:val="lowerRoman"/>
      <w:start w:val="2"/>
    </w:lvl>
  </w:abstractNum>
  <w:abstractNum w:abstractNumId="347">
    <w:nsid w:val="28168302"/>
    <w:multiLevelType w:val="hybridMultilevel"/>
    <w:lvl w:ilvl="0">
      <w:lvlJc w:val="left"/>
      <w:lvlText w:val="(%1)"/>
      <w:numFmt w:val="lowerRoman"/>
      <w:start w:val="2"/>
    </w:lvl>
  </w:abstractNum>
  <w:abstractNum w:abstractNumId="348">
    <w:nsid w:val="32A5C7A8"/>
    <w:multiLevelType w:val="hybridMultilevel"/>
    <w:lvl w:ilvl="0">
      <w:lvlJc w:val="left"/>
      <w:lvlText w:val="(%1)"/>
      <w:numFmt w:val="lowerLetter"/>
      <w:start w:val="3"/>
    </w:lvl>
  </w:abstractNum>
  <w:abstractNum w:abstractNumId="349">
    <w:nsid w:val="3A541011"/>
    <w:multiLevelType w:val="hybridMultilevel"/>
    <w:lvl w:ilvl="0">
      <w:lvlJc w:val="left"/>
      <w:lvlText w:val="(%1)"/>
      <w:numFmt w:val="lowerLetter"/>
      <w:start w:val="3"/>
    </w:lvl>
  </w:abstractNum>
  <w:abstractNum w:abstractNumId="350">
    <w:nsid w:val="4423C777"/>
    <w:multiLevelType w:val="hybridMultilevel"/>
    <w:lvl w:ilvl="0">
      <w:lvlJc w:val="left"/>
      <w:lvlText w:val="(%1)"/>
      <w:numFmt w:val="lowerLetter"/>
      <w:start w:val="7"/>
    </w:lvl>
  </w:abstractNum>
  <w:abstractNum w:abstractNumId="351">
    <w:nsid w:val="5F5C6E4D"/>
    <w:multiLevelType w:val="hybridMultilevel"/>
    <w:lvl w:ilvl="0">
      <w:lvlJc w:val="left"/>
      <w:lvlText w:val="(%1)"/>
      <w:numFmt w:val="lowerLetter"/>
      <w:start w:val="3"/>
    </w:lvl>
  </w:abstractNum>
  <w:abstractNum w:abstractNumId="352">
    <w:nsid w:val="7C2A56CD"/>
    <w:multiLevelType w:val="hybridMultilevel"/>
    <w:lvl w:ilvl="0">
      <w:lvlJc w:val="left"/>
      <w:lvlText w:val="(%1)"/>
      <w:numFmt w:val="lowerRoman"/>
      <w:start w:val="3"/>
    </w:lvl>
  </w:abstractNum>
  <w:abstractNum w:abstractNumId="353">
    <w:nsid w:val="7AB86EE1"/>
    <w:multiLevelType w:val="hybridMultilevel"/>
    <w:lvl w:ilvl="0">
      <w:lvlJc w:val="left"/>
      <w:lvlText w:val="(%1)"/>
      <w:numFmt w:val="lowerRoman"/>
      <w:start w:val="3"/>
    </w:lvl>
  </w:abstractNum>
  <w:abstractNum w:abstractNumId="354">
    <w:nsid w:val="B54E53B"/>
    <w:multiLevelType w:val="hybridMultilevel"/>
    <w:lvl w:ilvl="0">
      <w:lvlJc w:val="left"/>
      <w:lvlText w:val="(%1)"/>
      <w:numFmt w:val="lowerLetter"/>
      <w:start w:val="1"/>
    </w:lvl>
  </w:abstractNum>
  <w:abstractNum w:abstractNumId="355">
    <w:nsid w:val="2A00487"/>
    <w:multiLevelType w:val="hybridMultilevel"/>
    <w:lvl w:ilvl="0">
      <w:lvlJc w:val="left"/>
      <w:lvlText w:val="(%1)"/>
      <w:numFmt w:val="lowerLetter"/>
      <w:start w:val="2"/>
    </w:lvl>
    <w:lvl w:ilvl="1">
      <w:lvlJc w:val="left"/>
      <w:lvlText w:val="(%2)"/>
      <w:numFmt w:val="upperLetter"/>
      <w:start w:val="1"/>
    </w:lvl>
  </w:abstractNum>
  <w:abstractNum w:abstractNumId="356">
    <w:nsid w:val="6CB1B60"/>
    <w:multiLevelType w:val="hybridMultilevel"/>
    <w:lvl w:ilvl="0">
      <w:lvlJc w:val="left"/>
      <w:lvlText w:val="%1"/>
      <w:numFmt w:val="decimal"/>
      <w:start w:val="1"/>
    </w:lvl>
    <w:lvl w:ilvl="1">
      <w:lvlJc w:val="left"/>
      <w:lvlText w:val="(%2)"/>
      <w:numFmt w:val="upperLetter"/>
      <w:start w:val="3"/>
    </w:lvl>
  </w:abstractNum>
  <w:abstractNum w:abstractNumId="357">
    <w:nsid w:val="72EDD574"/>
    <w:multiLevelType w:val="hybridMultilevel"/>
    <w:lvl w:ilvl="0">
      <w:lvlJc w:val="left"/>
      <w:lvlText w:val="(%1)"/>
      <w:numFmt w:val="decimal"/>
      <w:start w:val="1"/>
    </w:lvl>
    <w:lvl w:ilvl="1">
      <w:lvlJc w:val="left"/>
      <w:lvlText w:val="%2"/>
      <w:numFmt w:val="upperLetter"/>
      <w:start w:val="1"/>
    </w:lvl>
  </w:abstractNum>
  <w:abstractNum w:abstractNumId="358">
    <w:nsid w:val="7323808A"/>
    <w:multiLevelType w:val="hybridMultilevel"/>
    <w:lvl w:ilvl="0">
      <w:lvlJc w:val="left"/>
      <w:lvlText w:val="(%1)"/>
      <w:numFmt w:val="lowerLetter"/>
      <w:start w:val="9"/>
    </w:lvl>
  </w:abstractNum>
  <w:abstractNum w:abstractNumId="359">
    <w:nsid w:val="5157276"/>
    <w:multiLevelType w:val="hybridMultilevel"/>
    <w:lvl w:ilvl="0">
      <w:lvlJc w:val="left"/>
      <w:lvlText w:val="(%1)"/>
      <w:numFmt w:val="lowerLetter"/>
      <w:start w:val="1"/>
    </w:lvl>
  </w:abstractNum>
  <w:abstractNum w:abstractNumId="360">
    <w:nsid w:val="35A681DB"/>
    <w:multiLevelType w:val="hybridMultilevel"/>
    <w:lvl w:ilvl="0">
      <w:lvlJc w:val="left"/>
      <w:lvlText w:val="%1"/>
      <w:numFmt w:val="lowerRoman"/>
      <w:start w:val="1"/>
    </w:lvl>
    <w:lvl w:ilvl="1">
      <w:lvlJc w:val="left"/>
      <w:lvlText w:val="(%2)"/>
      <w:numFmt w:val="lowerLetter"/>
      <w:start w:val="1"/>
    </w:lvl>
  </w:abstractNum>
  <w:abstractNum w:abstractNumId="361">
    <w:nsid w:val="1786C974"/>
    <w:multiLevelType w:val="hybridMultilevel"/>
    <w:lvl w:ilvl="0">
      <w:lvlJc w:val="left"/>
      <w:lvlText w:val="(%1)"/>
      <w:numFmt w:val="lowerRoman"/>
      <w:start w:val="1"/>
    </w:lvl>
    <w:lvl w:ilvl="1">
      <w:lvlJc w:val="left"/>
      <w:lvlText w:val="%2"/>
      <w:numFmt w:val="lowerLetter"/>
      <w:start w:val="1"/>
    </w:lvl>
  </w:abstractNum>
  <w:abstractNum w:abstractNumId="362">
    <w:nsid w:val="1C2427A1"/>
    <w:multiLevelType w:val="hybridMultilevel"/>
    <w:lvl w:ilvl="0">
      <w:lvlJc w:val="left"/>
      <w:lvlText w:val="(%1)"/>
      <w:numFmt w:val="lowerLetter"/>
      <w:start w:val="1"/>
    </w:lvl>
  </w:abstractNum>
  <w:abstractNum w:abstractNumId="363">
    <w:nsid w:val="63A24D68"/>
    <w:multiLevelType w:val="hybridMultilevel"/>
    <w:lvl w:ilvl="0">
      <w:lvlJc w:val="left"/>
      <w:lvlText w:val="(%1)"/>
      <w:numFmt w:val="lowerLetter"/>
      <w:start w:val="1"/>
    </w:lvl>
  </w:abstractNum>
  <w:abstractNum w:abstractNumId="364">
    <w:nsid w:val="4FB7A02A"/>
    <w:multiLevelType w:val="hybridMultilevel"/>
    <w:lvl w:ilvl="0">
      <w:lvlJc w:val="left"/>
      <w:lvlText w:val="(%1)"/>
      <w:numFmt w:val="lowerLetter"/>
      <w:start w:val="2"/>
    </w:lvl>
  </w:abstractNum>
  <w:abstractNum w:abstractNumId="365">
    <w:nsid w:val="96CF728"/>
    <w:multiLevelType w:val="hybridMultilevel"/>
    <w:lvl w:ilvl="0">
      <w:lvlJc w:val="left"/>
      <w:lvlText w:val="%1"/>
      <w:numFmt w:val="lowerLetter"/>
      <w:start w:val="1"/>
    </w:lvl>
    <w:lvl w:ilvl="1">
      <w:lvlJc w:val="left"/>
      <w:lvlText w:val="(%2)"/>
      <w:numFmt w:val="lowerLetter"/>
      <w:start w:val="1"/>
    </w:lvl>
  </w:abstractNum>
  <w:abstractNum w:abstractNumId="366">
    <w:nsid w:val="3B121183"/>
    <w:multiLevelType w:val="hybridMultilevel"/>
    <w:lvl w:ilvl="0">
      <w:lvlJc w:val="left"/>
      <w:lvlText w:val="(%1)"/>
      <w:numFmt w:val="lowerLetter"/>
      <w:start w:val="25"/>
    </w:lvl>
    <w:lvl w:ilvl="1">
      <w:lvlJc w:val="left"/>
      <w:lvlText w:val="%2"/>
      <w:numFmt w:val="lowerLetter"/>
      <w:start w:val="1"/>
    </w:lvl>
  </w:abstractNum>
  <w:abstractNum w:abstractNumId="367">
    <w:nsid w:val="3459648F"/>
    <w:multiLevelType w:val="hybridMultilevel"/>
    <w:lvl w:ilvl="0">
      <w:lvlJc w:val="left"/>
      <w:lvlText w:val="(%1)"/>
      <w:numFmt w:val="lowerLetter"/>
      <w:start w:val="3"/>
    </w:lvl>
  </w:abstractNum>
  <w:abstractNum w:abstractNumId="368">
    <w:nsid w:val="3ADF331D"/>
    <w:multiLevelType w:val="hybridMultilevel"/>
    <w:lvl w:ilvl="0">
      <w:lvlJc w:val="left"/>
      <w:lvlText w:val="(%1)"/>
      <w:numFmt w:val="lowerLetter"/>
      <w:start w:val="1"/>
    </w:lvl>
  </w:abstractNum>
  <w:abstractNum w:abstractNumId="369">
    <w:nsid w:val="4D08A9E4"/>
    <w:multiLevelType w:val="hybridMultilevel"/>
    <w:lvl w:ilvl="0">
      <w:lvlJc w:val="left"/>
      <w:lvlText w:val="(%1)"/>
      <w:numFmt w:val="lowerLetter"/>
      <w:start w:val="2"/>
    </w:lvl>
    <w:lvl w:ilvl="1">
      <w:lvlJc w:val="left"/>
      <w:lvlText w:val="(%2)"/>
      <w:numFmt w:val="lowerRoman"/>
      <w:start w:val="1"/>
    </w:lvl>
  </w:abstractNum>
  <w:abstractNum w:abstractNumId="370">
    <w:nsid w:val="6AF2BB3A"/>
    <w:multiLevelType w:val="hybridMultilevel"/>
    <w:lvl w:ilvl="0">
      <w:lvlJc w:val="left"/>
      <w:lvlText w:val="%1"/>
      <w:numFmt w:val="lowerLetter"/>
      <w:start w:val="1"/>
    </w:lvl>
    <w:lvl w:ilvl="1">
      <w:lvlJc w:val="left"/>
      <w:lvlText w:val="(%2)"/>
      <w:numFmt w:val="lowerLetter"/>
      <w:start w:val="1"/>
    </w:lvl>
  </w:abstractNum>
  <w:abstractNum w:abstractNumId="371">
    <w:nsid w:val="481B1739"/>
    <w:multiLevelType w:val="hybridMultilevel"/>
    <w:lvl w:ilvl="0">
      <w:lvlJc w:val="left"/>
      <w:lvlText w:val="(%1)"/>
      <w:numFmt w:val="lowerLetter"/>
      <w:start w:val="35"/>
    </w:lvl>
    <w:lvl w:ilvl="1">
      <w:lvlJc w:val="left"/>
      <w:lvlText w:val="%2"/>
      <w:numFmt w:val="lowerLetter"/>
      <w:start w:val="1"/>
    </w:lvl>
  </w:abstractNum>
  <w:abstractNum w:abstractNumId="372">
    <w:nsid w:val="19E2BFCC"/>
    <w:multiLevelType w:val="hybridMultilevel"/>
    <w:lvl w:ilvl="0">
      <w:lvlJc w:val="left"/>
      <w:lvlText w:val="%1"/>
      <w:numFmt w:val="lowerLetter"/>
      <w:start w:val="1"/>
    </w:lvl>
    <w:lvl w:ilvl="1">
      <w:lvlJc w:val="left"/>
      <w:lvlText w:val="(%2)"/>
      <w:numFmt w:val="lowerLetter"/>
      <w:start w:val="3"/>
    </w:lvl>
  </w:abstractNum>
  <w:abstractNum w:abstractNumId="373">
    <w:nsid w:val="66D021CA"/>
    <w:multiLevelType w:val="hybridMultilevel"/>
    <w:lvl w:ilvl="0">
      <w:lvlJc w:val="left"/>
      <w:lvlText w:val="(%1)"/>
      <w:numFmt w:val="lowerLetter"/>
      <w:start w:val="61"/>
    </w:lvl>
    <w:lvl w:ilvl="1">
      <w:lvlJc w:val="left"/>
      <w:lvlText w:val="(%2)"/>
      <w:numFmt w:val="lowerLetter"/>
      <w:start w:val="4"/>
    </w:lvl>
  </w:abstractNum>
  <w:abstractNum w:abstractNumId="374">
    <w:nsid w:val="56167394"/>
    <w:multiLevelType w:val="hybridMultilevel"/>
    <w:lvl w:ilvl="0">
      <w:lvlJc w:val="left"/>
      <w:lvlText w:val="(%1)"/>
      <w:numFmt w:val="lowerLetter"/>
      <w:start w:val="35"/>
    </w:lvl>
    <w:lvl w:ilvl="1">
      <w:lvlJc w:val="left"/>
      <w:lvlText w:val="(%2)"/>
      <w:numFmt w:val="lowerLetter"/>
      <w:start w:val="5"/>
    </w:lvl>
  </w:abstractNum>
  <w:abstractNum w:abstractNumId="375">
    <w:nsid w:val="921145C"/>
    <w:multiLevelType w:val="hybridMultilevel"/>
    <w:lvl w:ilvl="0">
      <w:lvlJc w:val="left"/>
      <w:lvlText w:val="(%1)"/>
      <w:numFmt w:val="lowerLetter"/>
      <w:start w:val="7"/>
    </w:lvl>
  </w:abstractNum>
  <w:abstractNum w:abstractNumId="376">
    <w:nsid w:val="7B34DFE8"/>
    <w:multiLevelType w:val="hybridMultilevel"/>
    <w:lvl w:ilvl="0">
      <w:lvlJc w:val="left"/>
      <w:lvlText w:val="(%1)"/>
      <w:numFmt w:val="lowerLetter"/>
      <w:start w:val="1"/>
    </w:lvl>
  </w:abstractNum>
  <w:abstractNum w:abstractNumId="377">
    <w:nsid w:val="3CD22B79"/>
    <w:multiLevelType w:val="hybridMultilevel"/>
    <w:lvl w:ilvl="0">
      <w:lvlJc w:val="left"/>
      <w:lvlText w:val="(%1)"/>
      <w:numFmt w:val="lowerLetter"/>
      <w:start w:val="1"/>
    </w:lvl>
    <w:lvl w:ilvl="1">
      <w:lvlJc w:val="left"/>
      <w:lvlText w:val="(%2)"/>
      <w:numFmt w:val="lowerRoman"/>
      <w:start w:val="1"/>
    </w:lvl>
  </w:abstractNum>
  <w:abstractNum w:abstractNumId="378">
    <w:nsid w:val="3137975E"/>
    <w:multiLevelType w:val="hybridMultilevel"/>
    <w:lvl w:ilvl="0">
      <w:lvlJc w:val="left"/>
      <w:lvlText w:val="(%1)"/>
      <w:numFmt w:val="upperLetter"/>
      <w:start w:val="2"/>
    </w:lvl>
    <w:lvl w:ilvl="1">
      <w:lvlJc w:val="left"/>
      <w:lvlText w:val="(%2)"/>
      <w:numFmt w:val="lowerRoman"/>
      <w:start w:val="13"/>
    </w:lvl>
  </w:abstractNum>
  <w:abstractNum w:abstractNumId="379">
    <w:nsid w:val="2DDAA791"/>
    <w:multiLevelType w:val="hybridMultilevel"/>
    <w:lvl w:ilvl="0">
      <w:lvlJc w:val="left"/>
      <w:lvlText w:val="(%1)"/>
      <w:numFmt w:val="lowerLetter"/>
      <w:start w:val="2"/>
    </w:lvl>
  </w:abstractNum>
  <w:abstractNum w:abstractNumId="380">
    <w:nsid w:val="77263B8A"/>
    <w:multiLevelType w:val="hybridMultilevel"/>
    <w:lvl w:ilvl="0">
      <w:lvlJc w:val="left"/>
      <w:lvlText w:val="%1"/>
      <w:numFmt w:val="lowerRoman"/>
      <w:start w:val="1"/>
    </w:lvl>
    <w:lvl w:ilvl="1">
      <w:lvlJc w:val="left"/>
      <w:lvlText w:val="(%2)"/>
      <w:numFmt w:val="lowerLetter"/>
      <w:start w:val="1"/>
    </w:lvl>
  </w:abstractNum>
  <w:abstractNum w:abstractNumId="381">
    <w:nsid w:val="755B5ED6"/>
    <w:multiLevelType w:val="hybridMultilevel"/>
    <w:lvl w:ilvl="0">
      <w:lvlJc w:val="left"/>
      <w:lvlText w:val="(%1)"/>
      <w:numFmt w:val="lowerRoman"/>
      <w:start w:val="4"/>
    </w:lvl>
    <w:lvl w:ilvl="1">
      <w:lvlJc w:val="left"/>
      <w:lvlText w:val="(%2)"/>
      <w:numFmt w:val="lowerLetter"/>
      <w:start w:val="4"/>
    </w:lvl>
  </w:abstractNum>
  <w:abstractNum w:abstractNumId="382">
    <w:nsid w:val="D3715DE"/>
    <w:multiLevelType w:val="hybridMultilevel"/>
    <w:lvl w:ilvl="0">
      <w:lvlJc w:val="left"/>
      <w:lvlText w:val="(%1)"/>
      <w:numFmt w:val="lowerRoman"/>
      <w:start w:val="3"/>
    </w:lvl>
  </w:abstractNum>
  <w:abstractNum w:abstractNumId="383">
    <w:nsid w:val="73509257"/>
    <w:multiLevelType w:val="hybridMultilevel"/>
    <w:lvl w:ilvl="0">
      <w:lvlJc w:val="left"/>
      <w:lvlText w:val="(%1)"/>
      <w:numFmt w:val="lowerLetter"/>
      <w:start w:val="1"/>
    </w:lvl>
  </w:abstractNum>
  <w:abstractNum w:abstractNumId="384">
    <w:nsid w:val="7013CDB7"/>
    <w:multiLevelType w:val="hybridMultilevel"/>
    <w:lvl w:ilvl="0">
      <w:lvlJc w:val="left"/>
      <w:lvlText w:val="(%1)"/>
      <w:numFmt w:val="lowerLetter"/>
      <w:start w:val="1"/>
    </w:lvl>
  </w:abstractNum>
  <w:abstractNum w:abstractNumId="385">
    <w:nsid w:val="188BFB19"/>
    <w:multiLevelType w:val="hybridMultilevel"/>
    <w:lvl w:ilvl="0">
      <w:lvlJc w:val="left"/>
      <w:lvlText w:val="(%1)"/>
      <w:numFmt w:val="lowerLetter"/>
      <w:start w:val="4"/>
    </w:lvl>
  </w:abstractNum>
  <w:abstractNum w:abstractNumId="386">
    <w:nsid w:val="75F096DF"/>
    <w:multiLevelType w:val="hybridMultilevel"/>
    <w:lvl w:ilvl="0">
      <w:lvlJc w:val="left"/>
      <w:lvlText w:val="(%1)"/>
      <w:numFmt w:val="lowerLetter"/>
      <w:start w:val="12"/>
    </w:lvl>
  </w:abstractNum>
  <w:abstractNum w:abstractNumId="387">
    <w:nsid w:val="76DEE918"/>
    <w:multiLevelType w:val="hybridMultilevel"/>
    <w:lvl w:ilvl="0">
      <w:lvlJc w:val="left"/>
      <w:lvlText w:val="(%1)"/>
      <w:numFmt w:val="lowerLetter"/>
      <w:start w:val="1"/>
    </w:lvl>
  </w:abstractNum>
  <w:abstractNum w:abstractNumId="388">
    <w:nsid w:val="B79D08D"/>
    <w:multiLevelType w:val="hybridMultilevel"/>
    <w:lvl w:ilvl="0">
      <w:lvlJc w:val="left"/>
      <w:lvlText w:val="(%1)"/>
      <w:numFmt w:val="lowerLetter"/>
      <w:start w:val="2"/>
    </w:lvl>
  </w:abstractNum>
  <w:abstractNum w:abstractNumId="389">
    <w:nsid w:val="69141769"/>
    <w:multiLevelType w:val="hybridMultilevel"/>
    <w:lvl w:ilvl="0">
      <w:lvlJc w:val="left"/>
      <w:lvlText w:val="(%1)"/>
      <w:numFmt w:val="lowerRoman"/>
      <w:start w:val="1"/>
    </w:lvl>
  </w:abstractNum>
  <w:abstractNum w:abstractNumId="390">
    <w:nsid w:val="7BF45B8E"/>
    <w:multiLevelType w:val="hybridMultilevel"/>
    <w:lvl w:ilvl="0">
      <w:lvlJc w:val="left"/>
      <w:lvlText w:val="(%1)"/>
      <w:numFmt w:val="lowerRoman"/>
      <w:start w:val="3"/>
    </w:lvl>
  </w:abstractNum>
  <w:abstractNum w:abstractNumId="391">
    <w:nsid w:val="41205269"/>
    <w:multiLevelType w:val="hybridMultilevel"/>
    <w:lvl w:ilvl="0">
      <w:lvlJc w:val="left"/>
      <w:lvlText w:val="(%1)"/>
      <w:numFmt w:val="lowerLetter"/>
      <w:start w:val="1"/>
    </w:lvl>
  </w:abstractNum>
  <w:abstractNum w:abstractNumId="392">
    <w:nsid w:val="9AE0DD"/>
    <w:multiLevelType w:val="hybridMultilevel"/>
    <w:lvl w:ilvl="0">
      <w:lvlJc w:val="left"/>
      <w:lvlText w:val="(%1)"/>
      <w:numFmt w:val="lowerLetter"/>
      <w:start w:val="8"/>
    </w:lvl>
  </w:abstractNum>
  <w:abstractNum w:abstractNumId="393">
    <w:nsid w:val="1818832F"/>
    <w:multiLevelType w:val="hybridMultilevel"/>
    <w:lvl w:ilvl="0">
      <w:lvlJc w:val="left"/>
      <w:lvlText w:val="(%1)"/>
      <w:numFmt w:val="lowerLetter"/>
      <w:start w:val="1"/>
    </w:lvl>
  </w:abstractNum>
  <w:abstractNum w:abstractNumId="394">
    <w:nsid w:val="24C29FD1"/>
    <w:multiLevelType w:val="hybridMultilevel"/>
    <w:lvl w:ilvl="0">
      <w:lvlJc w:val="left"/>
      <w:lvlText w:val="(%1)"/>
      <w:numFmt w:val="lowerRoman"/>
      <w:start w:val="2"/>
    </w:lvl>
  </w:abstractNum>
  <w:abstractNum w:abstractNumId="395">
    <w:nsid w:val="50528108"/>
    <w:multiLevelType w:val="hybridMultilevel"/>
    <w:lvl w:ilvl="0">
      <w:lvlJc w:val="left"/>
      <w:lvlText w:val="%1"/>
      <w:numFmt w:val="lowerLetter"/>
      <w:start w:val="1"/>
    </w:lvl>
    <w:lvl w:ilvl="1">
      <w:lvlJc w:val="left"/>
      <w:lvlText w:val="(%2)"/>
      <w:numFmt w:val="lowerLetter"/>
      <w:start w:val="1"/>
    </w:lvl>
  </w:abstractNum>
  <w:abstractNum w:abstractNumId="396">
    <w:nsid w:val="21857A57"/>
    <w:multiLevelType w:val="hybridMultilevel"/>
    <w:lvl w:ilvl="0">
      <w:lvlJc w:val="left"/>
      <w:lvlText w:val="(%1)"/>
      <w:numFmt w:val="lowerLetter"/>
      <w:start w:val="9"/>
    </w:lvl>
    <w:lvl w:ilvl="1">
      <w:lvlJc w:val="left"/>
      <w:lvlText w:val="%2"/>
      <w:numFmt w:val="lowerLetter"/>
      <w:start w:val="1"/>
    </w:lvl>
  </w:abstractNum>
  <w:abstractNum w:abstractNumId="397">
    <w:nsid w:val="5FD4B154"/>
    <w:multiLevelType w:val="hybridMultilevel"/>
    <w:lvl w:ilvl="0">
      <w:lvlJc w:val="left"/>
      <w:lvlText w:val="(%1)"/>
      <w:numFmt w:val="lowerLetter"/>
      <w:start w:val="4"/>
    </w:lvl>
  </w:abstractNum>
  <w:abstractNum w:abstractNumId="398">
    <w:nsid w:val="4ABE597"/>
    <w:multiLevelType w:val="hybridMultilevel"/>
    <w:lvl w:ilvl="0">
      <w:lvlJc w:val="left"/>
      <w:lvlText w:val="(%1)"/>
      <w:numFmt w:val="lowerLetter"/>
      <w:start w:val="1"/>
    </w:lvl>
  </w:abstractNum>
  <w:abstractNum w:abstractNumId="399">
    <w:nsid w:val="5C64AD75"/>
    <w:multiLevelType w:val="hybridMultilevel"/>
    <w:lvl w:ilvl="0">
      <w:lvlJc w:val="left"/>
      <w:lvlText w:val="(%1)"/>
      <w:numFmt w:val="lowerLetter"/>
      <w:start w:val="1"/>
    </w:lvl>
    <w:lvl w:ilvl="1">
      <w:lvlJc w:val="left"/>
      <w:lvlText w:val="(%2)"/>
      <w:numFmt w:val="lowerRoman"/>
      <w:start w:val="1"/>
    </w:lvl>
  </w:abstractNum>
  <w:abstractNum w:abstractNumId="400">
    <w:nsid w:val="2CDD5B39"/>
    <w:multiLevelType w:val="hybridMultilevel"/>
    <w:lvl w:ilvl="0">
      <w:lvlJc w:val="left"/>
      <w:lvlText w:val="%1"/>
      <w:numFmt w:val="lowerLetter"/>
      <w:start w:val="1"/>
    </w:lvl>
    <w:lvl w:ilvl="1">
      <w:lvlJc w:val="left"/>
      <w:lvlText w:val="(%2)"/>
      <w:numFmt w:val="lowerRoman"/>
      <w:start w:val="3"/>
    </w:lvl>
  </w:abstractNum>
  <w:abstractNum w:abstractNumId="401">
    <w:nsid w:val="6F9EA0D1"/>
    <w:multiLevelType w:val="hybridMultilevel"/>
    <w:lvl w:ilvl="0">
      <w:lvlJc w:val="left"/>
      <w:lvlText w:val="(%1)"/>
      <w:numFmt w:val="lowerLetter"/>
      <w:start w:val="2"/>
    </w:lvl>
    <w:lvl w:ilvl="1">
      <w:lvlJc w:val="left"/>
      <w:lvlText w:val="%2"/>
      <w:numFmt w:val="lowerRoman"/>
      <w:start w:val="1"/>
    </w:lvl>
  </w:abstractNum>
  <w:abstractNum w:abstractNumId="402">
    <w:nsid w:val="247FC4AE"/>
    <w:multiLevelType w:val="hybridMultilevel"/>
    <w:lvl w:ilvl="0">
      <w:lvlJc w:val="left"/>
      <w:lvlText w:val="(%1)"/>
      <w:numFmt w:val="lowerLetter"/>
      <w:start w:val="1"/>
    </w:lvl>
  </w:abstractNum>
  <w:abstractNum w:abstractNumId="403">
    <w:nsid w:val="46C01B05"/>
    <w:multiLevelType w:val="hybridMultilevel"/>
    <w:lvl w:ilvl="0">
      <w:lvlJc w:val="left"/>
      <w:lvlText w:val="(%1)"/>
      <w:numFmt w:val="lowerLetter"/>
      <w:start w:val="1"/>
    </w:lvl>
  </w:abstractNum>
  <w:abstractNum w:abstractNumId="404">
    <w:nsid w:val="566EC29B"/>
    <w:multiLevelType w:val="hybridMultilevel"/>
    <w:lvl w:ilvl="0">
      <w:lvlJc w:val="left"/>
      <w:lvlText w:val="%1"/>
      <w:numFmt w:val="lowerLetter"/>
      <w:start w:val="1"/>
    </w:lvl>
    <w:lvl w:ilvl="1">
      <w:lvlJc w:val="left"/>
      <w:lvlText w:val="(%2)"/>
      <w:numFmt w:val="lowerLetter"/>
      <w:start w:val="1"/>
    </w:lvl>
  </w:abstractNum>
  <w:abstractNum w:abstractNumId="405">
    <w:nsid w:val="7A963843"/>
    <w:multiLevelType w:val="hybridMultilevel"/>
    <w:lvl w:ilvl="0">
      <w:lvlJc w:val="left"/>
      <w:lvlText w:val="(%1)"/>
      <w:numFmt w:val="lowerLetter"/>
      <w:start w:val="35"/>
    </w:lvl>
    <w:lvl w:ilvl="1">
      <w:lvlJc w:val="left"/>
      <w:lvlText w:val="(%2)"/>
      <w:numFmt w:val="lowerLetter"/>
      <w:start w:val="2"/>
    </w:lvl>
  </w:abstractNum>
  <w:abstractNum w:abstractNumId="406">
    <w:nsid w:val="4FE12F61"/>
    <w:multiLevelType w:val="hybridMultilevel"/>
    <w:lvl w:ilvl="0">
      <w:lvlJc w:val="left"/>
      <w:lvlText w:val="(%1)"/>
      <w:numFmt w:val="lowerLetter"/>
      <w:start w:val="1"/>
    </w:lvl>
  </w:abstractNum>
  <w:abstractNum w:abstractNumId="407">
    <w:nsid w:val="51A3A284"/>
    <w:multiLevelType w:val="hybridMultilevel"/>
    <w:lvl w:ilvl="0">
      <w:lvlJc w:val="left"/>
      <w:lvlText w:val="(%1)"/>
      <w:numFmt w:val="upperLetter"/>
      <w:start w:val="1"/>
    </w:lvl>
  </w:abstractNum>
  <w:abstractNum w:abstractNumId="408">
    <w:nsid w:val="376863BC"/>
    <w:multiLevelType w:val="hybridMultilevel"/>
    <w:lvl w:ilvl="0">
      <w:lvlJc w:val="left"/>
      <w:lvlText w:val="(%1)"/>
      <w:numFmt w:val="lowerLetter"/>
      <w:start w:val="1"/>
    </w:lvl>
  </w:abstractNum>
  <w:abstractNum w:abstractNumId="409">
    <w:nsid w:val="118C6C0"/>
    <w:multiLevelType w:val="hybridMultilevel"/>
    <w:lvl w:ilvl="0">
      <w:lvlJc w:val="left"/>
      <w:lvlText w:val="(%1)"/>
      <w:numFmt w:val="lowerLetter"/>
      <w:start w:val="1"/>
    </w:lvl>
  </w:abstractNum>
  <w:abstractNum w:abstractNumId="410">
    <w:nsid w:val="7F7E4A15"/>
    <w:multiLevelType w:val="hybridMultilevel"/>
    <w:lvl w:ilvl="0">
      <w:lvlJc w:val="left"/>
      <w:lvlText w:val="(%1)"/>
      <w:numFmt w:val="lowerLetter"/>
      <w:start w:val="1"/>
    </w:lvl>
  </w:abstractNum>
  <w:abstractNum w:abstractNumId="411">
    <w:nsid w:val="2E8E9F47"/>
    <w:multiLevelType w:val="hybridMultilevel"/>
    <w:lvl w:ilvl="0">
      <w:lvlJc w:val="left"/>
      <w:lvlText w:val="(%1)"/>
      <w:numFmt w:val="lowerLetter"/>
      <w:start w:val="2"/>
    </w:lvl>
  </w:abstractNum>
  <w:abstractNum w:abstractNumId="412">
    <w:nsid w:val="76742596"/>
    <w:multiLevelType w:val="hybridMultilevel"/>
    <w:lvl w:ilvl="0">
      <w:lvlJc w:val="left"/>
      <w:lvlText w:val="(%1)"/>
      <w:numFmt w:val="lowerLetter"/>
      <w:start w:val="1"/>
    </w:lvl>
  </w:abstractNum>
  <w:abstractNum w:abstractNumId="413">
    <w:nsid w:val="CB55FF3"/>
    <w:multiLevelType w:val="hybridMultilevel"/>
    <w:lvl w:ilvl="0">
      <w:lvlJc w:val="left"/>
      <w:lvlText w:val="(%1)"/>
      <w:numFmt w:val="lowerLetter"/>
      <w:start w:val="1"/>
    </w:lvl>
  </w:abstractNum>
  <w:abstractNum w:abstractNumId="414">
    <w:nsid w:val="21DF319E"/>
    <w:multiLevelType w:val="hybridMultilevel"/>
    <w:lvl w:ilvl="0">
      <w:lvlJc w:val="left"/>
      <w:lvlText w:val="(%1)"/>
      <w:numFmt w:val="lowerLetter"/>
      <w:start w:val="2"/>
    </w:lvl>
    <w:lvl w:ilvl="1">
      <w:lvlJc w:val="left"/>
      <w:lvlText w:val="(%2)"/>
      <w:numFmt w:val="lowerRoman"/>
      <w:start w:val="1"/>
    </w:lvl>
  </w:abstractNum>
  <w:abstractNum w:abstractNumId="415">
    <w:nsid w:val="6687F34D"/>
    <w:multiLevelType w:val="hybridMultilevel"/>
    <w:lvl w:ilvl="0">
      <w:lvlJc w:val="left"/>
      <w:lvlText w:val="%1"/>
      <w:numFmt w:val="upperLetter"/>
      <w:start w:val="1"/>
    </w:lvl>
    <w:lvl w:ilvl="1">
      <w:lvlJc w:val="left"/>
      <w:lvlText w:val="(%2)"/>
      <w:numFmt w:val="lowerRoman"/>
      <w:start w:val="12"/>
    </w:lvl>
  </w:abstractNum>
  <w:abstractNum w:abstractNumId="416">
    <w:nsid w:val="25415B0C"/>
    <w:multiLevelType w:val="hybridMultilevel"/>
    <w:lvl w:ilvl="0">
      <w:lvlJc w:val="left"/>
      <w:lvlText w:val="(%1)"/>
      <w:numFmt w:val="upperLetter"/>
      <w:start w:val="3"/>
    </w:lvl>
    <w:lvl w:ilvl="1">
      <w:lvlJc w:val="left"/>
      <w:lvlText w:val="(%2)"/>
      <w:numFmt w:val="lowerRoman"/>
      <w:start w:val="13"/>
    </w:lvl>
  </w:abstractNum>
  <w:abstractNum w:abstractNumId="417">
    <w:nsid w:val="17CFC87D"/>
    <w:multiLevelType w:val="hybridMultilevel"/>
    <w:lvl w:ilvl="0">
      <w:lvlJc w:val="left"/>
      <w:lvlText w:val="(%1)"/>
      <w:numFmt w:val="lowerRoman"/>
      <w:start w:val="24"/>
    </w:lvl>
  </w:abstractNum>
  <w:abstractNum w:abstractNumId="418">
    <w:nsid w:val="5D66DC65"/>
    <w:multiLevelType w:val="hybridMultilevel"/>
    <w:lvl w:ilvl="0">
      <w:lvlJc w:val="left"/>
      <w:lvlText w:val="(%1)"/>
      <w:numFmt w:val="lowerLetter"/>
      <w:start w:val="1"/>
    </w:lvl>
  </w:abstractNum>
  <w:abstractNum w:abstractNumId="419">
    <w:nsid w:val="30BB2B99"/>
    <w:multiLevelType w:val="hybridMultilevel"/>
    <w:lvl w:ilvl="0">
      <w:lvlJc w:val="left"/>
      <w:lvlText w:val="%1"/>
      <w:numFmt w:val="upperLetter"/>
      <w:start w:val="1"/>
    </w:lvl>
    <w:lvl w:ilvl="1">
      <w:lvlJc w:val="left"/>
      <w:lvlText w:val="(%2)"/>
      <w:numFmt w:val="lowerLetter"/>
      <w:start w:val="1"/>
    </w:lvl>
  </w:abstractNum>
  <w:abstractNum w:abstractNumId="420">
    <w:nsid w:val="E3DFE6"/>
    <w:multiLevelType w:val="hybridMultilevel"/>
    <w:lvl w:ilvl="0">
      <w:lvlJc w:val="left"/>
      <w:lvlText w:val="(%1)"/>
      <w:numFmt w:val="upperLetter"/>
      <w:start w:val="1"/>
    </w:lvl>
    <w:lvl w:ilvl="1">
      <w:lvlJc w:val="left"/>
      <w:lvlText w:val="(%2)"/>
      <w:numFmt w:val="lowerLetter"/>
      <w:start w:val="3"/>
    </w:lvl>
  </w:abstractNum>
  <w:abstractNum w:abstractNumId="421">
    <w:nsid w:val="595B37F3"/>
    <w:multiLevelType w:val="hybridMultilevel"/>
    <w:lvl w:ilvl="0">
      <w:lvlJc w:val="left"/>
      <w:lvlText w:val="(%1)"/>
      <w:numFmt w:val="lowerLetter"/>
      <w:start w:val="1"/>
    </w:lvl>
  </w:abstractNum>
  <w:abstractNum w:abstractNumId="422">
    <w:nsid w:val="71DB7E02"/>
    <w:multiLevelType w:val="hybridMultilevel"/>
    <w:lvl w:ilvl="0">
      <w:lvlJc w:val="left"/>
      <w:lvlText w:val="%1"/>
      <w:numFmt w:val="decimal"/>
      <w:start w:val="1"/>
    </w:lvl>
    <w:lvl w:ilvl="1">
      <w:lvlJc w:val="left"/>
      <w:lvlText w:val="(%2)"/>
      <w:numFmt w:val="lowerLetter"/>
      <w:start w:val="2"/>
    </w:lvl>
  </w:abstractNum>
  <w:abstractNum w:abstractNumId="423">
    <w:nsid w:val="17EC0C4"/>
    <w:multiLevelType w:val="hybridMultilevel"/>
    <w:lvl w:ilvl="0">
      <w:lvlJc w:val="left"/>
      <w:lvlText w:val="(%1)"/>
      <w:numFmt w:val="decimal"/>
      <w:start w:val="4"/>
    </w:lvl>
    <w:lvl w:ilvl="1">
      <w:lvlJc w:val="left"/>
      <w:lvlText w:val="%2"/>
      <w:numFmt w:val="lowerLetter"/>
      <w:start w:val="1"/>
    </w:lvl>
  </w:abstractNum>
  <w:abstractNum w:abstractNumId="424">
    <w:nsid w:val="7173BB22"/>
    <w:multiLevelType w:val="hybridMultilevel"/>
    <w:lvl w:ilvl="0">
      <w:lvlJc w:val="left"/>
      <w:lvlText w:val="(%1)"/>
      <w:numFmt w:val="lowerLetter"/>
      <w:start w:val="1"/>
    </w:lvl>
  </w:abstractNum>
  <w:abstractNum w:abstractNumId="425">
    <w:nsid w:val="169E1DD3"/>
    <w:multiLevelType w:val="hybridMultilevel"/>
    <w:lvl w:ilvl="0">
      <w:lvlJc w:val="left"/>
      <w:lvlText w:val="(%1)"/>
      <w:numFmt w:val="lowerRoman"/>
      <w:start w:val="1"/>
    </w:lvl>
  </w:abstractNum>
  <w:abstractNum w:abstractNumId="426">
    <w:nsid w:val="51D141CC"/>
    <w:multiLevelType w:val="hybridMultilevel"/>
    <w:lvl w:ilvl="0">
      <w:lvlJc w:val="left"/>
      <w:lvlText w:val="(%1)"/>
      <w:numFmt w:val="lowerRoman"/>
      <w:start w:val="3"/>
    </w:lvl>
  </w:abstractNum>
  <w:abstractNum w:abstractNumId="427">
    <w:nsid w:val="12F9357A"/>
    <w:multiLevelType w:val="hybridMultilevel"/>
    <w:lvl w:ilvl="0">
      <w:lvlJc w:val="left"/>
      <w:lvlText w:val="(%1)"/>
      <w:numFmt w:val="upperLetter"/>
      <w:start w:val="1"/>
    </w:lvl>
  </w:abstractNum>
  <w:abstractNum w:abstractNumId="428">
    <w:nsid w:val="7672CF28"/>
    <w:multiLevelType w:val="hybridMultilevel"/>
    <w:lvl w:ilvl="0">
      <w:lvlJc w:val="left"/>
      <w:lvlText w:val="(%1)"/>
      <w:numFmt w:val="lowerLetter"/>
      <w:start w:val="1"/>
    </w:lvl>
  </w:abstractNum>
  <w:abstractNum w:abstractNumId="429">
    <w:nsid w:val="567D2763"/>
    <w:multiLevelType w:val="hybridMultilevel"/>
    <w:lvl w:ilvl="0">
      <w:lvlJc w:val="left"/>
      <w:lvlText w:val="(%1)"/>
      <w:numFmt w:val="lowerLetter"/>
      <w:start w:val="1"/>
    </w:lvl>
  </w:abstractNum>
  <w:abstractNum w:abstractNumId="430">
    <w:nsid w:val="6F5DE2EF"/>
    <w:multiLevelType w:val="hybridMultilevel"/>
    <w:lvl w:ilvl="0">
      <w:lvlJc w:val="left"/>
      <w:lvlText w:val="(%1)"/>
      <w:numFmt w:val="upperLetter"/>
      <w:start w:val="3"/>
    </w:lvl>
  </w:abstractNum>
  <w:abstractNum w:abstractNumId="431">
    <w:nsid w:val="23502A61"/>
    <w:multiLevelType w:val="hybridMultilevel"/>
    <w:lvl w:ilvl="0">
      <w:lvlJc w:val="left"/>
      <w:lvlText w:val="(%1)"/>
      <w:numFmt w:val="lowerLetter"/>
      <w:start w:val="1"/>
    </w:lvl>
  </w:abstractNum>
  <w:abstractNum w:abstractNumId="432">
    <w:nsid w:val="461BC834"/>
    <w:multiLevelType w:val="hybridMultilevel"/>
    <w:lvl w:ilvl="0">
      <w:lvlJc w:val="left"/>
      <w:lvlText w:val="(%1)"/>
      <w:numFmt w:val="lowerLetter"/>
      <w:start w:val="2"/>
    </w:lvl>
  </w:abstractNum>
  <w:abstractNum w:abstractNumId="433">
    <w:nsid w:val="13DDA79D"/>
    <w:multiLevelType w:val="hybridMultilevel"/>
    <w:lvl w:ilvl="0">
      <w:lvlJc w:val="left"/>
      <w:lvlText w:val="(%1)"/>
      <w:numFmt w:val="lowerLetter"/>
      <w:start w:val="1"/>
    </w:lvl>
  </w:abstractNum>
  <w:abstractNum w:abstractNumId="434">
    <w:nsid w:val="6A104566"/>
    <w:multiLevelType w:val="hybridMultilevel"/>
    <w:lvl w:ilvl="0">
      <w:lvlJc w:val="left"/>
      <w:lvlText w:val="(%1)"/>
      <w:numFmt w:val="lowerLetter"/>
      <w:start w:val="2"/>
    </w:lvl>
  </w:abstractNum>
  <w:abstractNum w:abstractNumId="435">
    <w:nsid w:val="1C8A8ACF"/>
    <w:multiLevelType w:val="hybridMultilevel"/>
    <w:lvl w:ilvl="0">
      <w:lvlJc w:val="left"/>
      <w:lvlText w:val="(%1)"/>
      <w:numFmt w:val="decimal"/>
      <w:start w:val="10"/>
    </w:lvl>
  </w:abstractNum>
  <w:abstractNum w:abstractNumId="436">
    <w:nsid w:val="E73DFE0"/>
    <w:multiLevelType w:val="hybridMultilevel"/>
    <w:lvl w:ilvl="0">
      <w:lvlJc w:val="left"/>
      <w:lvlText w:val="(%1)"/>
      <w:numFmt w:val="lowerLetter"/>
      <w:start w:val="1"/>
    </w:lvl>
  </w:abstractNum>
  <w:abstractNum w:abstractNumId="437">
    <w:nsid w:val="39F174C7"/>
    <w:multiLevelType w:val="hybridMultilevel"/>
    <w:lvl w:ilvl="0">
      <w:lvlJc w:val="left"/>
      <w:lvlText w:val="(%1)"/>
      <w:numFmt w:val="lowerLetter"/>
      <w:start w:val="2"/>
    </w:lvl>
  </w:abstractNum>
  <w:abstractNum w:abstractNumId="438">
    <w:nsid w:val="6E2E2D53"/>
    <w:multiLevelType w:val="hybridMultilevel"/>
    <w:lvl w:ilvl="0">
      <w:lvlJc w:val="left"/>
      <w:lvlText w:val="(%1)"/>
      <w:numFmt w:val="lowerLetter"/>
      <w:start w:val="1"/>
    </w:lvl>
  </w:abstractNum>
  <w:abstractNum w:abstractNumId="439">
    <w:nsid w:val="45DC439D"/>
    <w:multiLevelType w:val="hybridMultilevel"/>
    <w:lvl w:ilvl="0">
      <w:lvlJc w:val="left"/>
      <w:lvlText w:val="(%1)"/>
      <w:numFmt w:val="lowerLetter"/>
      <w:start w:val="1"/>
    </w:lvl>
  </w:abstractNum>
  <w:abstractNum w:abstractNumId="440">
    <w:nsid w:val="3B0A3B87"/>
    <w:multiLevelType w:val="hybridMultilevel"/>
    <w:lvl w:ilvl="0">
      <w:lvlJc w:val="left"/>
      <w:lvlText w:val="(%1)"/>
      <w:numFmt w:val="lowerLetter"/>
      <w:start w:val="1"/>
    </w:lvl>
  </w:abstractNum>
  <w:abstractNum w:abstractNumId="441">
    <w:nsid w:val="6DAC7768"/>
    <w:multiLevelType w:val="hybridMultilevel"/>
    <w:lvl w:ilvl="0">
      <w:lvlJc w:val="left"/>
      <w:lvlText w:val="(%1)"/>
      <w:numFmt w:val="lowerLetter"/>
      <w:start w:val="11"/>
    </w:lvl>
    <w:lvl w:ilvl="1">
      <w:lvlJc w:val="left"/>
      <w:lvlText w:val="(%2)"/>
      <w:numFmt w:val="lowerRoman"/>
      <w:start w:val="1"/>
    </w:lvl>
  </w:abstractNum>
  <w:abstractNum w:abstractNumId="442">
    <w:nsid w:val="746AE2E4"/>
    <w:multiLevelType w:val="hybridMultilevel"/>
    <w:lvl w:ilvl="0">
      <w:lvlJc w:val="left"/>
      <w:lvlText w:val="(%1)"/>
      <w:numFmt w:val="lowerLetter"/>
      <w:start w:val="1"/>
    </w:lvl>
    <w:lvl w:ilvl="1">
      <w:lvlJc w:val="left"/>
      <w:lvlText w:val="(%2)"/>
      <w:numFmt w:val="lowerRoman"/>
      <w:start w:val="1"/>
    </w:lvl>
  </w:abstractNum>
  <w:abstractNum w:abstractNumId="443">
    <w:nsid w:val="317E611D"/>
    <w:multiLevelType w:val="hybridMultilevel"/>
    <w:lvl w:ilvl="0">
      <w:lvlJc w:val="left"/>
      <w:lvlText w:val="(%1)"/>
      <w:numFmt w:val="lowerLetter"/>
      <w:start w:val="6"/>
    </w:lvl>
  </w:abstractNum>
  <w:abstractNum w:abstractNumId="444">
    <w:nsid w:val="7A61D75B"/>
    <w:multiLevelType w:val="hybridMultilevel"/>
    <w:lvl w:ilvl="0">
      <w:lvlJc w:val="left"/>
      <w:lvlText w:val="(%1)"/>
      <w:numFmt w:val="lowerLetter"/>
      <w:start w:val="1"/>
    </w:lvl>
  </w:abstractNum>
  <w:abstractNum w:abstractNumId="445">
    <w:nsid w:val="164A1482"/>
    <w:multiLevelType w:val="hybridMultilevel"/>
    <w:lvl w:ilvl="0">
      <w:lvlJc w:val="left"/>
      <w:lvlText w:val="(%1)"/>
      <w:numFmt w:val="lowerLetter"/>
      <w:start w:val="2"/>
    </w:lvl>
    <w:lvl w:ilvl="1">
      <w:lvlJc w:val="left"/>
      <w:lvlText w:val="(%2)"/>
      <w:numFmt w:val="lowerRoman"/>
      <w:start w:val="1"/>
    </w:lvl>
  </w:abstractNum>
  <w:abstractNum w:abstractNumId="446">
    <w:nsid w:val="1806546B"/>
    <w:multiLevelType w:val="hybridMultilevel"/>
    <w:lvl w:ilvl="0">
      <w:lvlJc w:val="left"/>
      <w:lvlText w:val="(%1)"/>
      <w:numFmt w:val="lowerLetter"/>
      <w:start w:val="1"/>
    </w:lvl>
  </w:abstractNum>
  <w:abstractNum w:abstractNumId="447">
    <w:nsid w:val="1FA33267"/>
    <w:multiLevelType w:val="hybridMultilevel"/>
    <w:lvl w:ilvl="0">
      <w:lvlJc w:val="left"/>
      <w:lvlText w:val="(%1)"/>
      <w:numFmt w:val="lowerLetter"/>
      <w:start w:val="4"/>
    </w:lvl>
  </w:abstractNum>
  <w:abstractNum w:abstractNumId="448">
    <w:nsid w:val="2E19DD00"/>
    <w:multiLevelType w:val="hybridMultilevel"/>
    <w:lvl w:ilvl="0">
      <w:lvlJc w:val="left"/>
      <w:lvlText w:val="(%1)"/>
      <w:numFmt w:val="lowerLetter"/>
      <w:start w:val="1"/>
    </w:lvl>
  </w:abstractNum>
  <w:abstractNum w:abstractNumId="449">
    <w:nsid w:val="756D30D0"/>
    <w:multiLevelType w:val="hybridMultilevel"/>
    <w:lvl w:ilvl="0">
      <w:lvlJc w:val="left"/>
      <w:lvlText w:val="(%1)"/>
      <w:numFmt w:val="lowerLetter"/>
      <w:start w:val="2"/>
    </w:lvl>
  </w:abstractNum>
  <w:abstractNum w:abstractNumId="450">
    <w:nsid w:val="505E5E01"/>
    <w:multiLevelType w:val="hybridMultilevel"/>
    <w:lvl w:ilvl="0">
      <w:lvlJc w:val="left"/>
      <w:lvlText w:val="(%1)"/>
      <w:numFmt w:val="lowerLetter"/>
      <w:start w:val="3"/>
    </w:lvl>
  </w:abstractNum>
  <w:abstractNum w:abstractNumId="451">
    <w:nsid w:val="2EFDBCE6"/>
    <w:multiLevelType w:val="hybridMultilevel"/>
    <w:lvl w:ilvl="0">
      <w:lvlJc w:val="left"/>
      <w:lvlText w:val="(%1)"/>
      <w:numFmt w:val="lowerLetter"/>
      <w:start w:val="2"/>
    </w:lvl>
  </w:abstractNum>
  <w:abstractNum w:abstractNumId="452">
    <w:nsid w:val="4EC868C4"/>
    <w:multiLevelType w:val="hybridMultilevel"/>
    <w:lvl w:ilvl="0">
      <w:lvlJc w:val="left"/>
      <w:lvlText w:val="(%1)"/>
      <w:numFmt w:val="lowerLetter"/>
      <w:start w:val="8"/>
    </w:lvl>
  </w:abstractNum>
  <w:abstractNum w:abstractNumId="453">
    <w:nsid w:val="4239DC03"/>
    <w:multiLevelType w:val="hybridMultilevel"/>
    <w:lvl w:ilvl="0">
      <w:lvlJc w:val="left"/>
      <w:lvlText w:val="(%1)"/>
      <w:numFmt w:val="lowerLetter"/>
      <w:start w:val="2"/>
    </w:lvl>
  </w:abstractNum>
  <w:abstractNum w:abstractNumId="454">
    <w:nsid w:val="307C7DAA"/>
    <w:multiLevelType w:val="hybridMultilevel"/>
    <w:lvl w:ilvl="0">
      <w:lvlJc w:val="left"/>
      <w:lvlText w:val="(%1)"/>
      <w:numFmt w:val="lowerLetter"/>
      <w:start w:val="1"/>
    </w:lvl>
  </w:abstractNum>
  <w:abstractNum w:abstractNumId="455">
    <w:nsid w:val="403C23E6"/>
    <w:multiLevelType w:val="hybridMultilevel"/>
    <w:lvl w:ilvl="0">
      <w:lvlJc w:val="left"/>
      <w:lvlText w:val="(%1)"/>
      <w:numFmt w:val="lowerLetter"/>
      <w:start w:val="1"/>
    </w:lvl>
  </w:abstractNum>
  <w:abstractNum w:abstractNumId="456">
    <w:nsid w:val="58D7F9D7"/>
    <w:multiLevelType w:val="hybridMultilevel"/>
    <w:lvl w:ilvl="0">
      <w:lvlJc w:val="left"/>
      <w:lvlText w:val="(%1)"/>
      <w:numFmt w:val="lowerLetter"/>
      <w:start w:val="2"/>
    </w:lvl>
    <w:lvl w:ilvl="1">
      <w:lvlJc w:val="left"/>
      <w:lvlText w:val="*"/>
      <w:numFmt w:val="bullet"/>
      <w:start w:val="1"/>
    </w:lvl>
  </w:abstractNum>
  <w:abstractNum w:abstractNumId="457">
    <w:nsid w:val="24DBF76"/>
    <w:multiLevelType w:val="hybridMultilevel"/>
    <w:lvl w:ilvl="0">
      <w:lvlJc w:val="left"/>
      <w:lvlText w:val="%1."/>
      <w:numFmt w:val="decimal"/>
      <w:start w:val="1"/>
    </w:lvl>
    <w:lvl w:ilvl="1">
      <w:lvlJc w:val="left"/>
      <w:lvlText w:val="(%2)"/>
      <w:numFmt w:val="lowerLetter"/>
      <w:start w:val="1"/>
    </w:lvl>
  </w:abstractNum>
  <w:abstractNum w:abstractNumId="458">
    <w:nsid w:val="53355960"/>
    <w:multiLevelType w:val="hybridMultilevel"/>
    <w:lvl w:ilvl="0">
      <w:lvlJc w:val="left"/>
      <w:lvlText w:val="(%1)"/>
      <w:numFmt w:val="lowerRoman"/>
      <w:start w:val="1"/>
    </w:lvl>
  </w:abstractNum>
  <w:abstractNum w:abstractNumId="459">
    <w:nsid w:val="4F4AC8FF"/>
    <w:multiLevelType w:val="hybridMultilevel"/>
    <w:lvl w:ilvl="0">
      <w:lvlJc w:val="left"/>
      <w:lvlText w:val="1"/>
      <w:numFmt w:val="bullet"/>
      <w:start w:val="1"/>
    </w:lvl>
  </w:abstractNum>
  <w:abstractNum w:abstractNumId="460">
    <w:nsid w:val="58CAE6D9"/>
    <w:multiLevelType w:val="hybridMultilevel"/>
    <w:lvl w:ilvl="0">
      <w:lvlJc w:val="left"/>
      <w:lvlText w:val="(%1)"/>
      <w:numFmt w:val="lowerLetter"/>
      <w:start w:val="2"/>
    </w:lvl>
  </w:abstractNum>
  <w:abstractNum w:abstractNumId="461">
    <w:nsid w:val="42933C4F"/>
    <w:multiLevelType w:val="hybridMultilevel"/>
    <w:lvl w:ilvl="0">
      <w:lvlJc w:val="left"/>
      <w:lvlText w:val="(%1)"/>
      <w:numFmt w:val="lowerRoman"/>
      <w:start w:val="2"/>
    </w:lvl>
  </w:abstractNum>
  <w:abstractNum w:abstractNumId="462">
    <w:nsid w:val="729AF360"/>
    <w:multiLevelType w:val="hybridMultilevel"/>
    <w:lvl w:ilvl="0">
      <w:lvlJc w:val="left"/>
      <w:lvlText w:val="2"/>
      <w:numFmt w:val="bullet"/>
      <w:start w:val="1"/>
    </w:lvl>
  </w:abstractNum>
  <w:abstractNum w:abstractNumId="463">
    <w:nsid w:val="1EE6AF0D"/>
    <w:multiLevelType w:val="hybridMultilevel"/>
    <w:lvl w:ilvl="0">
      <w:lvlJc w:val="left"/>
      <w:lvlText w:val="(%1)"/>
      <w:numFmt w:val="lowerRoman"/>
      <w:start w:val="5"/>
    </w:lvl>
    <w:lvl w:ilvl="1">
      <w:lvlJc w:val="left"/>
      <w:lvlText w:val="(%2)"/>
      <w:numFmt w:val="upperLetter"/>
      <w:start w:val="1"/>
    </w:lvl>
  </w:abstractNum>
  <w:abstractNum w:abstractNumId="464">
    <w:nsid w:val="5670E3ED"/>
    <w:multiLevelType w:val="hybridMultilevel"/>
    <w:lvl w:ilvl="0">
      <w:lvlJc w:val="left"/>
      <w:lvlText w:val="(%1)"/>
      <w:numFmt w:val="lowerRoman"/>
      <w:start w:val="14"/>
    </w:lvl>
    <w:lvl w:ilvl="1">
      <w:lvlJc w:val="left"/>
      <w:lvlText w:val="(%2)"/>
      <w:numFmt w:val="upperLetter"/>
      <w:start w:val="1"/>
    </w:lvl>
  </w:abstractNum>
  <w:abstractNum w:abstractNumId="465">
    <w:nsid w:val="5CAB38C6"/>
    <w:multiLevelType w:val="hybridMultilevel"/>
    <w:lvl w:ilvl="0">
      <w:lvlJc w:val="left"/>
      <w:lvlText w:val="%1"/>
      <w:numFmt w:val="decimal"/>
      <w:start w:val="1"/>
    </w:lvl>
    <w:lvl w:ilvl="1">
      <w:lvlJc w:val="left"/>
      <w:lvlText w:val="(%2)"/>
      <w:numFmt w:val="lowerLetter"/>
      <w:start w:val="2"/>
    </w:lvl>
  </w:abstractNum>
  <w:abstractNum w:abstractNumId="466">
    <w:nsid w:val="3B7139DD"/>
    <w:multiLevelType w:val="hybridMultilevel"/>
    <w:lvl w:ilvl="0">
      <w:lvlJc w:val="left"/>
      <w:lvlText w:val="%1."/>
      <w:numFmt w:val="decimal"/>
      <w:start w:val="3"/>
    </w:lvl>
    <w:lvl w:ilvl="1">
      <w:lvlJc w:val="left"/>
      <w:lvlText w:val="%2"/>
      <w:numFmt w:val="lowerLetter"/>
      <w:start w:val="1"/>
    </w:lvl>
  </w:abstractNum>
  <w:abstractNum w:abstractNumId="467">
    <w:nsid w:val="64E4C3CD"/>
    <w:multiLevelType w:val="hybridMultilevel"/>
    <w:lvl w:ilvl="0">
      <w:lvlJc w:val="left"/>
      <w:lvlText w:val="%1."/>
      <w:numFmt w:val="decimal"/>
      <w:start w:val="4"/>
    </w:lvl>
    <w:lvl w:ilvl="1">
      <w:lvlJc w:val="left"/>
      <w:lvlText w:val="(%2)"/>
      <w:numFmt w:val="lowerLetter"/>
      <w:start w:val="1"/>
    </w:lvl>
  </w:abstractNum>
  <w:abstractNum w:abstractNumId="468">
    <w:nsid w:val="169CAD8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69">
    <w:nsid w:val="299F673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70">
    <w:nsid w:val="2AC1076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71">
    <w:nsid w:val="51A6E9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2">
    <w:nsid w:val="174BDE9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3">
    <w:nsid w:val="1F2BEA4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4">
    <w:nsid w:val="3254A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5">
    <w:nsid w:val="11ADB5F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6">
    <w:nsid w:val="3575FED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7">
    <w:nsid w:val="1B2B9E9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78">
    <w:nsid w:val="3150E85C"/>
    <w:multiLevelType w:val="hybridMultilevel"/>
    <w:lvl w:ilvl="0">
      <w:lvlJc w:val="left"/>
      <w:lvlText w:val="%1."/>
      <w:numFmt w:val="decimal"/>
      <w:start w:val="15"/>
    </w:lvl>
    <w:lvl w:ilvl="1">
      <w:lvlJc w:val="left"/>
      <w:lvlText w:val="(%2)"/>
      <w:numFmt w:val="lowerLetter"/>
      <w:start w:val="1"/>
    </w:lvl>
  </w:abstractNum>
  <w:abstractNum w:abstractNumId="479">
    <w:nsid w:val="638FDBD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80">
    <w:nsid w:val="1098CF6E"/>
    <w:multiLevelType w:val="hybridMultilevel"/>
    <w:lvl w:ilvl="0">
      <w:lvlJc w:val="left"/>
      <w:lvlText w:val="%1"/>
      <w:numFmt w:val="lowerLetter"/>
      <w:start w:val="1"/>
    </w:lvl>
    <w:lvl w:ilvl="1">
      <w:lvlJc w:val="left"/>
      <w:lvlText w:val="(%2)"/>
      <w:numFmt w:val="lowerRoman"/>
      <w:start w:val="3"/>
    </w:lvl>
  </w:abstractNum>
  <w:abstractNum w:abstractNumId="481">
    <w:nsid w:val="1AF465D"/>
    <w:multiLevelType w:val="hybridMultilevel"/>
    <w:lvl w:ilvl="0">
      <w:lvlJc w:val="left"/>
      <w:lvlText w:val="(%1)"/>
      <w:numFmt w:val="lowerLetter"/>
      <w:start w:val="3"/>
    </w:lvl>
    <w:lvl w:ilvl="1">
      <w:lvlJc w:val="left"/>
      <w:lvlText w:val="%2"/>
      <w:numFmt w:val="lowerRoman"/>
      <w:start w:val="1"/>
    </w:lvl>
  </w:abstractNum>
  <w:abstractNum w:abstractNumId="482">
    <w:nsid w:val="128D98B7"/>
    <w:multiLevelType w:val="hybridMultilevel"/>
    <w:lvl w:ilvl="0">
      <w:lvlJc w:val="left"/>
      <w:lvlText w:val="(%1)"/>
      <w:numFmt w:val="lowerLetter"/>
      <w:start w:val="4"/>
    </w:lvl>
  </w:abstractNum>
  <w:abstractNum w:abstractNumId="483">
    <w:nsid w:val="5F613832"/>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484">
    <w:nsid w:val="43E92260"/>
    <w:multiLevelType w:val="hybridMultilevel"/>
    <w:lvl w:ilvl="0">
      <w:lvlJc w:val="left"/>
      <w:lvlText w:val="%1."/>
      <w:numFmt w:val="decimal"/>
      <w:start w:val="19"/>
    </w:lvl>
  </w:abstractNum>
  <w:abstractNum w:abstractNumId="485">
    <w:nsid w:val="430A1662"/>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486">
    <w:nsid w:val="1F9D5C18"/>
    <w:multiLevelType w:val="hybridMultilevel"/>
    <w:lvl w:ilvl="0">
      <w:lvlJc w:val="left"/>
      <w:lvlText w:val="%1"/>
      <w:numFmt w:val="decimal"/>
      <w:start w:val="1"/>
    </w:lvl>
    <w:lvl w:ilvl="1">
      <w:lvlJc w:val="left"/>
      <w:lvlText w:val="(%2)"/>
      <w:numFmt w:val="lowerLetter"/>
      <w:start w:val="4"/>
    </w:lvl>
  </w:abstractNum>
  <w:abstractNum w:abstractNumId="487">
    <w:nsid w:val="1CC11C37"/>
    <w:multiLevelType w:val="hybridMultilevel"/>
    <w:lvl w:ilvl="0">
      <w:lvlJc w:val="left"/>
      <w:lvlText w:val="%1."/>
      <w:numFmt w:val="decimal"/>
      <w:start w:val="22"/>
    </w:lvl>
    <w:lvl w:ilvl="1">
      <w:lvlJc w:val="left"/>
      <w:lvlText w:val="(%2)"/>
      <w:numFmt w:val="lowerLetter"/>
      <w:start w:val="1"/>
    </w:lvl>
  </w:abstractNum>
  <w:abstractNum w:abstractNumId="488">
    <w:nsid w:val="4557D5D8"/>
    <w:multiLevelType w:val="hybridMultilevel"/>
    <w:lvl w:ilvl="0">
      <w:lvlJc w:val="left"/>
      <w:lvlText w:val="%1."/>
      <w:numFmt w:val="decimal"/>
      <w:start w:val="24"/>
    </w:lvl>
    <w:lvl w:ilvl="1">
      <w:lvlJc w:val="left"/>
      <w:lvlText w:val="(%2)"/>
      <w:numFmt w:val="lowerLetter"/>
      <w:start w:val="1"/>
    </w:lvl>
  </w:abstractNum>
  <w:abstractNum w:abstractNumId="489">
    <w:nsid w:val="72D2B579"/>
    <w:multiLevelType w:val="hybridMultilevel"/>
    <w:lvl w:ilvl="0">
      <w:lvlJc w:val="left"/>
      <w:lvlText w:val="%1."/>
      <w:numFmt w:val="decimal"/>
      <w:start w:val="27"/>
    </w:lvl>
    <w:lvl w:ilvl="1">
      <w:lvlJc w:val="left"/>
      <w:lvlText w:val="(%2)"/>
      <w:numFmt w:val="lowerLetter"/>
      <w:start w:val="1"/>
    </w:lvl>
  </w:abstractNum>
  <w:abstractNum w:abstractNumId="490">
    <w:nsid w:val="6C0BE53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491">
    <w:nsid w:val="1E22B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35"/>
    </w:lvl>
  </w:abstractNum>
  <w:abstractNum w:abstractNumId="492">
    <w:nsid w:val="3565F1C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93">
    <w:nsid w:val="5EA6D896"/>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494">
    <w:nsid w:val="3D096BBF"/>
    <w:multiLevelType w:val="hybridMultilevel"/>
    <w:lvl w:ilvl="0">
      <w:lvlJc w:val="left"/>
      <w:lvlText w:val="%1"/>
      <w:numFmt w:val="decimal"/>
      <w:start w:val="1"/>
    </w:lvl>
    <w:lvl w:ilvl="1">
      <w:lvlJc w:val="left"/>
      <w:lvlText w:val="(%2)"/>
      <w:numFmt w:val="lowerLetter"/>
      <w:start w:val="2"/>
    </w:lvl>
  </w:abstractNum>
  <w:abstractNum w:abstractNumId="495">
    <w:nsid w:val="BD6D5B5"/>
    <w:multiLevelType w:val="hybridMultilevel"/>
    <w:lvl w:ilvl="0">
      <w:lvlJc w:val="left"/>
      <w:lvlText w:val="%1."/>
      <w:numFmt w:val="decimal"/>
      <w:start w:val="29"/>
    </w:lvl>
    <w:lvl w:ilvl="1">
      <w:lvlJc w:val="left"/>
      <w:lvlText w:val="(%2)"/>
      <w:numFmt w:val="lowerLetter"/>
      <w:start w:val="1"/>
    </w:lvl>
  </w:abstractNum>
  <w:abstractNum w:abstractNumId="496">
    <w:nsid w:val="3B52115C"/>
    <w:multiLevelType w:val="hybridMultilevel"/>
    <w:lvl w:ilvl="0">
      <w:lvlJc w:val="left"/>
      <w:lvlText w:val="%1."/>
      <w:numFmt w:val="decimal"/>
      <w:start w:val="32"/>
    </w:lvl>
    <w:lvl w:ilvl="1">
      <w:lvlJc w:val="left"/>
      <w:lvlText w:val="(%2)"/>
      <w:numFmt w:val="lowerLetter"/>
      <w:start w:val="1"/>
    </w:lvl>
    <w:lvl w:ilvl="2">
      <w:lvlJc w:val="left"/>
      <w:lvlText w:val="(%3)"/>
      <w:numFmt w:val="lowerRoman"/>
      <w:start w:val="1"/>
    </w:lvl>
  </w:abstractNum>
  <w:abstractNum w:abstractNumId="497">
    <w:nsid w:val="787AA59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498">
    <w:nsid w:val="70BB9983"/>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99">
    <w:nsid w:val="51EEBE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0">
    <w:nsid w:val="221A0C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01">
    <w:nsid w:val="1B7CA0ED"/>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502">
    <w:nsid w:val="2395A7FF"/>
    <w:multiLevelType w:val="hybridMultilevel"/>
    <w:lvl w:ilvl="0">
      <w:lvlJc w:val="left"/>
      <w:lvlText w:val="%1."/>
      <w:numFmt w:val="decimal"/>
      <w:start w:val="38"/>
    </w:lvl>
    <w:lvl w:ilvl="1">
      <w:lvlJc w:val="left"/>
      <w:lvlText w:val="(%2)"/>
      <w:numFmt w:val="lowerLetter"/>
      <w:start w:val="1"/>
    </w:lvl>
  </w:abstractNum>
  <w:abstractNum w:abstractNumId="503">
    <w:nsid w:val="3965EB66"/>
    <w:multiLevelType w:val="hybridMultilevel"/>
    <w:lvl w:ilvl="0">
      <w:lvlJc w:val="left"/>
      <w:lvlText w:val="%1"/>
      <w:numFmt w:val="decimal"/>
      <w:start w:val="1"/>
    </w:lvl>
    <w:lvl w:ilvl="1">
      <w:lvlJc w:val="left"/>
      <w:lvlText w:val="(%2)"/>
      <w:numFmt w:val="lowerLetter"/>
      <w:start w:val="3"/>
    </w:lvl>
  </w:abstractNum>
  <w:abstractNum w:abstractNumId="504">
    <w:nsid w:val="3AA88B3C"/>
    <w:multiLevelType w:val="hybridMultilevel"/>
    <w:lvl w:ilvl="0">
      <w:lvlJc w:val="left"/>
      <w:lvlText w:val="%1."/>
      <w:numFmt w:val="decimal"/>
      <w:start w:val="39"/>
    </w:lvl>
    <w:lvl w:ilvl="1">
      <w:lvlJc w:val="left"/>
      <w:lvlText w:val="%2"/>
      <w:numFmt w:val="lowerLetter"/>
      <w:start w:val="1"/>
    </w:lvl>
  </w:abstractNum>
  <w:abstractNum w:abstractNumId="505">
    <w:nsid w:val="26BAF231"/>
    <w:multiLevelType w:val="hybridMultilevel"/>
    <w:lvl w:ilvl="0">
      <w:lvlJc w:val="left"/>
      <w:lvlText w:val="%1."/>
      <w:numFmt w:val="decimal"/>
      <w:start w:val="40"/>
    </w:lvl>
  </w:abstractNum>
  <w:abstractNum w:abstractNumId="506">
    <w:nsid w:val="4B13A15A"/>
    <w:multiLevelType w:val="hybridMultilevel"/>
    <w:lvl w:ilvl="0">
      <w:lvlJc w:val="left"/>
      <w:lvlText w:val="(%1)"/>
      <w:numFmt w:val="lowerLetter"/>
      <w:start w:val="1"/>
    </w:lvl>
  </w:abstractNum>
  <w:abstractNum w:abstractNumId="507">
    <w:nsid w:val="701E8A0D"/>
    <w:multiLevelType w:val="hybridMultilevel"/>
    <w:lvl w:ilvl="0">
      <w:lvlJc w:val="left"/>
      <w:lvlText w:val="%1."/>
      <w:numFmt w:val="decimal"/>
      <w:start w:val="41"/>
    </w:lvl>
  </w:abstractNum>
  <w:abstractNum w:abstractNumId="508">
    <w:nsid w:val="41E690CF"/>
    <w:multiLevelType w:val="hybridMultilevel"/>
    <w:lvl w:ilvl="0">
      <w:lvlJc w:val="left"/>
      <w:lvlText w:val="(%1)"/>
      <w:numFmt w:val="lowerLetter"/>
      <w:start w:val="1"/>
    </w:lvl>
    <w:lvl w:ilvl="1">
      <w:lvlJc w:val="left"/>
      <w:lvlText w:val="(%2)"/>
      <w:numFmt w:val="lowerRoman"/>
      <w:start w:val="1"/>
    </w:lvl>
  </w:abstractNum>
  <w:abstractNum w:abstractNumId="509">
    <w:nsid w:val="7C6489B6"/>
    <w:multiLevelType w:val="hybridMultilevel"/>
    <w:lvl w:ilvl="0">
      <w:lvlJc w:val="left"/>
      <w:lvlText w:val="%1."/>
      <w:numFmt w:val="decimal"/>
      <w:start w:val="42"/>
    </w:lvl>
  </w:abstractNum>
  <w:abstractNum w:abstractNumId="510">
    <w:nsid w:val="53AE65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1">
    <w:nsid w:val="527F603D"/>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512">
    <w:nsid w:val="7E13D013"/>
    <w:multiLevelType w:val="hybridMultilevel"/>
    <w:lvl w:ilvl="0">
      <w:lvlJc w:val="left"/>
      <w:lvlText w:val="(%1)"/>
      <w:numFmt w:val="lowerRoman"/>
      <w:start w:val="2"/>
    </w:lvl>
  </w:abstractNum>
  <w:abstractNum w:abstractNumId="513">
    <w:nsid w:val="663BFE95"/>
    <w:multiLevelType w:val="hybridMultilevel"/>
    <w:lvl w:ilvl="0">
      <w:lvlJc w:val="left"/>
      <w:lvlText w:val="%1"/>
      <w:numFmt w:val="decimal"/>
      <w:start w:val="1"/>
    </w:lvl>
    <w:lvl w:ilvl="1">
      <w:lvlJc w:val="left"/>
      <w:lvlText w:val="(%2)"/>
      <w:numFmt w:val="lowerLetter"/>
      <w:start w:val="4"/>
    </w:lvl>
  </w:abstractNum>
  <w:abstractNum w:abstractNumId="514">
    <w:nsid w:val="31E0986F"/>
    <w:multiLevelType w:val="hybridMultilevel"/>
    <w:lvl w:ilvl="0">
      <w:lvlJc w:val="left"/>
      <w:lvlText w:val="%1."/>
      <w:numFmt w:val="decimal"/>
      <w:start w:val="45"/>
    </w:lvl>
    <w:lvl w:ilvl="1">
      <w:lvlJc w:val="left"/>
      <w:lvlText w:val="(%2)"/>
      <w:numFmt w:val="lowerLetter"/>
      <w:start w:val="1"/>
    </w:lvl>
  </w:abstractNum>
  <w:abstractNum w:abstractNumId="515">
    <w:nsid w:val="41FCF274"/>
    <w:multiLevelType w:val="hybridMultilevel"/>
    <w:lvl w:ilvl="0">
      <w:lvlJc w:val="left"/>
      <w:lvlText w:val="%1"/>
      <w:numFmt w:val="decimal"/>
      <w:start w:val="1"/>
    </w:lvl>
    <w:lvl w:ilvl="1">
      <w:lvlJc w:val="left"/>
      <w:lvlText w:val="(%2)"/>
      <w:numFmt w:val="lowerLetter"/>
      <w:start w:val="3"/>
    </w:lvl>
  </w:abstractNum>
  <w:abstractNum w:abstractNumId="516">
    <w:nsid w:val="294614F7"/>
    <w:multiLevelType w:val="hybridMultilevel"/>
    <w:lvl w:ilvl="0">
      <w:lvlJc w:val="left"/>
      <w:lvlText w:val="%1."/>
      <w:numFmt w:val="decimal"/>
      <w:start w:val="47"/>
    </w:lvl>
    <w:lvl w:ilvl="1">
      <w:lvlJc w:val="left"/>
      <w:lvlText w:val="(%2)"/>
      <w:numFmt w:val="lowerLetter"/>
      <w:start w:val="1"/>
    </w:lvl>
  </w:abstractNum>
  <w:abstractNum w:abstractNumId="517">
    <w:nsid w:val="517DF487"/>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18">
    <w:nsid w:val="5EBE0E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519">
    <w:nsid w:val="6E9DEA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520">
    <w:nsid w:val="4450AA0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521">
    <w:nsid w:val="4AC9F3E2"/>
    <w:multiLevelType w:val="hybridMultilevel"/>
    <w:lvl w:ilvl="0">
      <w:lvlJc w:val="left"/>
      <w:lvlText w:val="%1."/>
      <w:numFmt w:val="decimal"/>
      <w:start w:val="50"/>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522">
    <w:nsid w:val="CC0A782"/>
    <w:multiLevelType w:val="hybridMultilevel"/>
    <w:lvl w:ilvl="0">
      <w:lvlJc w:val="left"/>
      <w:lvlText w:val="%1."/>
      <w:numFmt w:val="decimal"/>
      <w:start w:val="55"/>
    </w:lvl>
  </w:abstractNum>
  <w:abstractNum w:abstractNumId="523">
    <w:nsid w:val="79B69B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4">
    <w:nsid w:val="2970CC78"/>
    <w:multiLevelType w:val="hybridMultilevel"/>
    <w:lvl w:ilvl="0">
      <w:lvlJc w:val="left"/>
      <w:lvlText w:val="%1."/>
      <w:numFmt w:val="decimal"/>
      <w:start w:val="5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25">
    <w:nsid w:val="49CA1341"/>
    <w:multiLevelType w:val="hybridMultilevel"/>
    <w:lvl w:ilvl="0">
      <w:lvlJc w:val="left"/>
      <w:lvlText w:val="(%1)"/>
      <w:numFmt w:val="upperLetter"/>
      <w:start w:val="2"/>
    </w:lvl>
  </w:abstractNum>
  <w:abstractNum w:abstractNumId="526">
    <w:nsid w:val="58D717E"/>
    <w:multiLevelType w:val="hybridMultilevel"/>
    <w:lvl w:ilvl="0">
      <w:lvlJc w:val="left"/>
      <w:lvlText w:val="%1"/>
      <w:numFmt w:val="decimal"/>
      <w:start w:val="1"/>
    </w:lvl>
    <w:lvl w:ilvl="1">
      <w:lvlJc w:val="left"/>
      <w:lvlText w:val="(%2)"/>
      <w:numFmt w:val="lowerLetter"/>
      <w:start w:val="2"/>
    </w:lvl>
  </w:abstractNum>
  <w:abstractNum w:abstractNumId="527">
    <w:nsid w:val="64C2DDD5"/>
    <w:multiLevelType w:val="hybridMultilevel"/>
    <w:lvl w:ilvl="0">
      <w:lvlJc w:val="left"/>
      <w:lvlText w:val="%1."/>
      <w:numFmt w:val="decimal"/>
      <w:start w:val="58"/>
    </w:lvl>
    <w:lvl w:ilvl="1">
      <w:lvlJc w:val="left"/>
      <w:lvlText w:val="(%2)"/>
      <w:numFmt w:val="lowerLetter"/>
      <w:start w:val="1"/>
    </w:lvl>
  </w:abstractNum>
  <w:abstractNum w:abstractNumId="528">
    <w:nsid w:val="4244B8DE"/>
    <w:multiLevelType w:val="hybridMultilevel"/>
    <w:lvl w:ilvl="0">
      <w:lvlJc w:val="left"/>
      <w:lvlText w:val="%1."/>
      <w:numFmt w:val="decimal"/>
      <w:start w:val="59"/>
    </w:lvl>
    <w:lvl w:ilvl="1">
      <w:lvlJc w:val="left"/>
      <w:lvlText w:val="(%2)"/>
      <w:numFmt w:val="lowerLetter"/>
      <w:start w:val="1"/>
    </w:lvl>
  </w:abstractNum>
  <w:abstractNum w:abstractNumId="529">
    <w:nsid w:val="76490B01"/>
    <w:multiLevelType w:val="hybridMultilevel"/>
    <w:lvl w:ilvl="0">
      <w:lvlJc w:val="left"/>
      <w:lvlText w:val="%1"/>
      <w:numFmt w:val="decimal"/>
      <w:start w:val="1"/>
    </w:lvl>
    <w:lvl w:ilvl="1">
      <w:lvlJc w:val="left"/>
      <w:lvlText w:val="(%2)"/>
      <w:numFmt w:val="lowerLetter"/>
      <w:start w:val="3"/>
    </w:lvl>
  </w:abstractNum>
  <w:abstractNum w:abstractNumId="530">
    <w:nsid w:val="36B19CBF"/>
    <w:multiLevelType w:val="hybridMultilevel"/>
    <w:lvl w:ilvl="0">
      <w:lvlJc w:val="left"/>
      <w:lvlText w:val="%1."/>
      <w:numFmt w:val="decimal"/>
      <w:start w:val="60"/>
    </w:lvl>
    <w:lvl w:ilvl="1">
      <w:lvlJc w:val="left"/>
      <w:lvlText w:val="%2"/>
      <w:numFmt w:val="lowerLetter"/>
      <w:start w:val="1"/>
    </w:lvl>
  </w:abstractNum>
  <w:abstractNum w:abstractNumId="531">
    <w:nsid w:val="645EC5AB"/>
    <w:multiLevelType w:val="hybridMultilevel"/>
    <w:lvl w:ilvl="0">
      <w:lvlJc w:val="left"/>
      <w:lvlText w:val="%1."/>
      <w:numFmt w:val="decimal"/>
      <w:start w:val="61"/>
    </w:lvl>
    <w:lvl w:ilvl="1">
      <w:lvlJc w:val="left"/>
      <w:lvlText w:val="(%2)"/>
      <w:numFmt w:val="lowerLetter"/>
      <w:start w:val="1"/>
    </w:lvl>
    <w:lvl w:ilvl="2">
      <w:lvlJc w:val="left"/>
      <w:lvlText w:val="(%3)"/>
      <w:numFmt w:val="lowerRoman"/>
      <w:start w:val="1"/>
    </w:lvl>
  </w:abstractNum>
  <w:abstractNum w:abstractNumId="532">
    <w:nsid w:val="11C5ABEF"/>
    <w:multiLevelType w:val="hybridMultilevel"/>
    <w:lvl w:ilvl="0">
      <w:lvlJc w:val="left"/>
      <w:lvlText w:val="(%1)"/>
      <w:numFmt w:val="lowerRoman"/>
      <w:start w:val="2"/>
    </w:lvl>
  </w:abstractNum>
  <w:abstractNum w:abstractNumId="533">
    <w:nsid w:val="5A4744B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4">
    <w:nsid w:val="1DC4B111"/>
    <w:multiLevelType w:val="hybridMultilevel"/>
    <w:lvl w:ilvl="0">
      <w:lvlJc w:val="left"/>
      <w:lvlText w:val="%1."/>
      <w:numFmt w:val="decimal"/>
      <w:start w:val="65"/>
    </w:lvl>
    <w:lvl w:ilvl="1">
      <w:lvlJc w:val="left"/>
      <w:lvlText w:val="(%2)"/>
      <w:numFmt w:val="lowerLetter"/>
      <w:start w:val="1"/>
    </w:lvl>
    <w:lvl w:ilvl="2">
      <w:lvlJc w:val="left"/>
      <w:lvlText w:val="(%3)"/>
      <w:numFmt w:val="lowerRoman"/>
      <w:start w:val="1"/>
    </w:lvl>
  </w:abstractNum>
  <w:abstractNum w:abstractNumId="535">
    <w:nsid w:val="4C6E372B"/>
    <w:multiLevelType w:val="hybridMultilevel"/>
    <w:lvl w:ilvl="0">
      <w:lvlJc w:val="left"/>
      <w:lvlText w:val="%1."/>
      <w:numFmt w:val="decimal"/>
      <w:start w:val="67"/>
    </w:lvl>
    <w:lvl w:ilvl="1">
      <w:lvlJc w:val="left"/>
      <w:lvlText w:val="(%2)"/>
      <w:numFmt w:val="lowerLetter"/>
      <w:start w:val="1"/>
    </w:lvl>
  </w:abstractNum>
  <w:abstractNum w:abstractNumId="536">
    <w:nsid w:val="10236EF"/>
    <w:multiLevelType w:val="hybridMultilevel"/>
    <w:lvl w:ilvl="0">
      <w:lvlJc w:val="left"/>
      <w:lvlText w:val="%1."/>
      <w:numFmt w:val="decimal"/>
      <w:start w:val="69"/>
    </w:lvl>
    <w:lvl w:ilvl="1">
      <w:lvlJc w:val="left"/>
      <w:lvlText w:val="(%2)"/>
      <w:numFmt w:val="lowerLetter"/>
      <w:start w:val="1"/>
    </w:lvl>
  </w:abstractNum>
  <w:abstractNum w:abstractNumId="537">
    <w:nsid w:val="68D8526B"/>
    <w:multiLevelType w:val="hybridMultilevel"/>
    <w:lvl w:ilvl="0">
      <w:lvlJc w:val="left"/>
      <w:lvlText w:val="%1."/>
      <w:numFmt w:val="decimal"/>
      <w:start w:val="74"/>
    </w:lvl>
    <w:lvl w:ilvl="1">
      <w:lvlJc w:val="left"/>
      <w:lvlText w:val="(%2)"/>
      <w:numFmt w:val="lowerLetter"/>
      <w:start w:val="1"/>
    </w:lvl>
  </w:abstractNum>
  <w:abstractNum w:abstractNumId="538">
    <w:nsid w:val="3C8CC138"/>
    <w:multiLevelType w:val="hybridMultilevel"/>
    <w:lvl w:ilvl="0">
      <w:lvlJc w:val="left"/>
      <w:lvlText w:val="%1."/>
      <w:numFmt w:val="decimal"/>
      <w:start w:val="77"/>
    </w:lvl>
    <w:lvl w:ilvl="1">
      <w:lvlJc w:val="left"/>
      <w:lvlText w:val="(%2)"/>
      <w:numFmt w:val="lowerLetter"/>
      <w:start w:val="1"/>
    </w:lvl>
  </w:abstractNum>
  <w:abstractNum w:abstractNumId="539">
    <w:nsid w:val="42E8C7BE"/>
    <w:multiLevelType w:val="hybridMultilevel"/>
    <w:lvl w:ilvl="0">
      <w:lvlJc w:val="left"/>
      <w:lvlText w:val="%1"/>
      <w:numFmt w:val="decimal"/>
      <w:start w:val="1"/>
    </w:lvl>
    <w:lvl w:ilvl="1">
      <w:lvlJc w:val="left"/>
      <w:lvlText w:val="(%2)"/>
      <w:numFmt w:val="lowerLetter"/>
      <w:start w:val="2"/>
    </w:lvl>
  </w:abstractNum>
  <w:abstractNum w:abstractNumId="540">
    <w:nsid w:val="653CDC22"/>
    <w:multiLevelType w:val="hybridMultilevel"/>
    <w:lvl w:ilvl="0">
      <w:lvlJc w:val="left"/>
      <w:lvlText w:val="%1."/>
      <w:numFmt w:val="decimal"/>
      <w:start w:val="78"/>
    </w:lvl>
    <w:lvl w:ilvl="1">
      <w:lvlJc w:val="left"/>
      <w:lvlText w:val="%2"/>
      <w:numFmt w:val="lowerLetter"/>
      <w:start w:val="1"/>
    </w:lvl>
  </w:abstractNum>
  <w:abstractNum w:abstractNumId="541">
    <w:nsid w:val="103B2716"/>
    <w:multiLevelType w:val="hybridMultilevel"/>
    <w:lvl w:ilvl="0">
      <w:lvlJc w:val="left"/>
      <w:lvlText w:val="%1."/>
      <w:numFmt w:val="decimal"/>
      <w:start w:val="82"/>
    </w:lvl>
    <w:lvl w:ilvl="1">
      <w:lvlJc w:val="left"/>
      <w:lvlText w:val="(%2)"/>
      <w:numFmt w:val="lowerLetter"/>
      <w:start w:val="1"/>
    </w:lvl>
  </w:abstractNum>
  <w:abstractNum w:abstractNumId="542">
    <w:nsid w:val="156827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3">
    <w:nsid w:val="6350AC35"/>
    <w:multiLevelType w:val="hybridMultilevel"/>
    <w:lvl w:ilvl="0">
      <w:lvlJc w:val="left"/>
      <w:lvlText w:val="%1."/>
      <w:numFmt w:val="decimal"/>
      <w:start w:val="84"/>
    </w:lvl>
    <w:lvl w:ilvl="1">
      <w:lvlJc w:val="left"/>
      <w:lvlText w:val="(%2)"/>
      <w:numFmt w:val="lowerLetter"/>
      <w:start w:val="1"/>
    </w:lvl>
    <w:lvl w:ilvl="2">
      <w:lvlJc w:val="left"/>
      <w:lvlText w:val="(%3)"/>
      <w:numFmt w:val="lowerRoman"/>
      <w:start w:val="1"/>
    </w:lvl>
  </w:abstractNum>
  <w:abstractNum w:abstractNumId="544">
    <w:nsid w:val="767725AB"/>
    <w:multiLevelType w:val="hybridMultilevel"/>
    <w:lvl w:ilvl="0">
      <w:lvlJc w:val="left"/>
      <w:lvlText w:val="%1."/>
      <w:numFmt w:val="decimal"/>
      <w:start w:val="86"/>
    </w:lvl>
    <w:lvl w:ilvl="1">
      <w:lvlJc w:val="left"/>
      <w:lvlText w:val="(%2)"/>
      <w:numFmt w:val="lowerLetter"/>
      <w:start w:val="1"/>
    </w:lvl>
  </w:abstractNum>
  <w:abstractNum w:abstractNumId="545">
    <w:nsid w:val="4748C06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46">
    <w:nsid w:val="254D9EA9"/>
    <w:multiLevelType w:val="hybridMultilevel"/>
    <w:lvl w:ilvl="0">
      <w:lvlJc w:val="left"/>
      <w:lvlText w:val="%1."/>
      <w:numFmt w:val="decimal"/>
      <w:start w:val="87"/>
    </w:lvl>
    <w:lvl w:ilvl="1">
      <w:lvlJc w:val="left"/>
      <w:lvlText w:val="(%2)"/>
      <w:numFmt w:val="lowerLetter"/>
      <w:start w:val="1"/>
    </w:lvl>
    <w:lvl w:ilvl="2">
      <w:lvlJc w:val="left"/>
      <w:lvlText w:val="(%3)"/>
      <w:numFmt w:val="lowerRoman"/>
      <w:start w:val="1"/>
    </w:lvl>
  </w:abstractNum>
  <w:abstractNum w:abstractNumId="547">
    <w:nsid w:val="1FBD3AA3"/>
    <w:multiLevelType w:val="hybridMultilevel"/>
    <w:lvl w:ilvl="0">
      <w:lvlJc w:val="left"/>
      <w:lvlText w:val="%1."/>
      <w:numFmt w:val="decimal"/>
      <w:start w:val="89"/>
    </w:lvl>
    <w:lvl w:ilvl="1">
      <w:lvlJc w:val="left"/>
      <w:lvlText w:val="(%2)"/>
      <w:numFmt w:val="lowerLetter"/>
      <w:start w:val="1"/>
    </w:lvl>
    <w:lvl w:ilvl="2">
      <w:lvlJc w:val="left"/>
      <w:lvlText w:val="(%3)"/>
      <w:numFmt w:val="lowerRoman"/>
      <w:start w:val="1"/>
    </w:lvl>
  </w:abstractNum>
  <w:abstractNum w:abstractNumId="548">
    <w:nsid w:val="18C6B4F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49">
    <w:nsid w:val="40BAD55"/>
    <w:multiLevelType w:val="hybridMultilevel"/>
    <w:lvl w:ilvl="0">
      <w:lvlJc w:val="left"/>
      <w:lvlText w:val="%1."/>
      <w:numFmt w:val="decimal"/>
      <w:start w:val="90"/>
    </w:lvl>
    <w:lvl w:ilvl="1">
      <w:lvlJc w:val="left"/>
      <w:lvlText w:val="(%2)"/>
      <w:numFmt w:val="lowerLetter"/>
      <w:start w:val="1"/>
    </w:lvl>
  </w:abstractNum>
  <w:abstractNum w:abstractNumId="550">
    <w:nsid w:val="E5B2573"/>
    <w:multiLevelType w:val="hybridMultilevel"/>
    <w:lvl w:ilvl="0">
      <w:lvlJc w:val="left"/>
      <w:lvlText w:val="%1."/>
      <w:numFmt w:val="decimal"/>
      <w:start w:val="91"/>
    </w:lvl>
    <w:lvl w:ilvl="1">
      <w:lvlJc w:val="left"/>
      <w:lvlText w:val="(%2)"/>
      <w:numFmt w:val="lowerLetter"/>
      <w:start w:val="1"/>
    </w:lvl>
  </w:abstractNum>
  <w:abstractNum w:abstractNumId="551">
    <w:nsid w:val="5D175EF2"/>
    <w:multiLevelType w:val="hybridMultilevel"/>
    <w:lvl w:ilvl="0">
      <w:lvlJc w:val="left"/>
      <w:lvlText w:val="%1."/>
      <w:numFmt w:val="decimal"/>
      <w:start w:val="95"/>
    </w:lvl>
    <w:lvl w:ilvl="1">
      <w:lvlJc w:val="left"/>
      <w:lvlText w:val="(%2)"/>
      <w:numFmt w:val="lowerLetter"/>
      <w:start w:val="1"/>
    </w:lvl>
    <w:lvl w:ilvl="2">
      <w:lvlJc w:val="left"/>
      <w:lvlText w:val="(%3)"/>
      <w:numFmt w:val="lowerRoman"/>
      <w:start w:val="1"/>
    </w:lvl>
  </w:abstractNum>
  <w:abstractNum w:abstractNumId="552">
    <w:nsid w:val="4ED5A137"/>
    <w:multiLevelType w:val="hybridMultilevel"/>
    <w:lvl w:ilvl="0">
      <w:lvlJc w:val="left"/>
      <w:lvlText w:val="%1."/>
      <w:numFmt w:val="decimal"/>
      <w:start w:val="100"/>
    </w:lvl>
    <w:lvl w:ilvl="1">
      <w:lvlJc w:val="left"/>
      <w:lvlText w:val="(%2)"/>
      <w:numFmt w:val="lowerLetter"/>
      <w:start w:val="1"/>
    </w:lvl>
    <w:lvl w:ilvl="2">
      <w:lvlJc w:val="left"/>
      <w:lvlText w:val="(%3)"/>
      <w:numFmt w:val="lowerRoman"/>
      <w:start w:val="1"/>
    </w:lvl>
  </w:abstractNum>
  <w:abstractNum w:abstractNumId="553">
    <w:nsid w:val="1B1BCCF5"/>
    <w:multiLevelType w:val="hybridMultilevel"/>
    <w:lvl w:ilvl="0">
      <w:lvlJc w:val="left"/>
      <w:lvlText w:val="%1."/>
      <w:numFmt w:val="decimal"/>
      <w:start w:val="103"/>
    </w:lvl>
    <w:lvl w:ilvl="1">
      <w:lvlJc w:val="left"/>
      <w:lvlText w:val="(%2)"/>
      <w:numFmt w:val="lowerLetter"/>
      <w:start w:val="1"/>
    </w:lvl>
  </w:abstractNum>
  <w:abstractNum w:abstractNumId="554">
    <w:nsid w:val="56CDFABB"/>
    <w:multiLevelType w:val="hybridMultilevel"/>
    <w:lvl w:ilvl="0">
      <w:lvlJc w:val="left"/>
      <w:lvlText w:val="%1"/>
      <w:numFmt w:val="decimal"/>
      <w:start w:val="1"/>
    </w:lvl>
    <w:lvl w:ilvl="1">
      <w:lvlJc w:val="left"/>
      <w:lvlText w:val="(%2)"/>
      <w:numFmt w:val="lowerLetter"/>
      <w:start w:val="3"/>
    </w:lvl>
  </w:abstractNum>
  <w:abstractNum w:abstractNumId="555">
    <w:nsid w:val="78466DAF"/>
    <w:multiLevelType w:val="hybridMultilevel"/>
    <w:lvl w:ilvl="0">
      <w:lvlJc w:val="left"/>
      <w:lvlText w:val="%1."/>
      <w:numFmt w:val="decimal"/>
      <w:start w:val="104"/>
    </w:lvl>
    <w:lvl w:ilvl="1">
      <w:lvlJc w:val="left"/>
      <w:lvlText w:val="(%2)"/>
      <w:numFmt w:val="lowerLetter"/>
      <w:start w:val="1"/>
    </w:lvl>
  </w:abstractNum>
  <w:abstractNum w:abstractNumId="556">
    <w:nsid w:val="64E5E036"/>
    <w:multiLevelType w:val="hybridMultilevel"/>
    <w:lvl w:ilvl="0">
      <w:lvlJc w:val="left"/>
      <w:lvlText w:val="%1."/>
      <w:numFmt w:val="decimal"/>
      <w:start w:val="105"/>
    </w:lvl>
    <w:lvl w:ilvl="1">
      <w:lvlJc w:val="left"/>
      <w:lvlText w:val="(%2)"/>
      <w:numFmt w:val="lowerLetter"/>
      <w:start w:val="1"/>
    </w:lvl>
  </w:abstractNum>
  <w:abstractNum w:abstractNumId="557">
    <w:nsid w:val="5C5B6C3A"/>
    <w:multiLevelType w:val="hybridMultilevel"/>
    <w:lvl w:ilvl="0">
      <w:lvlJc w:val="left"/>
      <w:lvlText w:val="(%1)"/>
      <w:numFmt w:val="lowerLetter"/>
      <w:start w:val="2"/>
    </w:lvl>
  </w:abstractNum>
  <w:abstractNum w:abstractNumId="558">
    <w:nsid w:val="5D094B84"/>
    <w:multiLevelType w:val="hybridMultilevel"/>
    <w:lvl w:ilvl="0">
      <w:lvlJc w:val="left"/>
      <w:lvlText w:val="%1."/>
      <w:numFmt w:val="decimal"/>
      <w:start w:val="107"/>
    </w:lvl>
  </w:abstractNum>
  <w:abstractNum w:abstractNumId="559">
    <w:nsid w:val="272A9914"/>
    <w:multiLevelType w:val="hybridMultilevel"/>
    <w:lvl w:ilvl="0">
      <w:lvlJc w:val="left"/>
      <w:lvlText w:val="%1"/>
      <w:numFmt w:val="decimal"/>
      <w:start w:val="1"/>
    </w:lvl>
    <w:lvl w:ilvl="1">
      <w:lvlJc w:val="left"/>
      <w:lvlText w:val="(%2)"/>
      <w:numFmt w:val="lowerLetter"/>
      <w:start w:val="1"/>
    </w:lvl>
  </w:abstractNum>
  <w:abstractNum w:abstractNumId="560">
    <w:nsid w:val="52A4773B"/>
    <w:multiLevelType w:val="hybridMultilevel"/>
    <w:lvl w:ilvl="0">
      <w:lvlJc w:val="left"/>
      <w:lvlText w:val="%1."/>
      <w:numFmt w:val="decimal"/>
      <w:start w:val="108"/>
    </w:lvl>
    <w:lvl w:ilvl="1">
      <w:lvlJc w:val="left"/>
      <w:lvlText w:val="%2"/>
      <w:numFmt w:val="lowerLetter"/>
      <w:start w:val="1"/>
    </w:lvl>
  </w:abstractNum>
  <w:abstractNum w:abstractNumId="561">
    <w:nsid w:val="13BAE843"/>
    <w:multiLevelType w:val="hybridMultilevel"/>
    <w:lvl w:ilvl="0">
      <w:lvlJc w:val="left"/>
      <w:lvlText w:val="%1."/>
      <w:numFmt w:val="decimal"/>
      <w:start w:val="112"/>
    </w:lvl>
    <w:lvl w:ilvl="1">
      <w:lvlJc w:val="left"/>
      <w:lvlText w:val="(%2)"/>
      <w:numFmt w:val="lowerLetter"/>
      <w:start w:val="1"/>
    </w:lvl>
  </w:abstractNum>
  <w:abstractNum w:abstractNumId="562">
    <w:nsid w:val="B895EBF"/>
    <w:multiLevelType w:val="hybridMultilevel"/>
    <w:lvl w:ilvl="0">
      <w:lvlJc w:val="left"/>
      <w:lvlText w:val="%1."/>
      <w:numFmt w:val="decimal"/>
      <w:start w:val="116"/>
    </w:lvl>
  </w:abstractNum>
  <w:abstractNum w:abstractNumId="563">
    <w:nsid w:val="646A232A"/>
    <w:multiLevelType w:val="hybridMultilevel"/>
    <w:lvl w:ilvl="0">
      <w:lvlJc w:val="left"/>
      <w:lvlText w:val="%1."/>
      <w:numFmt w:val="decimal"/>
      <w:start w:val="117"/>
    </w:lvl>
  </w:abstractNum>
  <w:abstractNum w:abstractNumId="564">
    <w:nsid w:val="6E022D01"/>
    <w:multiLevelType w:val="hybridMultilevel"/>
    <w:lvl w:ilvl="0">
      <w:lvlJc w:val="left"/>
      <w:lvlText w:val="(%1)"/>
      <w:numFmt w:val="lowerLetter"/>
      <w:start w:val="1"/>
    </w:lvl>
    <w:lvl w:ilvl="1">
      <w:lvlJc w:val="left"/>
      <w:lvlText w:val="(%2)"/>
      <w:numFmt w:val="lowerRoman"/>
      <w:start w:val="1"/>
    </w:lvl>
  </w:abstractNum>
  <w:abstractNum w:abstractNumId="565">
    <w:nsid w:val="294E0FD0"/>
    <w:multiLevelType w:val="hybridMultilevel"/>
    <w:lvl w:ilvl="0">
      <w:lvlJc w:val="left"/>
      <w:lvlText w:val="%1."/>
      <w:numFmt w:val="decimal"/>
      <w:start w:val="118"/>
    </w:lvl>
  </w:abstractNum>
  <w:abstractNum w:abstractNumId="566">
    <w:nsid w:val="30D85A55"/>
    <w:multiLevelType w:val="hybridMultilevel"/>
    <w:lvl w:ilvl="0">
      <w:lvlJc w:val="left"/>
      <w:lvlText w:val="%1."/>
      <w:numFmt w:val="decimal"/>
      <w:start w:val="120"/>
    </w:lvl>
    <w:lvl w:ilvl="1">
      <w:lvlJc w:val="left"/>
      <w:lvlText w:val="(%2)"/>
      <w:numFmt w:val="lowerLetter"/>
      <w:start w:val="1"/>
    </w:lvl>
    <w:lvl w:ilvl="2">
      <w:lvlJc w:val="left"/>
      <w:lvlText w:val="(%3)"/>
      <w:numFmt w:val="lowerRoman"/>
      <w:start w:val="1"/>
    </w:lvl>
  </w:abstractNum>
  <w:abstractNum w:abstractNumId="567">
    <w:nsid w:val="6F0463F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8">
    <w:nsid w:val="1226623C"/>
    <w:multiLevelType w:val="hybridMultilevel"/>
    <w:lvl w:ilvl="0">
      <w:lvlJc w:val="left"/>
      <w:lvlText w:val="%1."/>
      <w:numFmt w:val="decimal"/>
      <w:start w:val="122"/>
    </w:lvl>
    <w:lvl w:ilvl="1">
      <w:lvlJc w:val="left"/>
      <w:lvlText w:val="(%2)"/>
      <w:numFmt w:val="lowerLetter"/>
      <w:start w:val="1"/>
    </w:lvl>
    <w:lvl w:ilvl="2">
      <w:lvlJc w:val="left"/>
      <w:lvlText w:val="(%3)"/>
      <w:numFmt w:val="lowerRoman"/>
      <w:start w:val="1"/>
    </w:lvl>
  </w:abstractNum>
  <w:abstractNum w:abstractNumId="569">
    <w:nsid w:val="6D651B8D"/>
    <w:multiLevelType w:val="hybridMultilevel"/>
    <w:lvl w:ilvl="0">
      <w:lvlJc w:val="left"/>
      <w:lvlText w:val="%1."/>
      <w:numFmt w:val="decimal"/>
      <w:start w:val="12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0">
    <w:nsid w:val="31ED2B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71">
    <w:nsid w:val="77633E5E"/>
    <w:multiLevelType w:val="hybridMultilevel"/>
    <w:lvl w:ilvl="0">
      <w:lvlJc w:val="left"/>
      <w:lvlText w:val="%1."/>
      <w:numFmt w:val="decimal"/>
      <w:start w:val="12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72">
    <w:nsid w:val="7DA042A3"/>
    <w:multiLevelType w:val="hybridMultilevel"/>
    <w:lvl w:ilvl="0">
      <w:lvlJc w:val="left"/>
      <w:lvlText w:val="(%1)"/>
      <w:numFmt w:val="lowerLetter"/>
      <w:start w:val="9"/>
    </w:lvl>
  </w:abstractNum>
  <w:abstractNum w:abstractNumId="573">
    <w:nsid w:val="475553AB"/>
    <w:multiLevelType w:val="hybridMultilevel"/>
    <w:lvl w:ilvl="0">
      <w:lvlJc w:val="left"/>
      <w:lvlText w:val="%1."/>
      <w:numFmt w:val="decimal"/>
      <w:start w:val="128"/>
    </w:lvl>
    <w:lvl w:ilvl="1">
      <w:lvlJc w:val="left"/>
      <w:lvlText w:val="(%2)"/>
      <w:numFmt w:val="lowerLetter"/>
      <w:start w:val="1"/>
    </w:lvl>
    <w:lvl w:ilvl="2">
      <w:lvlJc w:val="left"/>
      <w:lvlText w:val="(%3)"/>
      <w:numFmt w:val="lowerRoman"/>
      <w:start w:val="1"/>
    </w:lvl>
  </w:abstractNum>
  <w:abstractNum w:abstractNumId="574">
    <w:nsid w:val="5AB3EA93"/>
    <w:multiLevelType w:val="hybridMultilevel"/>
    <w:lvl w:ilvl="0">
      <w:lvlJc w:val="left"/>
      <w:lvlText w:val="(%1)"/>
      <w:numFmt w:val="lowerLetter"/>
      <w:start w:val="2"/>
    </w:lvl>
  </w:abstractNum>
  <w:abstractNum w:abstractNumId="575">
    <w:nsid w:val="7417684F"/>
    <w:multiLevelType w:val="hybridMultilevel"/>
    <w:lvl w:ilvl="0">
      <w:lvlJc w:val="left"/>
      <w:lvlText w:val="%1."/>
      <w:numFmt w:val="decimal"/>
      <w:start w:val="129"/>
    </w:lvl>
    <w:lvl w:ilvl="1">
      <w:lvlJc w:val="left"/>
      <w:lvlText w:val="(%2)"/>
      <w:numFmt w:val="lowerLetter"/>
      <w:start w:val="1"/>
    </w:lvl>
  </w:abstractNum>
  <w:abstractNum w:abstractNumId="576">
    <w:nsid w:val="E9E1415"/>
    <w:multiLevelType w:val="hybridMultilevel"/>
    <w:lvl w:ilvl="0">
      <w:lvlJc w:val="left"/>
      <w:lvlText w:val="%1."/>
      <w:numFmt w:val="decimal"/>
      <w:start w:val="130"/>
    </w:lvl>
    <w:lvl w:ilvl="1">
      <w:lvlJc w:val="left"/>
      <w:lvlText w:val="(%2)"/>
      <w:numFmt w:val="lowerLetter"/>
      <w:start w:val="1"/>
    </w:lvl>
  </w:abstractNum>
  <w:abstractNum w:abstractNumId="577">
    <w:nsid w:val="1893D"/>
    <w:multiLevelType w:val="hybridMultilevel"/>
    <w:lvl w:ilvl="0">
      <w:lvlJc w:val="left"/>
      <w:lvlText w:val="%1."/>
      <w:numFmt w:val="decimal"/>
      <w:start w:val="131"/>
    </w:lvl>
  </w:abstractNum>
  <w:abstractNum w:abstractNumId="578">
    <w:nsid w:val="13D4A2F2"/>
    <w:multiLevelType w:val="hybridMultilevel"/>
    <w:lvl w:ilvl="0">
      <w:lvlJc w:val="left"/>
      <w:lvlText w:val="%1."/>
      <w:numFmt w:val="decimal"/>
      <w:start w:val="13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79">
    <w:nsid w:val="2764C907"/>
    <w:multiLevelType w:val="hybridMultilevel"/>
    <w:lvl w:ilvl="0">
      <w:lvlJc w:val="left"/>
      <w:lvlText w:val="(%1)"/>
      <w:numFmt w:val="lowerLetter"/>
      <w:start w:val="4"/>
    </w:lvl>
    <w:lvl w:ilvl="1">
      <w:lvlJc w:val="left"/>
      <w:lvlText w:val="(%2)"/>
      <w:numFmt w:val="lowerRoman"/>
      <w:start w:val="1"/>
    </w:lvl>
  </w:abstractNum>
  <w:abstractNum w:abstractNumId="580">
    <w:nsid w:val="40D3692"/>
    <w:multiLevelType w:val="hybridMultilevel"/>
    <w:lvl w:ilvl="0">
      <w:lvlJc w:val="left"/>
      <w:lvlText w:val="%1."/>
      <w:numFmt w:val="decimal"/>
      <w:start w:val="134"/>
    </w:lvl>
    <w:lvl w:ilvl="1">
      <w:lvlJc w:val="left"/>
      <w:lvlText w:val="(%2)"/>
      <w:numFmt w:val="lowerLetter"/>
      <w:start w:val="1"/>
    </w:lvl>
  </w:abstractNum>
  <w:abstractNum w:abstractNumId="581">
    <w:nsid w:val="222FC865"/>
    <w:multiLevelType w:val="hybridMultilevel"/>
    <w:lvl w:ilvl="0">
      <w:lvlJc w:val="left"/>
      <w:lvlText w:val="%1."/>
      <w:numFmt w:val="decimal"/>
      <w:start w:val="140"/>
    </w:lvl>
    <w:lvl w:ilvl="1">
      <w:lvlJc w:val="left"/>
      <w:lvlText w:val="(%2)"/>
      <w:numFmt w:val="lowerLetter"/>
      <w:start w:val="1"/>
    </w:lvl>
  </w:abstractNum>
  <w:abstractNum w:abstractNumId="582">
    <w:nsid w:val="47C27FA"/>
    <w:multiLevelType w:val="hybridMultilevel"/>
    <w:lvl w:ilvl="0">
      <w:lvlJc w:val="left"/>
      <w:lvlText w:val="%1."/>
      <w:numFmt w:val="decimal"/>
      <w:start w:val="143"/>
    </w:lvl>
    <w:lvl w:ilvl="1">
      <w:lvlJc w:val="left"/>
      <w:lvlText w:val="(%2)"/>
      <w:numFmt w:val="lowerLetter"/>
      <w:start w:val="1"/>
    </w:lvl>
  </w:abstractNum>
  <w:abstractNum w:abstractNumId="583">
    <w:nsid w:val="52E2D7C9"/>
    <w:multiLevelType w:val="hybridMultilevel"/>
    <w:lvl w:ilvl="0">
      <w:lvlJc w:val="left"/>
      <w:lvlText w:val="%1."/>
      <w:numFmt w:val="decimal"/>
      <w:start w:val="144"/>
    </w:lvl>
    <w:lvl w:ilvl="1">
      <w:lvlJc w:val="left"/>
      <w:lvlText w:val="(%2)"/>
      <w:numFmt w:val="lowerLetter"/>
      <w:start w:val="1"/>
    </w:lvl>
    <w:lvl w:ilvl="2">
      <w:lvlJc w:val="left"/>
      <w:lvlText w:val="(%3)"/>
      <w:numFmt w:val="lowerRoman"/>
      <w:start w:val="1"/>
    </w:lvl>
  </w:abstractNum>
  <w:abstractNum w:abstractNumId="584">
    <w:nsid w:val="3D4B955A"/>
    <w:multiLevelType w:val="hybridMultilevel"/>
    <w:lvl w:ilvl="0">
      <w:lvlJc w:val="left"/>
      <w:lvlText w:val="%1"/>
      <w:numFmt w:val="lowerLetter"/>
      <w:start w:val="1"/>
    </w:lvl>
    <w:lvl w:ilvl="1">
      <w:lvlJc w:val="left"/>
      <w:lvlText w:val="(%2)"/>
      <w:numFmt w:val="lowerRoman"/>
      <w:start w:val="3"/>
    </w:lvl>
  </w:abstractNum>
  <w:abstractNum w:abstractNumId="585">
    <w:nsid w:val="5B4A22B5"/>
    <w:multiLevelType w:val="hybridMultilevel"/>
    <w:lvl w:ilvl="0">
      <w:lvlJc w:val="left"/>
      <w:lvlText w:val="(%1)"/>
      <w:numFmt w:val="lowerLetter"/>
      <w:start w:val="2"/>
    </w:lvl>
    <w:lvl w:ilvl="1">
      <w:lvlJc w:val="left"/>
      <w:lvlText w:val="(%2)"/>
      <w:numFmt w:val="lowerRoman"/>
      <w:start w:val="1"/>
    </w:lvl>
  </w:abstractNum>
  <w:abstractNum w:abstractNumId="586">
    <w:nsid w:val="4B294578"/>
    <w:multiLevelType w:val="hybridMultilevel"/>
    <w:lvl w:ilvl="0">
      <w:lvlJc w:val="left"/>
      <w:lvlText w:val="%1."/>
      <w:numFmt w:val="decimal"/>
      <w:start w:val="145"/>
    </w:lvl>
  </w:abstractNum>
  <w:abstractNum w:abstractNumId="587">
    <w:nsid w:val="22317590"/>
    <w:multiLevelType w:val="hybridMultilevel"/>
    <w:lvl w:ilvl="0">
      <w:lvlJc w:val="left"/>
      <w:lvlText w:val="%1."/>
      <w:numFmt w:val="decimal"/>
      <w:start w:val="146"/>
    </w:lvl>
    <w:lvl w:ilvl="1">
      <w:lvlJc w:val="left"/>
      <w:lvlText w:val="(%2)"/>
      <w:numFmt w:val="lowerLetter"/>
      <w:start w:val="1"/>
    </w:lvl>
    <w:lvl w:ilvl="2">
      <w:lvlJc w:val="left"/>
      <w:lvlText w:val="(%3)"/>
      <w:numFmt w:val="lowerRoman"/>
      <w:start w:val="1"/>
    </w:lvl>
  </w:abstractNum>
  <w:abstractNum w:abstractNumId="588">
    <w:nsid w:val="37A58EEF"/>
    <w:multiLevelType w:val="hybridMultilevel"/>
    <w:lvl w:ilvl="0">
      <w:lvlJc w:val="left"/>
      <w:lvlText w:val="%1"/>
      <w:numFmt w:val="lowerLetter"/>
      <w:start w:val="1"/>
    </w:lvl>
    <w:lvl w:ilvl="1">
      <w:lvlJc w:val="left"/>
      <w:lvlText w:val="(%2)"/>
      <w:numFmt w:val="lowerRoman"/>
      <w:start w:val="2"/>
    </w:lvl>
  </w:abstractNum>
  <w:abstractNum w:abstractNumId="589">
    <w:nsid w:val="283290FD"/>
    <w:multiLevelType w:val="hybridMultilevel"/>
    <w:lvl w:ilvl="0">
      <w:lvlJc w:val="left"/>
      <w:lvlText w:val="(%1)"/>
      <w:numFmt w:val="lowerLetter"/>
      <w:start w:val="2"/>
    </w:lvl>
    <w:lvl w:ilvl="1">
      <w:lvlJc w:val="left"/>
      <w:lvlText w:val="(%2)"/>
      <w:numFmt w:val="lowerRoman"/>
      <w:start w:val="1"/>
    </w:lvl>
  </w:abstractNum>
  <w:abstractNum w:abstractNumId="590">
    <w:nsid w:val="495C0EA5"/>
    <w:multiLevelType w:val="hybridMultilevel"/>
    <w:lvl w:ilvl="0">
      <w:lvlJc w:val="left"/>
      <w:lvlText w:val="%1."/>
      <w:numFmt w:val="decimal"/>
      <w:start w:val="147"/>
    </w:lvl>
    <w:lvl w:ilvl="1">
      <w:lvlJc w:val="left"/>
      <w:lvlText w:val="(%2)"/>
      <w:numFmt w:val="lowerRoman"/>
      <w:start w:val="1"/>
    </w:lvl>
  </w:abstractNum>
  <w:abstractNum w:abstractNumId="591">
    <w:nsid w:val="A4A062B"/>
    <w:multiLevelType w:val="hybridMultilevel"/>
    <w:lvl w:ilvl="0">
      <w:lvlJc w:val="left"/>
      <w:lvlText w:val="%1."/>
      <w:numFmt w:val="decimal"/>
      <w:start w:val="148"/>
    </w:lvl>
    <w:lvl w:ilvl="1">
      <w:lvlJc w:val="left"/>
      <w:lvlText w:val="(%2)"/>
      <w:numFmt w:val="lowerLetter"/>
      <w:start w:val="1"/>
    </w:lvl>
    <w:lvl w:ilvl="2">
      <w:lvlJc w:val="left"/>
      <w:lvlText w:val="(%3)"/>
      <w:numFmt w:val="lowerRoman"/>
      <w:start w:val="1"/>
    </w:lvl>
  </w:abstractNum>
  <w:abstractNum w:abstractNumId="592">
    <w:nsid w:val="3BED7940"/>
    <w:multiLevelType w:val="hybridMultilevel"/>
    <w:lvl w:ilvl="0">
      <w:lvlJc w:val="left"/>
      <w:lvlText w:val="%1."/>
      <w:numFmt w:val="decimal"/>
      <w:start w:val="149"/>
    </w:lvl>
    <w:lvl w:ilvl="1">
      <w:lvlJc w:val="left"/>
      <w:lvlText w:val="(%2)"/>
      <w:numFmt w:val="lowerLetter"/>
      <w:start w:val="1"/>
    </w:lvl>
    <w:lvl w:ilvl="2">
      <w:lvlJc w:val="left"/>
      <w:lvlText w:val="(%3)"/>
      <w:numFmt w:val="lowerRoman"/>
      <w:start w:val="1"/>
    </w:lvl>
  </w:abstractNum>
  <w:abstractNum w:abstractNumId="593">
    <w:nsid w:val="54E56D64"/>
    <w:multiLevelType w:val="hybridMultilevel"/>
    <w:lvl w:ilvl="0">
      <w:lvlJc w:val="left"/>
      <w:lvlText w:val="(%1)"/>
      <w:numFmt w:val="lowerLetter"/>
      <w:start w:val="3"/>
    </w:lvl>
  </w:abstractNum>
  <w:abstractNum w:abstractNumId="594">
    <w:nsid w:val="6EB42955"/>
    <w:multiLevelType w:val="hybridMultilevel"/>
    <w:lvl w:ilvl="0">
      <w:lvlJc w:val="left"/>
      <w:lvlText w:val="%1."/>
      <w:numFmt w:val="decimal"/>
      <w:start w:val="1"/>
    </w:lvl>
  </w:abstractNum>
  <w:abstractNum w:abstractNumId="595">
    <w:nsid w:val="29EFA642"/>
    <w:multiLevelType w:val="hybridMultilevel"/>
    <w:lvl w:ilvl="0">
      <w:lvlJc w:val="left"/>
      <w:lvlText w:val="(%1)"/>
      <w:numFmt w:val="lowerLetter"/>
      <w:start w:val="1"/>
    </w:lvl>
  </w:abstractNum>
  <w:abstractNum w:abstractNumId="596">
    <w:nsid w:val="7E337D35"/>
    <w:multiLevelType w:val="hybridMultilevel"/>
    <w:lvl w:ilvl="0">
      <w:lvlJc w:val="left"/>
      <w:lvlText w:val="(%1)"/>
      <w:numFmt w:val="lowerLetter"/>
      <w:start w:val="2"/>
    </w:lvl>
  </w:abstractNum>
  <w:abstractNum w:abstractNumId="597">
    <w:nsid w:val="1F8C83AB"/>
    <w:multiLevelType w:val="hybridMultilevel"/>
    <w:lvl w:ilvl="0">
      <w:lvlJc w:val="left"/>
      <w:lvlText w:val="%1."/>
      <w:numFmt w:val="decimal"/>
      <w:start w:val="2"/>
    </w:lvl>
  </w:abstractNum>
  <w:abstractNum w:abstractNumId="598">
    <w:nsid w:val="18F40A33"/>
    <w:multiLevelType w:val="hybridMultilevel"/>
    <w:lvl w:ilvl="0">
      <w:lvlJc w:val="left"/>
      <w:lvlText w:val="(%1)"/>
      <w:numFmt w:val="lowerLetter"/>
      <w:start w:val="1"/>
    </w:lvl>
  </w:abstractNum>
  <w:abstractNum w:abstractNumId="599">
    <w:nsid w:val="1059DF71"/>
    <w:multiLevelType w:val="hybridMultilevel"/>
    <w:lvl w:ilvl="0">
      <w:lvlJc w:val="left"/>
      <w:lvlText w:val="%1."/>
      <w:numFmt w:val="decimal"/>
      <w:start w:val="3"/>
    </w:lvl>
  </w:abstractNum>
  <w:abstractNum w:abstractNumId="600">
    <w:nsid w:val="CF19F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1">
    <w:nsid w:val="4AE135E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02">
    <w:nsid w:val="7BD1D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3">
    <w:nsid w:val="A91E1D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04">
    <w:nsid w:val="1236898D"/>
    <w:multiLevelType w:val="hybridMultilevel"/>
    <w:lvl w:ilvl="0">
      <w:lvlJc w:val="left"/>
      <w:lvlText w:val="(%1)"/>
      <w:numFmt w:val="lowerLetter"/>
      <w:start w:val="4"/>
    </w:lvl>
  </w:abstractNum>
  <w:abstractNum w:abstractNumId="605">
    <w:nsid w:val="62710862"/>
    <w:multiLevelType w:val="hybridMultilevel"/>
    <w:lvl w:ilvl="0">
      <w:lvlJc w:val="left"/>
      <w:lvlText w:val="(%1)"/>
      <w:numFmt w:val="lowerLetter"/>
      <w:start w:val="9"/>
    </w:lvl>
  </w:abstractNum>
  <w:abstractNum w:abstractNumId="606">
    <w:nsid w:val="7EA94A2B"/>
    <w:multiLevelType w:val="hybridMultilevel"/>
    <w:lvl w:ilvl="0">
      <w:lvlJc w:val="left"/>
      <w:lvlText w:val="(%1)"/>
      <w:numFmt w:val="decimal"/>
      <w:start w:val="20"/>
    </w:lvl>
  </w:abstractNum>
  <w:abstractNum w:abstractNumId="607">
    <w:nsid w:val="20D49DA3"/>
    <w:multiLevelType w:val="hybridMultilevel"/>
    <w:lvl w:ilvl="0">
      <w:lvlJc w:val="left"/>
      <w:lvlText w:val="(%1)"/>
      <w:numFmt w:val="lowerRoman"/>
      <w:start w:val="1"/>
    </w:lvl>
  </w:abstractNum>
  <w:abstractNum w:abstractNumId="608">
    <w:nsid w:val="6272919F"/>
    <w:multiLevelType w:val="hybridMultilevel"/>
    <w:lvl w:ilvl="0">
      <w:lvlJc w:val="left"/>
      <w:lvlText w:val="(%1)"/>
      <w:numFmt w:val="lowerRoman"/>
      <w:start w:val="1"/>
    </w:lvl>
  </w:abstractNum>
  <w:abstractNum w:abstractNumId="609">
    <w:nsid w:val="127DED1D"/>
    <w:multiLevelType w:val="hybridMultilevel"/>
    <w:lvl w:ilvl="0">
      <w:lvlJc w:val="left"/>
      <w:lvlText w:val="(%1)"/>
      <w:numFmt w:val="lowerRoman"/>
      <w:start w:val="2"/>
    </w:lvl>
  </w:abstractNum>
  <w:abstractNum w:abstractNumId="610">
    <w:nsid w:val="483966AA"/>
    <w:multiLevelType w:val="hybridMultilevel"/>
    <w:lvl w:ilvl="0">
      <w:lvlJc w:val="left"/>
      <w:lvlText w:val="(%1)"/>
      <w:numFmt w:val="lowerLetter"/>
      <w:start w:val="4"/>
    </w:lvl>
  </w:abstractNum>
  <w:abstractNum w:abstractNumId="611">
    <w:nsid w:val="667FC831"/>
    <w:multiLevelType w:val="hybridMultilevel"/>
    <w:lvl w:ilvl="0">
      <w:lvlJc w:val="left"/>
      <w:lvlText w:val="%1."/>
      <w:numFmt w:val="decimal"/>
      <w:start w:val="1"/>
    </w:lvl>
  </w:abstractNum>
  <w:abstractNum w:abstractNumId="612">
    <w:nsid w:val="34ADB582"/>
    <w:multiLevelType w:val="hybridMultilevel"/>
    <w:lvl w:ilvl="0">
      <w:lvlJc w:val="left"/>
      <w:lvlText w:val="%1."/>
      <w:numFmt w:val="decimal"/>
      <w:start w:val="2"/>
    </w:lvl>
  </w:abstractNum>
  <w:abstractNum w:abstractNumId="613">
    <w:nsid w:val="4CB58EA4"/>
    <w:multiLevelType w:val="hybridMultilevel"/>
    <w:lvl w:ilvl="0">
      <w:lvlJc w:val="left"/>
      <w:lvlText w:val="%1."/>
      <w:numFmt w:val="decimal"/>
      <w:start w:val="3"/>
    </w:lvl>
  </w:abstractNum>
  <w:abstractNum w:abstractNumId="614">
    <w:nsid w:val="39629FFA"/>
    <w:multiLevelType w:val="hybridMultilevel"/>
    <w:lvl w:ilvl="0">
      <w:lvlJc w:val="left"/>
      <w:lvlText w:val="%1."/>
      <w:numFmt w:val="decimal"/>
      <w:start w:val="4"/>
    </w:lvl>
  </w:abstractNum>
  <w:abstractNum w:abstractNumId="615">
    <w:nsid w:val="71F94ADC"/>
    <w:multiLevelType w:val="hybridMultilevel"/>
    <w:lvl w:ilvl="0">
      <w:lvlJc w:val="left"/>
      <w:lvlText w:val="(%1)"/>
      <w:numFmt w:val="lowerLetter"/>
      <w:start w:val="25"/>
    </w:lvl>
  </w:abstractNum>
  <w:abstractNum w:abstractNumId="616">
    <w:nsid w:val="27FFB15A"/>
    <w:multiLevelType w:val="hybridMultilevel"/>
    <w:lvl w:ilvl="0">
      <w:lvlJc w:val="left"/>
      <w:lvlText w:val="%1."/>
      <w:numFmt w:val="decimal"/>
      <w:start w:val="5"/>
    </w:lvl>
  </w:abstractNum>
  <w:abstractNum w:abstractNumId="617">
    <w:nsid w:val="48BE573"/>
    <w:multiLevelType w:val="hybridMultilevel"/>
    <w:lvl w:ilvl="0">
      <w:lvlJc w:val="left"/>
      <w:lvlText w:val="%1."/>
      <w:numFmt w:val="decimal"/>
      <w:start w:val="6"/>
    </w:lvl>
  </w:abstractNum>
  <w:abstractNum w:abstractNumId="618">
    <w:nsid w:val="142AC06C"/>
    <w:multiLevelType w:val="hybridMultilevel"/>
    <w:lvl w:ilvl="0">
      <w:lvlJc w:val="left"/>
      <w:lvlText w:val="(%1)"/>
      <w:numFmt w:val="decimal"/>
      <w:start w:val="20"/>
    </w:lvl>
  </w:abstractNum>
  <w:abstractNum w:abstractNumId="619">
    <w:nsid w:val="5FA54049"/>
    <w:multiLevelType w:val="hybridMultilevel"/>
    <w:lvl w:ilvl="0">
      <w:lvlJc w:val="left"/>
      <w:lvlText w:val="%1."/>
      <w:numFmt w:val="decimal"/>
      <w:start w:val="7"/>
    </w:lvl>
  </w:abstractNum>
  <w:abstractNum w:abstractNumId="620">
    <w:nsid w:val="2CBE7670"/>
    <w:multiLevelType w:val="hybridMultilevel"/>
    <w:lvl w:ilvl="0">
      <w:lvlJc w:val="left"/>
      <w:lvlText w:val="(%1)"/>
      <w:numFmt w:val="lowerRoman"/>
      <w:start w:val="2"/>
    </w:lvl>
  </w:abstractNum>
  <w:abstractNum w:abstractNumId="621">
    <w:nsid w:val="5D86CF11"/>
    <w:multiLevelType w:val="hybridMultilevel"/>
    <w:lvl w:ilvl="0">
      <w:lvlJc w:val="left"/>
      <w:lvlText w:val="%1."/>
      <w:numFmt w:val="decimal"/>
      <w:start w:val="9"/>
    </w:lvl>
  </w:abstractNum>
  <w:abstractNum w:abstractNumId="622">
    <w:nsid w:val="69EF4674"/>
    <w:multiLevelType w:val="hybridMultilevel"/>
    <w:lvl w:ilvl="0">
      <w:lvlJc w:val="left"/>
      <w:lvlText w:val="(%1)"/>
      <w:numFmt w:val="lowerLetter"/>
      <w:start w:val="25"/>
    </w:lvl>
  </w:abstractNum>
  <w:abstractNum w:abstractNumId="623">
    <w:nsid w:val="68ABEFB0"/>
    <w:multiLevelType w:val="hybridMultilevel"/>
    <w:lvl w:ilvl="0">
      <w:lvlJc w:val="left"/>
      <w:lvlText w:val="(%1)"/>
      <w:numFmt w:val="upperLetter"/>
      <w:start w:val="1"/>
    </w:lvl>
  </w:abstractNum>
  <w:abstractNum w:abstractNumId="624">
    <w:nsid w:val="326C3C76"/>
    <w:multiLevelType w:val="hybridMultilevel"/>
    <w:lvl w:ilvl="0">
      <w:lvlJc w:val="left"/>
      <w:lvlText w:val="(%1)"/>
      <w:numFmt w:val="lowerRoman"/>
      <w:start w:val="2"/>
    </w:lvl>
  </w:abstractNum>
  <w:abstractNum w:abstractNumId="625">
    <w:nsid w:val="58A36FCA"/>
    <w:multiLevelType w:val="hybridMultilevel"/>
    <w:lvl w:ilvl="0">
      <w:lvlJc w:val="left"/>
      <w:lvlText w:val="(%1)"/>
      <w:numFmt w:val="lowerRoman"/>
      <w:start w:val="3"/>
    </w:lvl>
  </w:abstractNum>
  <w:abstractNum w:abstractNumId="626">
    <w:nsid w:val="129B95F2"/>
    <w:multiLevelType w:val="hybridMultilevel"/>
    <w:lvl w:ilvl="0">
      <w:lvlJc w:val="left"/>
      <w:lvlText w:val="%1"/>
      <w:numFmt w:val="upperLetter"/>
      <w:start w:val="1"/>
    </w:lvl>
    <w:lvl w:ilvl="1">
      <w:lvlJc w:val="left"/>
      <w:lvlText w:val="(%2)"/>
      <w:numFmt w:val="lowerRoman"/>
      <w:start w:val="1"/>
    </w:lvl>
  </w:abstractNum>
  <w:abstractNum w:abstractNumId="627">
    <w:nsid w:val="309FB9AB"/>
    <w:multiLevelType w:val="hybridMultilevel"/>
    <w:lvl w:ilvl="0">
      <w:lvlJc w:val="left"/>
      <w:lvlText w:val="(%1)"/>
      <w:numFmt w:val="upperLetter"/>
      <w:start w:val="2"/>
    </w:lvl>
    <w:lvl w:ilvl="1">
      <w:lvlJc w:val="left"/>
      <w:lvlText w:val="(%2)"/>
      <w:numFmt w:val="lowerRoman"/>
      <w:start w:val="2"/>
    </w:lvl>
  </w:abstractNum>
  <w:abstractNum w:abstractNumId="628">
    <w:nsid w:val="782FF375"/>
    <w:multiLevelType w:val="hybridMultilevel"/>
    <w:lvl w:ilvl="0">
      <w:lvlJc w:val="left"/>
      <w:lvlText w:val="(%1)"/>
      <w:numFmt w:val="lowerRoman"/>
      <w:start w:val="2"/>
    </w:lvl>
  </w:abstractNum>
  <w:abstractNum w:abstractNumId="629">
    <w:nsid w:val="2B8FA025"/>
    <w:multiLevelType w:val="hybridMultilevel"/>
    <w:lvl w:ilvl="0">
      <w:lvlJc w:val="left"/>
      <w:lvlText w:val="(%1)"/>
      <w:numFmt w:val="lowerLetter"/>
      <w:start w:val="1"/>
    </w:lvl>
  </w:abstractNum>
  <w:abstractNum w:abstractNumId="630">
    <w:nsid w:val="40F9991C"/>
    <w:multiLevelType w:val="hybridMultilevel"/>
    <w:lvl w:ilvl="0">
      <w:lvlJc w:val="left"/>
      <w:lvlText w:val="(%1)"/>
      <w:numFmt w:val="lowerLetter"/>
      <w:start w:val="1"/>
    </w:lvl>
  </w:abstractNum>
  <w:abstractNum w:abstractNumId="631">
    <w:nsid w:val="52192AD"/>
    <w:multiLevelType w:val="hybridMultilevel"/>
    <w:lvl w:ilvl="0">
      <w:lvlJc w:val="left"/>
      <w:lvlText w:val="(%1)"/>
      <w:numFmt w:val="upperLetter"/>
      <w:start w:val="35"/>
    </w:lvl>
  </w:abstractNum>
  <w:abstractNum w:abstractNumId="632">
    <w:nsid w:val="7670D608"/>
    <w:multiLevelType w:val="hybridMultilevel"/>
    <w:lvl w:ilvl="0">
      <w:lvlJc w:val="left"/>
      <w:lvlText w:val="(%1)"/>
      <w:numFmt w:val="lowerRoman"/>
      <w:start w:val="3"/>
    </w:lvl>
  </w:abstractNum>
  <w:abstractNum w:abstractNumId="633">
    <w:nsid w:val="48B6B6EB"/>
    <w:multiLevelType w:val="hybridMultilevel"/>
    <w:lvl w:ilvl="0">
      <w:lvlJc w:val="left"/>
      <w:lvlText w:val="(%1)"/>
      <w:numFmt w:val="lowerLetter"/>
      <w:start w:val="1"/>
    </w:lvl>
    <w:lvl w:ilvl="1">
      <w:lvlJc w:val="left"/>
      <w:lvlText w:val="(%2)"/>
      <w:numFmt w:val="lowerLetter"/>
      <w:start w:val="1"/>
    </w:lvl>
  </w:abstractNum>
  <w:abstractNum w:abstractNumId="634">
    <w:nsid w:val="FB37489"/>
    <w:multiLevelType w:val="hybridMultilevel"/>
    <w:lvl w:ilvl="0">
      <w:lvlJc w:val="left"/>
      <w:lvlText w:val="(%1)"/>
      <w:numFmt w:val="lowerLetter"/>
      <w:start w:val="6"/>
    </w:lvl>
    <w:lvl w:ilvl="1">
      <w:lvlJc w:val="left"/>
      <w:lvlText w:val="(%2)"/>
      <w:numFmt w:val="lowerRoman"/>
      <w:start w:val="1"/>
    </w:lvl>
  </w:abstractNum>
  <w:abstractNum w:abstractNumId="635">
    <w:nsid w:val="8A75F95"/>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636">
    <w:nsid w:val="2B27BF4D"/>
    <w:multiLevelType w:val="hybridMultilevel"/>
    <w:lvl w:ilvl="0">
      <w:lvlJc w:val="left"/>
      <w:lvlText w:val="(%1)"/>
      <w:numFmt w:val="lowerLetter"/>
      <w:start w:val="11"/>
    </w:lvl>
    <w:lvl w:ilvl="1">
      <w:lvlJc w:val="left"/>
      <w:lvlText w:val="%2"/>
      <w:numFmt w:val="lowerLetter"/>
      <w:start w:val="1"/>
    </w:lvl>
    <w:lvl w:ilvl="2">
      <w:lvlJc w:val="left"/>
      <w:lvlText w:val="§"/>
      <w:numFmt w:val="bullet"/>
      <w:start w:val="1"/>
    </w:lvl>
  </w:abstractNum>
  <w:abstractNum w:abstractNumId="637">
    <w:nsid w:val="E5CBEB4"/>
    <w:multiLevelType w:val="hybridMultilevel"/>
    <w:lvl w:ilvl="0">
      <w:lvlJc w:val="left"/>
      <w:lvlText w:val="(%1)"/>
      <w:numFmt w:val="lowerLetter"/>
      <w:start w:val="25"/>
    </w:lvl>
  </w:abstractNum>
  <w:abstractNum w:abstractNumId="638">
    <w:nsid w:val="297BFD38"/>
    <w:multiLevelType w:val="hybridMultilevel"/>
    <w:lvl w:ilvl="0">
      <w:lvlJc w:val="left"/>
      <w:lvlText w:val="(%1)"/>
      <w:numFmt w:val="lowerLetter"/>
      <w:start w:val="27"/>
    </w:lvl>
  </w:abstractNum>
  <w:abstractNum w:abstractNumId="639">
    <w:nsid w:val="D9A50ED"/>
    <w:multiLevelType w:val="hybridMultilevel"/>
    <w:lvl w:ilvl="0">
      <w:lvlJc w:val="left"/>
      <w:lvlText w:val="(%1)"/>
      <w:numFmt w:val="lowerLetter"/>
      <w:start w:val="40"/>
    </w:lvl>
  </w:abstractNum>
  <w:abstractNum w:abstractNumId="640">
    <w:nsid w:val="20DAABD1"/>
    <w:multiLevelType w:val="hybridMultilevel"/>
    <w:lvl w:ilvl="0">
      <w:lvlJc w:val="left"/>
      <w:lvlText w:val="(%1)"/>
      <w:numFmt w:val="lowerLetter"/>
      <w:start w:val="47"/>
    </w:lvl>
  </w:abstractNum>
  <w:abstractNum w:abstractNumId="641">
    <w:nsid w:val="71B563E3"/>
    <w:multiLevelType w:val="hybridMultilevel"/>
    <w:lvl w:ilvl="0">
      <w:lvlJc w:val="left"/>
      <w:lvlText w:val="(%1)"/>
      <w:numFmt w:val="lowerLetter"/>
      <w:start w:val="53"/>
    </w:lvl>
  </w:abstractNum>
  <w:abstractNum w:abstractNumId="642">
    <w:nsid w:val="741A191E"/>
    <w:multiLevelType w:val="hybridMultilevel"/>
    <w:lvl w:ilvl="0">
      <w:lvlJc w:val="left"/>
      <w:lvlText w:val="(%1)"/>
      <w:numFmt w:val="lowerLetter"/>
      <w:start w:val="58"/>
    </w:lvl>
  </w:abstractNum>
  <w:abstractNum w:abstractNumId="643">
    <w:nsid w:val="55886153"/>
    <w:multiLevelType w:val="hybridMultilevel"/>
    <w:lvl w:ilvl="0">
      <w:lvlJc w:val="left"/>
      <w:lvlText w:val="(%1)"/>
      <w:numFmt w:val="decimal"/>
      <w:start w:val="1"/>
    </w:lvl>
  </w:abstractNum>
  <w:abstractNum w:abstractNumId="644">
    <w:nsid w:val="3E6AF287"/>
    <w:multiLevelType w:val="hybridMultilevel"/>
    <w:lvl w:ilvl="0">
      <w:lvlJc w:val="left"/>
      <w:lvlText w:val="(%1)"/>
      <w:numFmt w:val="decimal"/>
      <w:start w:val="4"/>
    </w:lvl>
  </w:abstractNum>
  <w:abstractNum w:abstractNumId="645">
    <w:nsid w:val="2D7CB919"/>
    <w:multiLevelType w:val="hybridMultilevel"/>
    <w:lvl w:ilvl="0">
      <w:lvlJc w:val="left"/>
      <w:lvlText w:val="(%1)"/>
      <w:numFmt w:val="decimal"/>
      <w:start w:val="1"/>
    </w:lvl>
  </w:abstractNum>
  <w:abstractNum w:abstractNumId="646">
    <w:nsid w:val="4781AC2F"/>
    <w:multiLevelType w:val="hybridMultilevel"/>
    <w:lvl w:ilvl="0">
      <w:lvlJc w:val="left"/>
      <w:lvlText w:val="(%1)"/>
      <w:numFmt w:val="decimal"/>
      <w:start w:val="6"/>
    </w:lvl>
  </w:abstractNum>
  <w:abstractNum w:abstractNumId="647">
    <w:nsid w:val="666AA3E1"/>
    <w:multiLevelType w:val="hybridMultilevel"/>
    <w:lvl w:ilvl="0">
      <w:lvlJc w:val="left"/>
      <w:lvlText w:val="(%1)"/>
      <w:numFmt w:val="decimal"/>
      <w:start w:val="1"/>
    </w:lvl>
    <w:lvl w:ilvl="1">
      <w:lvlJc w:val="left"/>
      <w:lvlText w:val="(%2)"/>
      <w:numFmt w:val="lowerLetter"/>
      <w:start w:val="1"/>
    </w:lvl>
  </w:abstractNum>
  <w:abstractNum w:abstractNumId="648">
    <w:nsid w:val="32089E8C"/>
    <w:multiLevelType w:val="hybridMultilevel"/>
    <w:lvl w:ilvl="0">
      <w:lvlJc w:val="left"/>
      <w:lvlText w:val="(%1)"/>
      <w:numFmt w:val="decimal"/>
      <w:start w:val="1"/>
    </w:lvl>
    <w:lvl w:ilvl="1">
      <w:lvlJc w:val="left"/>
      <w:lvlText w:val="(%2)"/>
      <w:numFmt w:val="lowerLetter"/>
      <w:start w:val="1"/>
    </w:lvl>
  </w:abstractNum>
  <w:abstractNum w:abstractNumId="649">
    <w:nsid w:val="5BAC6C9C"/>
    <w:multiLevelType w:val="hybridMultilevel"/>
    <w:lvl w:ilvl="0">
      <w:lvlJc w:val="left"/>
      <w:lvlText w:val="%1"/>
      <w:numFmt w:val="decimal"/>
      <w:start w:val="1"/>
    </w:lvl>
    <w:lvl w:ilvl="1">
      <w:lvlJc w:val="left"/>
      <w:lvlText w:val="(%2)"/>
      <w:numFmt w:val="lowerLetter"/>
      <w:start w:val="2"/>
    </w:lvl>
  </w:abstractNum>
  <w:abstractNum w:abstractNumId="650">
    <w:nsid w:val="460FE42B"/>
    <w:multiLevelType w:val="hybridMultilevel"/>
    <w:lvl w:ilvl="0">
      <w:lvlJc w:val="left"/>
      <w:lvlText w:val="(%1)"/>
      <w:numFmt w:val="decimal"/>
      <w:start w:val="4"/>
    </w:lvl>
    <w:lvl w:ilvl="1">
      <w:lvlJc w:val="left"/>
      <w:lvlText w:val="(%2)"/>
      <w:numFmt w:val="lowerLetter"/>
      <w:start w:val="1"/>
    </w:lvl>
  </w:abstractNum>
  <w:abstractNum w:abstractNumId="651">
    <w:nsid w:val="5EC714FC"/>
    <w:multiLevelType w:val="hybridMultilevel"/>
    <w:lvl w:ilvl="0">
      <w:lvlJc w:val="left"/>
      <w:lvlText w:val="(%1)"/>
      <w:numFmt w:val="decimal"/>
      <w:start w:val="1"/>
    </w:lvl>
  </w:abstractNum>
  <w:abstractNum w:abstractNumId="652">
    <w:nsid w:val="39333BAD"/>
    <w:multiLevelType w:val="hybridMultilevel"/>
    <w:lvl w:ilvl="0">
      <w:lvlJc w:val="left"/>
      <w:lvlText w:val="(%1)"/>
      <w:numFmt w:val="decimal"/>
      <w:start w:val="1"/>
    </w:lvl>
    <w:lvl w:ilvl="1">
      <w:lvlJc w:val="left"/>
      <w:lvlText w:val="(%2)"/>
      <w:numFmt w:val="lowerLetter"/>
      <w:start w:val="1"/>
    </w:lvl>
  </w:abstractNum>
  <w:abstractNum w:abstractNumId="653">
    <w:nsid w:val="2FFF2A9F"/>
    <w:multiLevelType w:val="hybridMultilevel"/>
    <w:lvl w:ilvl="0">
      <w:lvlJc w:val="left"/>
      <w:lvlText w:val="(%1)"/>
      <w:numFmt w:val="lowerLetter"/>
      <w:start w:val="1"/>
    </w:lvl>
  </w:abstractNum>
  <w:abstractNum w:abstractNumId="654">
    <w:nsid w:val="477304AC"/>
    <w:multiLevelType w:val="hybridMultilevel"/>
    <w:lvl w:ilvl="0">
      <w:lvlJc w:val="left"/>
      <w:lvlText w:val="(%1)"/>
      <w:numFmt w:val="decimal"/>
      <w:start w:val="1"/>
    </w:lvl>
  </w:abstractNum>
  <w:abstractNum w:abstractNumId="655">
    <w:nsid w:val="6B9F7823"/>
    <w:multiLevelType w:val="hybridMultilevel"/>
    <w:lvl w:ilvl="0">
      <w:lvlJc w:val="left"/>
      <w:lvlText w:val="(%1)"/>
      <w:numFmt w:val="decimal"/>
      <w:start w:val="2"/>
    </w:lvl>
  </w:abstractNum>
  <w:abstractNum w:abstractNumId="656">
    <w:nsid w:val="8A29A69"/>
    <w:multiLevelType w:val="hybridMultilevel"/>
    <w:lvl w:ilvl="0">
      <w:lvlJc w:val="left"/>
      <w:lvlText w:val="(%1)"/>
      <w:numFmt w:val="decimal"/>
      <w:start w:val="1"/>
    </w:lvl>
  </w:abstractNum>
  <w:abstractNum w:abstractNumId="657">
    <w:nsid w:val="5A0E9A9F"/>
    <w:multiLevelType w:val="hybridMultilevel"/>
    <w:lvl w:ilvl="0">
      <w:lvlJc w:val="left"/>
      <w:lvlText w:val="(%1)"/>
      <w:numFmt w:val="decimal"/>
      <w:start w:val="1"/>
    </w:lvl>
  </w:abstractNum>
  <w:abstractNum w:abstractNumId="658">
    <w:nsid w:val="1C3F31CE"/>
    <w:multiLevelType w:val="hybridMultilevel"/>
    <w:lvl w:ilvl="0">
      <w:lvlJc w:val="left"/>
      <w:lvlText w:val="(%1)"/>
      <w:numFmt w:val="decimal"/>
      <w:start w:val="3"/>
    </w:lvl>
  </w:abstractNum>
  <w:abstractNum w:abstractNumId="659">
    <w:nsid w:val="D28DDE"/>
    <w:multiLevelType w:val="hybridMultilevel"/>
    <w:lvl w:ilvl="0">
      <w:lvlJc w:val="left"/>
      <w:lvlText w:val="(%1)"/>
      <w:numFmt w:val="decimal"/>
      <w:start w:val="1"/>
    </w:lvl>
    <w:lvl w:ilvl="1">
      <w:lvlJc w:val="left"/>
      <w:lvlText w:val="(%2)"/>
      <w:numFmt w:val="lowerLetter"/>
      <w:start w:val="1"/>
    </w:lvl>
  </w:abstractNum>
  <w:abstractNum w:abstractNumId="660">
    <w:nsid w:val="59E3AC4"/>
    <w:multiLevelType w:val="hybridMultilevel"/>
    <w:lvl w:ilvl="0">
      <w:lvlJc w:val="left"/>
      <w:lvlText w:val="(%1)"/>
      <w:numFmt w:val="decimal"/>
      <w:start w:val="1"/>
    </w:lvl>
  </w:abstractNum>
  <w:abstractNum w:abstractNumId="661">
    <w:nsid w:val="5D38CAEA"/>
    <w:multiLevelType w:val="hybridMultilevel"/>
    <w:lvl w:ilvl="0">
      <w:lvlJc w:val="left"/>
      <w:lvlText w:val="(%1)"/>
      <w:numFmt w:val="decimal"/>
      <w:start w:val="1"/>
    </w:lvl>
    <w:lvl w:ilvl="1">
      <w:lvlJc w:val="left"/>
      <w:lvlText w:val="(%2)"/>
      <w:numFmt w:val="lowerLetter"/>
      <w:start w:val="1"/>
    </w:lvl>
  </w:abstractNum>
  <w:abstractNum w:abstractNumId="662">
    <w:nsid w:val="5F4208C"/>
    <w:multiLevelType w:val="hybridMultilevel"/>
    <w:lvl w:ilvl="0">
      <w:lvlJc w:val="left"/>
      <w:lvlText w:val="(%1)"/>
      <w:numFmt w:val="decimal"/>
      <w:start w:val="1"/>
    </w:lvl>
  </w:abstractNum>
  <w:abstractNum w:abstractNumId="663">
    <w:nsid w:val="7C0F10CC"/>
    <w:multiLevelType w:val="hybridMultilevel"/>
    <w:lvl w:ilvl="0">
      <w:lvlJc w:val="left"/>
      <w:lvlText w:val="(%1)"/>
      <w:numFmt w:val="decimal"/>
      <w:start w:val="1"/>
    </w:lvl>
  </w:abstractNum>
  <w:abstractNum w:abstractNumId="664">
    <w:nsid w:val="25EF81D5"/>
    <w:multiLevelType w:val="hybridMultilevel"/>
    <w:lvl w:ilvl="0">
      <w:lvlJc w:val="left"/>
      <w:lvlText w:val="(%1)"/>
      <w:numFmt w:val="decimal"/>
      <w:start w:val="1"/>
    </w:lvl>
  </w:abstractNum>
  <w:abstractNum w:abstractNumId="665">
    <w:nsid w:val="15A79515"/>
    <w:multiLevelType w:val="hybridMultilevel"/>
    <w:lvl w:ilvl="0">
      <w:lvlJc w:val="left"/>
      <w:lvlText w:val="(%1)"/>
      <w:numFmt w:val="decimal"/>
      <w:start w:val="1"/>
    </w:lvl>
  </w:abstractNum>
  <w:abstractNum w:abstractNumId="666">
    <w:nsid w:val="4B67062"/>
    <w:multiLevelType w:val="hybridMultilevel"/>
    <w:lvl w:ilvl="0">
      <w:lvlJc w:val="left"/>
      <w:lvlText w:val="(%1)"/>
      <w:numFmt w:val="decimal"/>
      <w:start w:val="1"/>
    </w:lvl>
    <w:lvl w:ilvl="1">
      <w:lvlJc w:val="left"/>
      <w:lvlText w:val="(%2)"/>
      <w:numFmt w:val="lowerLetter"/>
      <w:start w:val="1"/>
    </w:lvl>
  </w:abstractNum>
  <w:abstractNum w:abstractNumId="667">
    <w:nsid w:val="51174123"/>
    <w:multiLevelType w:val="hybridMultilevel"/>
    <w:lvl w:ilvl="0">
      <w:lvlJc w:val="left"/>
      <w:lvlText w:val="(%1)"/>
      <w:numFmt w:val="decimal"/>
      <w:start w:val="4"/>
    </w:lvl>
  </w:abstractNum>
  <w:abstractNum w:abstractNumId="668">
    <w:nsid w:val="240453CA"/>
    <w:multiLevelType w:val="hybridMultilevel"/>
    <w:lvl w:ilvl="0">
      <w:lvlJc w:val="left"/>
      <w:lvlText w:val="(%1)"/>
      <w:numFmt w:val="decimal"/>
      <w:start w:val="1"/>
    </w:lvl>
  </w:abstractNum>
  <w:abstractNum w:abstractNumId="669">
    <w:nsid w:val="2E326D9A"/>
    <w:multiLevelType w:val="hybridMultilevel"/>
    <w:lvl w:ilvl="0">
      <w:lvlJc w:val="left"/>
      <w:lvlText w:val="(%1)"/>
      <w:numFmt w:val="decimal"/>
      <w:start w:val="1"/>
    </w:lvl>
  </w:abstractNum>
  <w:abstractNum w:abstractNumId="670">
    <w:nsid w:val="5EB19210"/>
    <w:multiLevelType w:val="hybridMultilevel"/>
    <w:lvl w:ilvl="0">
      <w:lvlJc w:val="left"/>
      <w:lvlText w:val="(%1)"/>
      <w:numFmt w:val="decimal"/>
      <w:start w:val="1"/>
    </w:lvl>
    <w:lvl w:ilvl="1">
      <w:lvlJc w:val="left"/>
      <w:lvlText w:val="(%2)"/>
      <w:numFmt w:val="lowerLetter"/>
      <w:start w:val="1"/>
    </w:lvl>
  </w:abstractNum>
  <w:abstractNum w:abstractNumId="671">
    <w:nsid w:val="44DEFF9B"/>
    <w:multiLevelType w:val="hybridMultilevel"/>
    <w:lvl w:ilvl="0">
      <w:lvlJc w:val="left"/>
      <w:lvlText w:val="(%1)"/>
      <w:numFmt w:val="decimal"/>
      <w:start w:val="1"/>
    </w:lvl>
  </w:abstractNum>
  <w:abstractNum w:abstractNumId="672">
    <w:nsid w:val="1FE7D17D"/>
    <w:multiLevelType w:val="hybridMultilevel"/>
    <w:lvl w:ilvl="0">
      <w:lvlJc w:val="left"/>
      <w:lvlText w:val="(%1)"/>
      <w:numFmt w:val="lowerLetter"/>
      <w:start w:val="1"/>
    </w:lvl>
  </w:abstractNum>
  <w:abstractNum w:abstractNumId="673">
    <w:nsid w:val="52CBAB2E"/>
    <w:multiLevelType w:val="hybridMultilevel"/>
    <w:lvl w:ilvl="0">
      <w:lvlJc w:val="left"/>
      <w:lvlText w:val="(%1)"/>
      <w:numFmt w:val="lowerLetter"/>
      <w:start w:val="2"/>
    </w:lvl>
  </w:abstractNum>
  <w:abstractNum w:abstractNumId="674">
    <w:nsid w:val="1A6760EF"/>
    <w:multiLevelType w:val="hybridMultilevel"/>
    <w:lvl w:ilvl="0">
      <w:lvlJc w:val="left"/>
      <w:lvlText w:val="(%1)"/>
      <w:numFmt w:val="decimal"/>
      <w:start w:val="1"/>
    </w:lvl>
  </w:abstractNum>
  <w:abstractNum w:abstractNumId="675">
    <w:nsid w:val="5E52C405"/>
    <w:multiLevelType w:val="hybridMultilevel"/>
    <w:lvl w:ilvl="0">
      <w:lvlJc w:val="left"/>
      <w:lvlText w:val="(%1)"/>
      <w:numFmt w:val="lowerLetter"/>
      <w:start w:val="1"/>
    </w:lvl>
  </w:abstractNum>
  <w:abstractNum w:abstractNumId="676">
    <w:nsid w:val="486447"/>
    <w:multiLevelType w:val="hybridMultilevel"/>
    <w:lvl w:ilvl="0">
      <w:lvlJc w:val="left"/>
      <w:lvlText w:val="(%1)"/>
      <w:numFmt w:val="lowerLetter"/>
      <w:start w:val="3"/>
    </w:lvl>
  </w:abstractNum>
  <w:abstractNum w:abstractNumId="677">
    <w:nsid w:val="61E90D1E"/>
    <w:multiLevelType w:val="hybridMultilevel"/>
    <w:lvl w:ilvl="0">
      <w:lvlJc w:val="left"/>
      <w:lvlText w:val="(%1)"/>
      <w:numFmt w:val="decimal"/>
      <w:start w:val="1"/>
    </w:lvl>
    <w:lvl w:ilvl="1">
      <w:lvlJc w:val="left"/>
      <w:lvlText w:val="(%2)"/>
      <w:numFmt w:val="lowerLetter"/>
      <w:start w:val="1"/>
    </w:lvl>
  </w:abstractNum>
  <w:abstractNum w:abstractNumId="678">
    <w:nsid w:val="44BD67E6"/>
    <w:multiLevelType w:val="hybridMultilevel"/>
    <w:lvl w:ilvl="0">
      <w:lvlJc w:val="left"/>
      <w:lvlText w:val="(%1)"/>
      <w:numFmt w:val="lowerLetter"/>
      <w:start w:val="2"/>
    </w:lvl>
  </w:abstractNum>
  <w:abstractNum w:abstractNumId="679">
    <w:nsid w:val="325102D3"/>
    <w:multiLevelType w:val="hybridMultilevel"/>
    <w:lvl w:ilvl="0">
      <w:lvlJc w:val="left"/>
      <w:lvlText w:val="(%1)"/>
      <w:numFmt w:val="decimal"/>
      <w:start w:val="4"/>
    </w:lvl>
  </w:abstractNum>
  <w:abstractNum w:abstractNumId="680">
    <w:nsid w:val="3D9579BA"/>
    <w:multiLevelType w:val="hybridMultilevel"/>
    <w:lvl w:ilvl="0">
      <w:lvlJc w:val="left"/>
      <w:lvlText w:val="(%1)"/>
      <w:numFmt w:val="decimal"/>
      <w:start w:val="1"/>
    </w:lvl>
  </w:abstractNum>
  <w:abstractNum w:abstractNumId="681">
    <w:nsid w:val="ACD4C11"/>
    <w:multiLevelType w:val="hybridMultilevel"/>
    <w:lvl w:ilvl="0">
      <w:lvlJc w:val="left"/>
      <w:lvlText w:val="(%1)"/>
      <w:numFmt w:val="decimal"/>
      <w:start w:val="1"/>
    </w:lvl>
    <w:lvl w:ilvl="1">
      <w:lvlJc w:val="left"/>
      <w:lvlText w:val="(%2)"/>
      <w:numFmt w:val="lowerLetter"/>
      <w:start w:val="1"/>
    </w:lvl>
  </w:abstractNum>
  <w:abstractNum w:abstractNumId="682">
    <w:nsid w:val="111817CF"/>
    <w:multiLevelType w:val="hybridMultilevel"/>
    <w:lvl w:ilvl="0">
      <w:lvlJc w:val="left"/>
      <w:lvlText w:val="(%1)"/>
      <w:numFmt w:val="lowerLetter"/>
      <w:start w:val="3"/>
    </w:lvl>
  </w:abstractNum>
  <w:abstractNum w:abstractNumId="683">
    <w:nsid w:val="76C8B568"/>
    <w:multiLevelType w:val="hybridMultilevel"/>
    <w:lvl w:ilvl="0">
      <w:lvlJc w:val="left"/>
      <w:lvlText w:val="(%1)"/>
      <w:numFmt w:val="decimal"/>
      <w:start w:val="1"/>
    </w:lvl>
  </w:abstractNum>
  <w:abstractNum w:abstractNumId="684">
    <w:nsid w:val="3ACC76B1"/>
    <w:multiLevelType w:val="hybridMultilevel"/>
    <w:lvl w:ilvl="0">
      <w:lvlJc w:val="left"/>
      <w:lvlText w:val="(%1)"/>
      <w:numFmt w:val="decimal"/>
      <w:start w:val="1"/>
    </w:lvl>
    <w:lvl w:ilvl="1">
      <w:lvlJc w:val="left"/>
      <w:lvlText w:val="(%2)"/>
      <w:numFmt w:val="lowerLetter"/>
      <w:start w:val="1"/>
    </w:lvl>
  </w:abstractNum>
  <w:abstractNum w:abstractNumId="685">
    <w:nsid w:val="588B1C7C"/>
    <w:multiLevelType w:val="hybridMultilevel"/>
    <w:lvl w:ilvl="0">
      <w:lvlJc w:val="left"/>
      <w:lvlText w:val="%1."/>
      <w:numFmt w:val="decimal"/>
      <w:start w:val="1"/>
    </w:lvl>
  </w:abstractNum>
  <w:abstractNum w:abstractNumId="686">
    <w:nsid w:val="62682D8B"/>
    <w:multiLevelType w:val="hybridMultilevel"/>
    <w:lvl w:ilvl="0">
      <w:lvlJc w:val="left"/>
      <w:lvlText w:val="%1."/>
      <w:numFmt w:val="decimal"/>
      <w:start w:val="1"/>
    </w:lvl>
    <w:lvl w:ilvl="1">
      <w:lvlJc w:val="left"/>
      <w:lvlText w:val="(%2)"/>
      <w:numFmt w:val="lowerLetter"/>
      <w:start w:val="1"/>
    </w:lvl>
  </w:abstractNum>
  <w:abstractNum w:abstractNumId="687">
    <w:nsid w:val="436F111A"/>
    <w:multiLevelType w:val="hybridMultilevel"/>
    <w:lvl w:ilvl="0">
      <w:lvlJc w:val="left"/>
      <w:lvlText w:val="%1."/>
      <w:numFmt w:val="decimal"/>
      <w:start w:val="2"/>
    </w:lvl>
    <w:lvl w:ilvl="1">
      <w:lvlJc w:val="left"/>
      <w:lvlText w:val="(%2)"/>
      <w:numFmt w:val="lowerLetter"/>
      <w:start w:val="1"/>
    </w:lvl>
  </w:abstractNum>
  <w:abstractNum w:abstractNumId="688">
    <w:nsid w:val="3299B71B"/>
    <w:multiLevelType w:val="hybridMultilevel"/>
    <w:lvl w:ilvl="0">
      <w:lvlJc w:val="left"/>
      <w:lvlText w:val="(%1)"/>
      <w:numFmt w:val="upperLetter"/>
      <w:start w:val="1"/>
    </w:lvl>
  </w:abstractNum>
  <w:abstractNum w:abstractNumId="689">
    <w:nsid w:val="7EA75F5A"/>
    <w:multiLevelType w:val="hybridMultilevel"/>
    <w:lvl w:ilvl="0">
      <w:lvlJc w:val="left"/>
      <w:lvlText w:val="(%1)"/>
      <w:numFmt w:val="lowerRoman"/>
      <w:start w:val="1"/>
    </w:lvl>
  </w:abstractNum>
  <w:abstractNum w:abstractNumId="690">
    <w:nsid w:val="44419EF9"/>
    <w:multiLevelType w:val="hybridMultilevel"/>
    <w:lvl w:ilvl="0">
      <w:lvlJc w:val="left"/>
      <w:lvlText w:val="%1."/>
      <w:numFmt w:val="decimal"/>
      <w:start w:val="1"/>
    </w:lvl>
  </w:abstractNum>
  <w:abstractNum w:abstractNumId="691">
    <w:nsid w:val="3837F1DF"/>
    <w:multiLevelType w:val="hybridMultilevel"/>
    <w:lvl w:ilvl="0">
      <w:lvlJc w:val="left"/>
      <w:lvlText w:val="•"/>
      <w:numFmt w:val="bullet"/>
      <w:start w:val="1"/>
    </w:lvl>
  </w:abstractNum>
  <w:abstractNum w:abstractNumId="692">
    <w:nsid w:val="5BE02A4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jpe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jpeg"/><Relationship Id="rId808" Type="http://schemas.openxmlformats.org/officeDocument/2006/relationships/image" Target="media/image801.png"/><Relationship Id="rId809" Type="http://schemas.openxmlformats.org/officeDocument/2006/relationships/image" Target="media/image802.jpeg"/><Relationship Id="rId810" Type="http://schemas.openxmlformats.org/officeDocument/2006/relationships/image" Target="media/image803.png"/><Relationship Id="rId811" Type="http://schemas.openxmlformats.org/officeDocument/2006/relationships/image" Target="media/image804.jpe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2024-07-11T17:39:04Z</dcterms:created>
  <dcterms:modified xsi:type="dcterms:W3CDTF">2024-07-11T17:39:04Z</dcterms:modified>
</cp:coreProperties>
</file>