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November 28,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STATES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Washington, D.C. 20549</w:t>
            </w:r>
          </w:p>
        </w:tc>
      </w:tr>
      <w:tr>
        <w:trPr>
          <w:trHeight w:val="355"/>
        </w:trPr>
        <w:tc>
          <w:tcPr>
            <w:tcW w:w="3160" w:type="dxa"/>
            <w:vAlign w:val="bottom"/>
          </w:tcPr>
          <w:p>
            <w:pPr>
              <w:spacing w:after="0"/>
              <w:rPr>
                <w:sz w:val="24"/>
                <w:szCs w:val="24"/>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w w:val="99"/>
              </w:rPr>
              <w:t>FORM F-3</w:t>
            </w:r>
          </w:p>
        </w:tc>
      </w:tr>
      <w:tr>
        <w:trPr>
          <w:trHeight w:val="201"/>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REGISTRATION STATEMENT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w w:val="99"/>
              </w:rPr>
              <w:t>UNDER</w:t>
            </w:r>
          </w:p>
        </w:tc>
      </w:tr>
      <w:tr>
        <w:trPr>
          <w:trHeight w:val="214"/>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119"/>
              <w:spacing w:after="0"/>
              <w:rPr>
                <w:sz w:val="20"/>
                <w:szCs w:val="20"/>
                <w:color w:val="auto"/>
              </w:rPr>
            </w:pPr>
            <w:r>
              <w:rPr>
                <w:rFonts w:ascii="Times New Roman" w:cs="Times New Roman" w:eastAsia="Times New Roman" w:hAnsi="Times New Roman"/>
                <w:sz w:val="16"/>
                <w:szCs w:val="16"/>
                <w:b w:val="1"/>
                <w:bCs w:val="1"/>
                <w:color w:val="auto"/>
              </w:rPr>
              <w:t>Rezolve AI plc</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06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88"/>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6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4"/>
        </w:trPr>
        <w:tc>
          <w:tcPr>
            <w:tcW w:w="3160" w:type="dxa"/>
            <w:vAlign w:val="bottom"/>
          </w:tcPr>
          <w:p>
            <w:pPr>
              <w:spacing w:after="0"/>
              <w:rPr>
                <w:sz w:val="23"/>
                <w:szCs w:val="23"/>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21 Sackville Street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London, W1S 3DN</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Kingdom</w:t>
            </w:r>
          </w:p>
        </w:tc>
      </w:tr>
      <w:tr>
        <w:trPr>
          <w:trHeight w:val="204"/>
        </w:trPr>
        <w:tc>
          <w:tcPr>
            <w:tcW w:w="3160" w:type="dxa"/>
            <w:vAlign w:val="bottom"/>
          </w:tcPr>
          <w:p>
            <w:pPr>
              <w:spacing w:after="0"/>
              <w:rPr>
                <w:sz w:val="17"/>
                <w:szCs w:val="17"/>
                <w:color w:val="auto"/>
              </w:rPr>
            </w:pPr>
          </w:p>
        </w:tc>
        <w:tc>
          <w:tcPr>
            <w:tcW w:w="506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(+44 204 625 9700)</w:t>
            </w:r>
          </w:p>
        </w:tc>
        <w:tc>
          <w:tcPr>
            <w:tcW w:w="302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Cogency Global Inc.</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122 East 42nd Street, 18th Floor</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New York, N.Y. 10016</w:t>
            </w:r>
          </w:p>
        </w:tc>
      </w:tr>
      <w:tr>
        <w:trPr>
          <w:trHeight w:val="204"/>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Tel: +1 (212) 947-7200</w:t>
            </w: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tc>
      </w:tr>
      <w:tr>
        <w:trPr>
          <w:trHeight w:val="284"/>
        </w:trPr>
        <w:tc>
          <w:tcPr>
            <w:tcW w:w="3160" w:type="dxa"/>
            <w:vAlign w:val="bottom"/>
          </w:tcPr>
          <w:p>
            <w:pPr>
              <w:spacing w:after="0"/>
              <w:rPr>
                <w:sz w:val="24"/>
                <w:szCs w:val="24"/>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Copies to:</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Gerry Williams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Penny Minna</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DLA Piper LLP</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Atlanta, GA 30309</w:t>
            </w:r>
          </w:p>
        </w:tc>
      </w:tr>
      <w:tr>
        <w:trPr>
          <w:trHeight w:val="212"/>
        </w:trPr>
        <w:tc>
          <w:tcPr>
            <w:tcW w:w="3160" w:type="dxa"/>
            <w:vAlign w:val="bottom"/>
          </w:tcPr>
          <w:p>
            <w:pPr>
              <w:spacing w:after="0"/>
              <w:rPr>
                <w:sz w:val="18"/>
                <w:szCs w:val="18"/>
                <w:color w:val="auto"/>
              </w:rPr>
            </w:pPr>
          </w:p>
        </w:tc>
        <w:tc>
          <w:tcPr>
            <w:tcW w:w="5060" w:type="dxa"/>
            <w:vAlign w:val="bottom"/>
          </w:tcPr>
          <w:p>
            <w:pPr>
              <w:jc w:val="right"/>
              <w:ind w:right="1999"/>
              <w:spacing w:after="0"/>
              <w:rPr>
                <w:sz w:val="20"/>
                <w:szCs w:val="20"/>
                <w:color w:val="auto"/>
              </w:rPr>
            </w:pPr>
            <w:r>
              <w:rPr>
                <w:rFonts w:ascii="Times New Roman" w:cs="Times New Roman" w:eastAsia="Times New Roman" w:hAnsi="Times New Roman"/>
                <w:sz w:val="16"/>
                <w:szCs w:val="16"/>
                <w:b w:val="1"/>
                <w:bCs w:val="1"/>
                <w:color w:val="auto"/>
              </w:rPr>
              <w:t>(404) 736-7800</w:t>
            </w:r>
          </w:p>
        </w:tc>
        <w:tc>
          <w:tcPr>
            <w:tcW w:w="3020" w:type="dxa"/>
            <w:vAlign w:val="bottom"/>
          </w:tcPr>
          <w:p>
            <w:pPr>
              <w:spacing w:after="0"/>
              <w:rPr>
                <w:sz w:val="18"/>
                <w:szCs w:val="18"/>
                <w:color w:val="auto"/>
              </w:rPr>
            </w:pP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this Registration Statement becomes effective.</w:t>
      </w:r>
    </w:p>
    <w:p>
      <w:pPr>
        <w:spacing w:after="0" w:line="6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right="8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w:t>
      </w:r>
      <w:r>
        <w:rPr>
          <w:rFonts w:ascii="Times New Roman" w:cs="Times New Roman" w:eastAsia="Times New Roman" w:hAnsi="Times New Roman"/>
          <w:sz w:val="16"/>
          <w:szCs w:val="16"/>
          <w:u w:val="single" w:color="auto"/>
          <w:color w:val="auto"/>
        </w:rPr>
        <w:t>Rule 462</w:t>
      </w:r>
      <w:r>
        <w:rPr>
          <w:rFonts w:ascii="Times New Roman" w:cs="Times New Roman" w:eastAsia="Times New Roman" w:hAnsi="Times New Roman"/>
          <w:sz w:val="16"/>
          <w:szCs w:val="16"/>
          <w:color w:val="auto"/>
        </w:rPr>
        <w:t xml:space="preserve">(e) under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xml:space="preserve">,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116" w:lineRule="exact"/>
        <w:rPr>
          <w:sz w:val="24"/>
          <w:szCs w:val="24"/>
          <w:color w:val="auto"/>
        </w:rPr>
      </w:pPr>
    </w:p>
    <w:p>
      <w:pPr>
        <w:ind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6"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960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contains:</w:t>
      </w:r>
    </w:p>
    <w:p>
      <w:pPr>
        <w:spacing w:after="0" w:line="333" w:lineRule="exact"/>
        <w:rPr>
          <w:sz w:val="20"/>
          <w:szCs w:val="20"/>
          <w:color w:val="auto"/>
        </w:rPr>
      </w:pPr>
    </w:p>
    <w:p>
      <w:pPr>
        <w:ind w:left="10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up to a maximum aggregate offering price of 200,000,000 of our ordinary shares from time to time in one or more offerings;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"at the market offering" prospectus covering the offering, issuance and sale by us of up to 48,034,860 of our ordinary shares that may be issued and sold under a sales agreement (the "Sales Agreement") with Cantor Fitzgerald &amp; Co., Roth Capital Partners, LLC, Northland Securities, Inc., Maxim Group LLC and A.G.P./Alliance Global Partners (the “Sales Agents”).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"at the market offering" prospectus immediately follows the base prospectus. The 48,034,860 ordinary shares that may be offered, issued and sold under the "at the market offering" prospectus is included in the 200,000,000 ordinary shares that may be offered, issued and sold by us under the base prospectus. Upon termination of the Sales Agreement with the Sales Agent, any portion of the 48,034,860 ordinary shares included in the "at the market offering" prospectus that is not sold pursuant to the Sales Agreement will be available for sale in other offerings pursuant to the base prospectus and a corresponding prospectus supplement, and if no shares are sold under the Sales Agreement, the full 200,000,000 ordinary shares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NOVEMBER 28, 2025</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C0000"/>
        </w:rPr>
        <w:t>PROSPECTUS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200,000,000 Ordinary Shares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AI plc, a public limited company registered under the laws of England and Wales with registration number 14573691, (“Rezolve,” the “Company,” “we,” “us,” “our") may offer and issue from time to time up to an aggregate of 200,000,000 ordinary shares nominal value £0.0001 each in the capital of the Company (the “Ordinary Shares”). This prospectus provides you with a general description of the securities.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time we offer and sell the Ordinary Shares, we will provide a prospectus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any applicable prospectus supplement before you invest in any of our securities.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Ordinary Shares are traded on the Nasdaq Stock Market LLC (“Nasdaq”) under the symbols “RZLV." On November 26, 2025, the closing price of the Ordinary Shares was $2.98 per share.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6 of this prospects and in the documents incorporated by reference into this prospectus.</w:t>
      </w:r>
    </w:p>
    <w:p>
      <w:pPr>
        <w:spacing w:after="0" w:line="15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06"/>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56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10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70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20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22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30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50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63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7"/>
          </w:tcPr>
          <w:p>
            <w:pPr>
              <w:spacing w:after="0"/>
              <w:rPr>
                <w:sz w:val="17"/>
                <w:szCs w:val="17"/>
                <w:color w:val="auto"/>
              </w:rPr>
            </w:pPr>
          </w:p>
        </w:tc>
        <w:tc>
          <w:tcPr>
            <w:tcW w:w="674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2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52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4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32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96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on Form F-3 with the SEC, under the </w:t>
      </w:r>
      <w:r>
        <w:rPr>
          <w:rFonts w:ascii="Times New Roman" w:cs="Times New Roman" w:eastAsia="Times New Roman" w:hAnsi="Times New Roman"/>
          <w:sz w:val="18"/>
          <w:szCs w:val="18"/>
          <w:u w:val="single" w:color="auto"/>
          <w:color w:val="0067B1"/>
        </w:rPr>
        <w:t>Securities Act</w:t>
      </w:r>
      <w:r>
        <w:rPr>
          <w:rFonts w:ascii="Times New Roman" w:cs="Times New Roman" w:eastAsia="Times New Roman" w:hAnsi="Times New Roman"/>
          <w:sz w:val="18"/>
          <w:szCs w:val="18"/>
          <w:color w:val="auto"/>
        </w:rPr>
        <w:t>, using a “shelf” registration process. Under this prospectus, we may offer and sell up to 200,000,000 Ordinary Shares from time to time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authorized anyone to provide any information or to make any representations other than those contained in or incorporated by reference into this prospectus, any accompanying prospectus supplement or any free writing prospectus we have prepared.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the documents incorporated by reference herein or therein,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to commercialize the Rezolve platform by the end of Q4 2025, initially in Europe and the U.S.A. Revenues from brain commerce began in Q3 2025, and we expect them to increase significantly in Q4 2025. We also expect to generate revenues in South America and Asia during Q4 2025. We expect revenues to increase in 2026 through our signed partner agreements with Microsoft, Google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0" w:lineRule="exact"/>
        <w:rPr>
          <w:sz w:val="20"/>
          <w:szCs w:val="20"/>
          <w:color w:val="auto"/>
        </w:rPr>
      </w:pPr>
    </w:p>
    <w:p>
      <w:pPr>
        <w:ind w:right="420" w:firstLine="8"/>
        <w:spacing w:after="0" w:line="223" w:lineRule="auto"/>
        <w:tabs>
          <w:tab w:leader="none" w:pos="105"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9" w:name="page10"/>
    <w:bookmarkEnd w:id="9"/>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503" w:right="34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0" w:name="page11"/>
    <w:bookmarkEnd w:id="10"/>
    <w:p>
      <w:pPr>
        <w:ind w:left="503" w:right="3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1" w:name="page12"/>
    <w:bookmarkEnd w:id="11"/>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40" w:hanging="5063"/>
        <w:spacing w:after="0" w:line="407" w:lineRule="auto"/>
        <w:tabs>
          <w:tab w:leader="none" w:pos="5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20-F for the fiscal year ended December 31, 2024,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8" w:right="49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supplement(s).</w:t>
      </w:r>
    </w:p>
    <w:p>
      <w:pPr>
        <w:spacing w:after="0" w:line="18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4" w:name="page15"/>
    <w:bookmarkEnd w:id="14"/>
    <w:p>
      <w:pPr>
        <w:ind w:left="4820"/>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include information about our capitalization and indebtedness in the applicable prospectus supplement(s).</w:t>
      </w:r>
    </w:p>
    <w:p>
      <w:pPr>
        <w:spacing w:after="0" w:line="200" w:lineRule="exact"/>
        <w:rPr>
          <w:sz w:val="20"/>
          <w:szCs w:val="20"/>
          <w:color w:val="auto"/>
        </w:rPr>
      </w:pP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15" w:name="page16"/>
    <w:bookmarkEnd w:id="15"/>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right="220"/>
        <w:spacing w:after="0" w:line="282" w:lineRule="auto"/>
        <w:rPr>
          <w:sz w:val="20"/>
          <w:szCs w:val="20"/>
          <w:color w:val="auto"/>
        </w:rPr>
      </w:pPr>
      <w:r>
        <w:rPr>
          <w:rFonts w:ascii="Times New Roman" w:cs="Times New Roman" w:eastAsia="Times New Roman" w:hAnsi="Times New Roman"/>
          <w:sz w:val="18"/>
          <w:szCs w:val="18"/>
          <w:color w:val="auto"/>
        </w:rPr>
        <w:t>limited, or no, information regarding the ultimate beneficial owners of Rezolve’s Ordinary Shares. Rezolve’s share register is maintained by its registrar, Computershare Inc.</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8" w:name="page19"/>
    <w:bookmarkEnd w:id="18"/>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5540" w:right="4320" w:hanging="5023"/>
        <w:spacing w:after="0" w:line="407" w:lineRule="auto"/>
        <w:tabs>
          <w:tab w:leader="none" w:pos="10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Ordinary Shares from time to time pursuant to underwritten public offerings, negotiated transactions, block trades or a combination of these methods or through underwriters or dealers, through agents and/or directly to one or more purchasers. The Ordinary Shares may be distributed from time to time in one or more transactions:</w:t>
      </w:r>
    </w:p>
    <w:p>
      <w:pPr>
        <w:spacing w:after="0" w:line="81" w:lineRule="exact"/>
        <w:rPr>
          <w:sz w:val="20"/>
          <w:szCs w:val="20"/>
          <w:color w:val="auto"/>
        </w:rPr>
      </w:pPr>
    </w:p>
    <w:p>
      <w:pPr>
        <w:ind w:left="1040" w:hanging="46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time that we sell Ordinary Shares covered by this prospectus, we will provide a prospectus supplement or supplements that will describe the method of distribution and set forth the terms and conditions of the offering of such securities, including the offering price of the Ordinary Shares and the proceeds to us, if applicable.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Offers to purchase the Ordinary Shares being offered by this prospectus may be solicited directly. Agents may also be designated to solicit offers to purchase the Ordinary Shares from time to time. Any agent involved in the offer or sale of our securities will be identified in a prospectus supplement.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Ordinary Shares being offered by this prospectus, the Ordinary Shares will be sold to the dealer, as principal. The dealer may then resell the Ordinary Shares to the public at varying prices to be determined by the dealer at the time of resale.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underwriter is utilized in the sale of the Ordinary Shares being offered by this prospectus, an underwriting agreement will be executed with the underwriter at the time of sale and the name of any underwriter will be provided in the prospectus supplement that the underwriter will use to make resales of the Ordinary Shares to the public. In connection with the sale of the Ordinary Shares, we or the purchasers of Ordinary Shares for whom the underwriter may act as agent, may compensate the underwriter in the form of underwriting discounts or commissions. The underwriter may sell the Ordinary Shares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commercially reasonable efforts basis and a dealer will purchase securities as a principal, and may then resell the securities at varying prices to be determined by the dealer.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compensation paid to underwriters, dealers or agents in connection with the offering of the Ordinary Shares,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w:t>
      </w:r>
      <w:r>
        <w:rPr>
          <w:rFonts w:ascii="Times New Roman" w:cs="Times New Roman" w:eastAsia="Times New Roman" w:hAnsi="Times New Roman"/>
          <w:sz w:val="18"/>
          <w:szCs w:val="18"/>
          <w:u w:val="single" w:color="auto"/>
          <w:color w:val="0067B1"/>
        </w:rPr>
        <w:t>Securities Act of 1933</w:t>
      </w:r>
      <w:r>
        <w:rPr>
          <w:rFonts w:ascii="Times New Roman" w:cs="Times New Roman" w:eastAsia="Times New Roman" w:hAnsi="Times New Roman"/>
          <w:sz w:val="18"/>
          <w:szCs w:val="18"/>
          <w:color w:val="auto"/>
        </w:rPr>
        <w:t xml:space="preserve">,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w:t>
      </w:r>
      <w:r>
        <w:rPr>
          <w:rFonts w:ascii="Times New Roman" w:cs="Times New Roman" w:eastAsia="Times New Roman" w:hAnsi="Times New Roman"/>
          <w:sz w:val="18"/>
          <w:szCs w:val="18"/>
          <w:u w:val="single" w:color="auto"/>
          <w:color w:val="0067B1"/>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67B1"/>
        </w:rPr>
        <w:t>Act</w:t>
      </w:r>
      <w:r>
        <w:rPr>
          <w:rFonts w:ascii="Times New Roman" w:cs="Times New Roman" w:eastAsia="Times New Roman" w:hAnsi="Times New Roman"/>
          <w:sz w:val="18"/>
          <w:szCs w:val="18"/>
          <w:color w:val="000000"/>
        </w:rPr>
        <w:t>, or to contribute to payments they may be required to make in respect thereof and to reimburse those persons for certain expenses.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Ordinary Shares will be listed on the Nasdaq. To facilitate the offering of Ordinary Shares, certain persons participating in the offering may engage in transactions that stabilize, maintain or otherwise affect the price of the Ordinary Shares. This may include over-allotments or short sales of the Ordinary Shares, which involve the sale by persons participating in the offering of more Ordinary Shares than were sold to them. In these circumstances, these persons would cover such over-allotments or short positions by making purchases in the open market or by exercising their over-allotment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82,721.90</w:t>
            </w:r>
          </w:p>
        </w:tc>
        <w:tc>
          <w:tcPr>
            <w:tcW w:w="220" w:type="dxa"/>
            <w:vAlign w:val="bottom"/>
            <w:shd w:val="clear" w:color="auto" w:fill="CFF0FC"/>
          </w:tcPr>
          <w:p>
            <w:pPr>
              <w:spacing w:after="0"/>
              <w:rPr>
                <w:sz w:val="18"/>
                <w:szCs w:val="18"/>
                <w:color w:val="auto"/>
              </w:rPr>
            </w:pPr>
          </w:p>
        </w:tc>
      </w:tr>
      <w:tr>
        <w:trPr>
          <w:trHeight w:val="216"/>
        </w:trPr>
        <w:tc>
          <w:tcPr>
            <w:tcW w:w="8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90,350.00</w:t>
            </w:r>
          </w:p>
        </w:tc>
        <w:tc>
          <w:tcPr>
            <w:tcW w:w="220" w:type="dxa"/>
            <w:vAlign w:val="bottom"/>
            <w:shd w:val="clear" w:color="auto" w:fill="CFF0FC"/>
          </w:tcPr>
          <w:p>
            <w:pPr>
              <w:spacing w:after="0"/>
              <w:rPr>
                <w:sz w:val="18"/>
                <w:szCs w:val="18"/>
                <w:color w:val="auto"/>
              </w:rPr>
            </w:pPr>
          </w:p>
        </w:tc>
      </w:tr>
      <w:tr>
        <w:trPr>
          <w:trHeight w:val="198"/>
        </w:trPr>
        <w:tc>
          <w:tcPr>
            <w:tcW w:w="88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8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7" w:name="page28"/>
    <w:bookmarkEnd w:id="27"/>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Group of Companies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1">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auto"/>
          </w:rPr>
          <w:t xml:space="preserve">our Report of Foreign Private Issuer on Form 6-K filed with the SEC on </w:t>
        </w:r>
        <w:r>
          <w:rPr>
            <w:rFonts w:ascii="Times New Roman" w:cs="Times New Roman" w:eastAsia="Times New Roman" w:hAnsi="Times New Roman"/>
            <w:sz w:val="18"/>
            <w:szCs w:val="18"/>
            <w:u w:val="single" w:color="auto"/>
            <w:color w:val="0000FF"/>
          </w:rPr>
          <w:t>January 29,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31,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15,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24, 2025, September 24,</w:t>
        </w:r>
      </w:hyperlink>
      <w:r>
        <w:rPr>
          <w:rFonts w:ascii="Times New Roman" w:cs="Times New Roman" w:eastAsia="Times New Roman" w:hAnsi="Times New Roman"/>
          <w:sz w:val="18"/>
          <w:szCs w:val="18"/>
          <w:color w:val="0000FF"/>
        </w:rPr>
        <w:t xml:space="preserve"> </w:t>
      </w:r>
      <w:hyperlink r:id="rId43">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4">
        <w:r>
          <w:rPr>
            <w:rFonts w:ascii="Times New Roman" w:cs="Times New Roman" w:eastAsia="Times New Roman" w:hAnsi="Times New Roman"/>
            <w:sz w:val="18"/>
            <w:szCs w:val="18"/>
            <w:u w:val="single" w:color="auto"/>
            <w:color w:val="0000FF"/>
          </w:rPr>
          <w:t>September 26, 2025</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5">
        <w:r>
          <w:rPr>
            <w:rFonts w:ascii="Times New Roman" w:cs="Times New Roman" w:eastAsia="Times New Roman" w:hAnsi="Times New Roman"/>
            <w:sz w:val="18"/>
            <w:szCs w:val="18"/>
            <w:u w:val="single" w:color="auto"/>
            <w:color w:val="0000FF"/>
          </w:rPr>
          <w:t>October 1, 2025</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6">
        <w:r>
          <w:rPr>
            <w:rFonts w:ascii="Times New Roman" w:cs="Times New Roman" w:eastAsia="Times New Roman" w:hAnsi="Times New Roman"/>
            <w:sz w:val="18"/>
            <w:szCs w:val="18"/>
            <w:u w:val="single" w:color="auto"/>
            <w:color w:val="0000FF"/>
          </w:rPr>
          <w:t>October 6, 2025</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7">
        <w:r>
          <w:rPr>
            <w:rFonts w:ascii="Times New Roman" w:cs="Times New Roman" w:eastAsia="Times New Roman" w:hAnsi="Times New Roman"/>
            <w:sz w:val="18"/>
            <w:szCs w:val="18"/>
            <w:u w:val="single" w:color="auto"/>
            <w:color w:val="0000FF"/>
          </w:rPr>
          <w:t xml:space="preserve">October 10, 2025 </w:t>
        </w:r>
      </w:hyperlink>
      <w:hyperlink r:id="rId4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48">
        <w:r>
          <w:rPr>
            <w:rFonts w:ascii="Times New Roman" w:cs="Times New Roman" w:eastAsia="Times New Roman" w:hAnsi="Times New Roman"/>
            <w:sz w:val="18"/>
            <w:szCs w:val="18"/>
            <w:u w:val="single" w:color="auto"/>
            <w:color w:val="0000FF"/>
          </w:rPr>
          <w:t>October 22, 2025</w:t>
        </w:r>
      </w:hyperlink>
      <w:hyperlink r:id="rId43">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FF"/>
        </w:rPr>
      </w:pPr>
    </w:p>
    <w:p>
      <w:pPr>
        <w:ind w:left="1020" w:right="5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49">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315"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0" w:name="page31"/>
    <w:bookmarkEnd w:id="30"/>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NOVEMBER 28, 2025</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C0000"/>
        </w:rPr>
        <w:t>PROSPECTUS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48,034,860 Ordinary Shares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AI plc, a public limited company registered under the laws of England and Wales with registration number 14573691, (“Rezolve,” the “Company,” “we,” “us,” “our") is party to a sales agreement (the “Sales Agreement”), with Cantor Fitzgerald &amp; Co. (“Cantor”), Roth Capital Partners, LLC ("Roth"), Northland Securities, Inc. (“Northland”), Maxim Group LLC (“Maxim”) and A.G.P./Alliance Global Partner ("AGP"), dated November 28, 2025, relating to the ordinary shares, nominal value £0.0001 each in the capital of the Company (the "Ordinary Shares"), offered by this prospectus. Under this prospectus, we may offer and sell up to 48,034,860 Ordinary Shares from time to time through or to Cantor, Roth, Northland, Maxim and AGP (each a “Sales Agent” and collectively the "Sales Agents"), acting as sales agent or principal, in accordance with the Sales Agreement.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Sales of the Ordinary Shares, if any, under this prospectus may be made by any method permitted that is deemed an "at the market offering" as defined in </w:t>
      </w:r>
      <w:r>
        <w:rPr>
          <w:rFonts w:ascii="Times New Roman" w:cs="Times New Roman" w:eastAsia="Times New Roman" w:hAnsi="Times New Roman"/>
          <w:sz w:val="18"/>
          <w:szCs w:val="18"/>
          <w:u w:val="single" w:color="auto"/>
          <w:color w:val="0067B1"/>
        </w:rPr>
        <w:t>Rule 415</w:t>
      </w:r>
      <w:r>
        <w:rPr>
          <w:rFonts w:ascii="Times New Roman" w:cs="Times New Roman" w:eastAsia="Times New Roman" w:hAnsi="Times New Roman"/>
          <w:sz w:val="18"/>
          <w:szCs w:val="18"/>
          <w:color w:val="000000"/>
        </w:rPr>
        <w:t>(a)(4) promulgated under the</w:t>
      </w:r>
      <w:r>
        <w:rPr>
          <w:rFonts w:ascii="Times New Roman" w:cs="Times New Roman" w:eastAsia="Times New Roman" w:hAnsi="Times New Roman"/>
          <w:sz w:val="18"/>
          <w:szCs w:val="18"/>
          <w:color w:val="0067B1"/>
        </w:rPr>
        <w:t xml:space="preserve"> </w:t>
      </w:r>
      <w:r>
        <w:rPr>
          <w:rFonts w:ascii="Times New Roman" w:cs="Times New Roman" w:eastAsia="Times New Roman" w:hAnsi="Times New Roman"/>
          <w:sz w:val="18"/>
          <w:szCs w:val="18"/>
          <w:u w:val="single" w:color="auto"/>
          <w:color w:val="0067B1"/>
        </w:rPr>
        <w:t>Securities Act of 1933</w:t>
      </w:r>
      <w:r>
        <w:rPr>
          <w:rFonts w:ascii="Times New Roman" w:cs="Times New Roman" w:eastAsia="Times New Roman" w:hAnsi="Times New Roman"/>
          <w:sz w:val="18"/>
          <w:szCs w:val="18"/>
          <w:color w:val="000000"/>
        </w:rPr>
        <w:t>, as amended (the “</w:t>
      </w:r>
      <w:r>
        <w:rPr>
          <w:rFonts w:ascii="Times New Roman" w:cs="Times New Roman" w:eastAsia="Times New Roman" w:hAnsi="Times New Roman"/>
          <w:sz w:val="18"/>
          <w:szCs w:val="18"/>
          <w:u w:val="single" w:color="auto"/>
          <w:color w:val="0067B1"/>
        </w:rPr>
        <w:t>Securities Act</w:t>
      </w:r>
      <w:r>
        <w:rPr>
          <w:rFonts w:ascii="Times New Roman" w:cs="Times New Roman" w:eastAsia="Times New Roman" w:hAnsi="Times New Roman"/>
          <w:sz w:val="18"/>
          <w:szCs w:val="18"/>
          <w:color w:val="000000"/>
        </w:rPr>
        <w:t>”). The Sales Agents are not required to sell any specific</w:t>
      </w:r>
      <w:r>
        <w:rPr>
          <w:rFonts w:ascii="Times New Roman" w:cs="Times New Roman" w:eastAsia="Times New Roman" w:hAnsi="Times New Roman"/>
          <w:sz w:val="18"/>
          <w:szCs w:val="18"/>
          <w:color w:val="0067B1"/>
        </w:rPr>
        <w:t xml:space="preserve"> </w:t>
      </w:r>
      <w:r>
        <w:rPr>
          <w:rFonts w:ascii="Times New Roman" w:cs="Times New Roman" w:eastAsia="Times New Roman" w:hAnsi="Times New Roman"/>
          <w:sz w:val="18"/>
          <w:szCs w:val="18"/>
          <w:color w:val="000000"/>
        </w:rPr>
        <w:t>number or dollar amount of securities but will act as our sales agent using commercially reasonable efforts consistent with their normal trading and sales practices and applicable state and federal laws, rules and regulations and the rules of the Nasdaq, on mutually agreed terms between the Sales Agents and us. There are no minimum sale requirements, and there is no arrangement for funds to be received in any escrow, trust or similar arrangement.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payable to the Sales Agents for sales of the Ordinary Shares sold pursuant to the Sales Agreement will be an amount up to 3.0% of the gross proceeds of any Ordinary Shares sold under the Sales Agreement.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xml:space="preserve">” beginning on page 21 for additional information regarding the compensation to be paid to the Sales Agents. In connection with the sale of the Ordinary Shares on our behalf, the Sales Agents will be deemed to be “underwriters” within the meaning of the </w:t>
      </w:r>
      <w:r>
        <w:rPr>
          <w:rFonts w:ascii="Times New Roman" w:cs="Times New Roman" w:eastAsia="Times New Roman" w:hAnsi="Times New Roman"/>
          <w:sz w:val="18"/>
          <w:szCs w:val="18"/>
          <w:u w:val="single" w:color="auto"/>
          <w:color w:val="0067B1"/>
        </w:rPr>
        <w:t>Securities Act</w:t>
      </w:r>
      <w:r>
        <w:rPr>
          <w:rFonts w:ascii="Times New Roman" w:cs="Times New Roman" w:eastAsia="Times New Roman" w:hAnsi="Times New Roman"/>
          <w:sz w:val="18"/>
          <w:szCs w:val="18"/>
          <w:color w:val="auto"/>
        </w:rPr>
        <w:t xml:space="preserve">, and the compensation paid to the Sales Agents will be deemed to be underwriting compensation. We have also agreed in the Sales Agreement to provide indemnification and contribution to the Sales Agents with respect to certain liabilities, including liabilities under the </w:t>
      </w:r>
      <w:r>
        <w:rPr>
          <w:rFonts w:ascii="Times New Roman" w:cs="Times New Roman" w:eastAsia="Times New Roman" w:hAnsi="Times New Roman"/>
          <w:sz w:val="18"/>
          <w:szCs w:val="18"/>
          <w:u w:val="single" w:color="auto"/>
          <w:color w:val="0067B1"/>
        </w:rPr>
        <w:t>Securities Act</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u w:val="single" w:color="auto"/>
          <w:color w:val="0067B1"/>
        </w:rPr>
        <w:t>Securities Exchange Act of 1934</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u w:val="single" w:color="auto"/>
          <w:color w:val="0067B1"/>
        </w:rPr>
        <w:t>Exchange Act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Ordinary Shares are traded on the Nasdaq under the symbols “RZLV." On November 26, 2025, the closing price of the Ordinary Shares was $2.98 per share.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5 of this prospects and in the documents incorporated by reference into this prospectus.</w:t>
      </w:r>
    </w:p>
    <w:p>
      <w:pPr>
        <w:spacing w:after="0" w:line="15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200" w:lineRule="exact"/>
        <w:rPr>
          <w:sz w:val="20"/>
          <w:szCs w:val="20"/>
          <w:color w:val="auto"/>
        </w:rPr>
      </w:pPr>
    </w:p>
    <w:p>
      <w:pPr>
        <w:spacing w:after="0" w:line="272" w:lineRule="exact"/>
        <w:rPr>
          <w:sz w:val="20"/>
          <w:szCs w:val="20"/>
          <w:color w:val="auto"/>
        </w:rPr>
      </w:pPr>
    </w:p>
    <w:p>
      <w:pPr>
        <w:spacing w:after="0"/>
        <w:tabs>
          <w:tab w:leader="none" w:pos="1080" w:val="left"/>
          <w:tab w:leader="none" w:pos="3780" w:val="left"/>
          <w:tab w:leader="none" w:pos="6260" w:val="left"/>
          <w:tab w:leader="none" w:pos="8700" w:val="left"/>
        </w:tabs>
        <w:rPr>
          <w:sz w:val="20"/>
          <w:szCs w:val="20"/>
          <w:color w:val="auto"/>
        </w:rPr>
      </w:pPr>
      <w:r>
        <w:rPr>
          <w:rFonts w:ascii="Times New Roman" w:cs="Times New Roman" w:eastAsia="Times New Roman" w:hAnsi="Times New Roman"/>
          <w:sz w:val="25"/>
          <w:szCs w:val="25"/>
          <w:b w:val="1"/>
          <w:bCs w:val="1"/>
          <w:color w:val="auto"/>
        </w:rPr>
        <w:t>Cantor</w:t>
        <w:tab/>
        <w:t>Roth Capital Partners</w:t>
        <w:tab/>
        <w:t>Northland Securities</w:t>
        <w:tab/>
        <w:t>Maxim Group LLC</w:t>
        <w:tab/>
        <w:t>A.G.P.</w:t>
      </w:r>
    </w:p>
    <w:p>
      <w:pPr>
        <w:spacing w:after="0" w:line="200" w:lineRule="exact"/>
        <w:rPr>
          <w:sz w:val="20"/>
          <w:szCs w:val="20"/>
          <w:color w:val="auto"/>
        </w:rPr>
      </w:pPr>
    </w:p>
    <w:p>
      <w:pPr>
        <w:spacing w:after="0" w:line="275" w:lineRule="exact"/>
        <w:rPr>
          <w:sz w:val="20"/>
          <w:szCs w:val="20"/>
          <w:color w:val="auto"/>
        </w:rPr>
      </w:pPr>
    </w:p>
    <w:p>
      <w:pPr>
        <w:jc w:val="cente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The date of this prospectus is</w:t>
      </w:r>
      <w:r>
        <w:rPr>
          <w:sz w:val="20"/>
          <w:szCs w:val="20"/>
          <w:color w:val="auto"/>
        </w:rPr>
        <w:tab/>
      </w:r>
      <w:r>
        <w:rPr>
          <w:rFonts w:ascii="Times New Roman" w:cs="Times New Roman" w:eastAsia="Times New Roman" w:hAnsi="Times New Roman"/>
          <w:sz w:val="17"/>
          <w:szCs w:val="17"/>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560" w:type="dxa"/>
            <w:vAlign w:val="bottom"/>
            <w:gridSpan w:val="8"/>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1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7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52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20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22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30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5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630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9"/>
          </w:tcPr>
          <w:p>
            <w:pPr>
              <w:spacing w:after="0"/>
              <w:rPr>
                <w:sz w:val="17"/>
                <w:szCs w:val="17"/>
                <w:color w:val="auto"/>
              </w:rPr>
            </w:pPr>
          </w:p>
        </w:tc>
        <w:tc>
          <w:tcPr>
            <w:tcW w:w="674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32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5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4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32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96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8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24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356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402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47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on Form with the SEC, under the </w:t>
      </w:r>
      <w:r>
        <w:rPr>
          <w:rFonts w:ascii="Times New Roman" w:cs="Times New Roman" w:eastAsia="Times New Roman" w:hAnsi="Times New Roman"/>
          <w:sz w:val="18"/>
          <w:szCs w:val="18"/>
          <w:u w:val="single" w:color="auto"/>
          <w:color w:val="0067B1"/>
        </w:rPr>
        <w:t>Securities Act</w:t>
      </w:r>
      <w:r>
        <w:rPr>
          <w:rFonts w:ascii="Times New Roman" w:cs="Times New Roman" w:eastAsia="Times New Roman" w:hAnsi="Times New Roman"/>
          <w:sz w:val="18"/>
          <w:szCs w:val="18"/>
          <w:color w:val="auto"/>
        </w:rPr>
        <w:t>, using a “shelf” registration process. Under this prospectus, we may offer and sell up to 48,034,860 Ordinary Shares from time to time through the Sales Agents at prices and on terms to be determined by market conditions at the time of the offering.</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Neither we nor the Sales Agents have authorized anyone to provide any information or to make any representations other than those contained in or incorporated by reference into this prospectus, any accompanying prospectus supplement or any free writing prospectus we have prepared. We and the Sales Agents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the documents incorporated by reference herein or therein,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Bluedot Acquisition</w:t>
      </w:r>
      <w:r>
        <w:rPr>
          <w:rFonts w:ascii="Times New Roman" w:cs="Times New Roman" w:eastAsia="Times New Roman" w:hAnsi="Times New Roman"/>
          <w:sz w:val="18"/>
          <w:szCs w:val="18"/>
          <w:color w:val="auto"/>
        </w:rPr>
        <w:t>" means the acquisition by the Company of the entire issued and to be issued share capital of each Bluedot Industries, Inc., Bluedot Industries Pty. Ltd. and Bluedot Innovation Pty.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Groupby Acquisition</w:t>
      </w:r>
      <w:r>
        <w:rPr>
          <w:rFonts w:ascii="Times New Roman" w:cs="Times New Roman" w:eastAsia="Times New Roman" w:hAnsi="Times New Roman"/>
          <w:sz w:val="18"/>
          <w:szCs w:val="18"/>
          <w:color w:val="auto"/>
        </w:rPr>
        <w:t>" means the acquisition by the Company of the entire issued and to be issued share capital of each of GroupBy Inc., GroupBy International Ltd., GroupBy USA Inc., and GroupBy UK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to commercialize the Rezolve platform by the end of Q4 2025, initially in Europe and the U.S.A. Revenues from brain commerce began in Q3 2025, and we expect them to increase significantly in Q4 2025. We also expect to generate revenues in South America and Asia during Q4 2025. We expect revenues to increase in 2026 through our signed partner agreements with Microsoft, Google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420" w:firstLine="8"/>
        <w:spacing w:after="0" w:line="223" w:lineRule="auto"/>
        <w:tabs>
          <w:tab w:leader="none" w:pos="105"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6" w:name="page37"/>
    <w:bookmarkEnd w:id="36"/>
    <w:p>
      <w:pPr>
        <w:ind w:right="2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financial condition or results of operations would likely be materially adversely affected. These risks include, but are not limited to, the following:</w:t>
      </w:r>
    </w:p>
    <w:p>
      <w:pPr>
        <w:spacing w:after="0" w:line="117" w:lineRule="exact"/>
        <w:rPr>
          <w:sz w:val="20"/>
          <w:szCs w:val="20"/>
          <w:color w:val="auto"/>
        </w:rPr>
      </w:pPr>
    </w:p>
    <w:p>
      <w:pPr>
        <w:ind w:left="1020" w:right="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how to use the net proceeds of this offering, and we may not use these proceeds in a manner desired by our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number of Ordinary Shares sold under the Sales Agreement.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offered hereby will be sold in “at-the-market offerings” and investors who buy Ordinary Shares at different times will likely pay different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immediate and substantial dilution in the book value per Ordinary Share you purchase.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representing a substantial percentage of our outstanding shares may be sold in this offering and such Ordinary Shares will be freely tradable, which could cause the price of the Ordinary Shares to decline.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future dilution as a result of future equity offerings.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87"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basic terms about this offering and the common stock and is not intended to be complete. It may not contain all of the information that is important to you. You should read the more detailed information contained in this prospectus, including but not limited to, the risk factors beginning on page 5 of this prospectus and the other risks described in the annual and periodic reports incorporated by reference herein. The following information is as of November 28, 2025 and does not give effect to issuances of Ordinary Shares after such date.</w:t>
      </w:r>
    </w:p>
    <w:p>
      <w:pPr>
        <w:sectPr>
          <w:pgSz w:w="11900" w:h="16838" w:orient="portrait"/>
          <w:cols w:equalWidth="0" w:num="1">
            <w:col w:w="11220"/>
          </w:cols>
          <w:pgMar w:left="320" w:top="1008" w:right="359" w:bottom="1440" w:gutter="0" w:footer="0" w:header="0"/>
        </w:sectPr>
      </w:pPr>
    </w:p>
    <w:p>
      <w:pPr>
        <w:spacing w:after="0" w:line="182"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Ordinary Shares offered by us in this offering</w:t>
      </w:r>
    </w:p>
    <w:p>
      <w:pPr>
        <w:spacing w:after="0" w:line="162"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Ordinary Shares outstanding prior to this offering</w:t>
      </w:r>
    </w:p>
    <w:p>
      <w:pPr>
        <w:spacing w:after="0" w:line="162" w:lineRule="exact"/>
        <w:rPr>
          <w:sz w:val="20"/>
          <w:szCs w:val="20"/>
          <w:color w:val="auto"/>
        </w:rPr>
      </w:pPr>
    </w:p>
    <w:p>
      <w:pPr>
        <w:ind w:left="20" w:right="460"/>
        <w:spacing w:after="0" w:line="312" w:lineRule="auto"/>
        <w:rPr>
          <w:sz w:val="20"/>
          <w:szCs w:val="20"/>
          <w:color w:val="auto"/>
        </w:rPr>
      </w:pPr>
      <w:r>
        <w:rPr>
          <w:rFonts w:ascii="Times New Roman" w:cs="Times New Roman" w:eastAsia="Times New Roman" w:hAnsi="Times New Roman"/>
          <w:sz w:val="17"/>
          <w:szCs w:val="17"/>
          <w:color w:val="auto"/>
        </w:rPr>
        <w:t>Ordinary Shares outstanding immediately after this offering</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48,034,860 Ordinary Shares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323,806,274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371,841,134, assuming sales of up to 48,034,860 Ordinary Shares in this offering</w:t>
      </w:r>
    </w:p>
    <w:p>
      <w:pPr>
        <w:spacing w:after="0" w:line="200" w:lineRule="exact"/>
        <w:rPr>
          <w:sz w:val="20"/>
          <w:szCs w:val="20"/>
          <w:color w:val="auto"/>
        </w:rPr>
      </w:pPr>
    </w:p>
    <w:p>
      <w:pPr>
        <w:spacing w:after="0" w:line="2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or to the Sales Agents, as sales agents or principals.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acquisitions or strategic investments in complementary businesses or technologies, working capital, operating expenses and capital expenditures</w:t>
      </w:r>
    </w:p>
    <w:p>
      <w:pPr>
        <w:spacing w:after="0" w:line="174" w:lineRule="exact"/>
        <w:rPr>
          <w:sz w:val="20"/>
          <w:szCs w:val="20"/>
          <w:color w:val="auto"/>
        </w:rPr>
      </w:pPr>
    </w:p>
    <w:p>
      <w:pPr>
        <w:sectPr>
          <w:pgSz w:w="11900" w:h="16838" w:orient="portrait"/>
          <w:cols w:equalWidth="0" w:num="2">
            <w:col w:w="2680" w:space="380"/>
            <w:col w:w="8160"/>
          </w:cols>
          <w:pgMar w:left="320" w:top="1008" w:right="35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Nasdaq symbol for our Ordinary Shares</w:t>
      </w:r>
    </w:p>
    <w:p>
      <w:pPr>
        <w:spacing w:after="0" w:line="20" w:lineRule="exact"/>
        <w:rPr>
          <w:sz w:val="20"/>
          <w:szCs w:val="20"/>
          <w:color w:val="auto"/>
        </w:rPr>
      </w:pPr>
      <w:r>
        <w:rPr>
          <w:sz w:val="20"/>
          <w:szCs w:val="20"/>
          <w:color w:val="auto"/>
        </w:rPr>
        <w:br w:type="column"/>
      </w:r>
    </w:p>
    <w:p>
      <w:pPr>
        <w:ind w:right="60"/>
        <w:spacing w:after="0" w:line="267"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5 of this prospectus and other information included in this prospectus and in the documents incorporated by reference herein for a discussion of factors that you should consider carefully before deciding to invest in the Ordinary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479" w:lineRule="exact"/>
        <w:rPr>
          <w:sz w:val="20"/>
          <w:szCs w:val="20"/>
          <w:color w:val="auto"/>
        </w:rPr>
      </w:pPr>
    </w:p>
    <w:p>
      <w:pPr>
        <w:sectPr>
          <w:pgSz w:w="11900" w:h="16838" w:orient="portrait"/>
          <w:cols w:equalWidth="0" w:num="2">
            <w:col w:w="2360" w:space="700"/>
            <w:col w:w="8160"/>
          </w:cols>
          <w:pgMar w:left="320" w:top="1008" w:right="35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Commission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how to use the net proceeds of this offering, and we may not use these proceeds in a manner desired by our investors.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have broad discretion as to the use of the net proceeds from this offering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needs may change as the business and the industry that we address evolves. As a result, the proceeds to be received in this offering may be used in a manner significantly different from our current expectations. It is possible that the proceeds will be invested in a way that does not yield a favorable, or any, return. The failure of our management to use such funds effectively could have a material adverse effect on our business, financial condition, operating results and cash flow.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number of Ordinary Shares sold under the Sales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Agents at any time throughout the term of the Sales Agreement. The number of Ordinary Shares that are sold through the Sales Agents after our delivery of a placement notice will fluctuate based on a number of factors, including the market price of the Ordinary Shares during the sales period, any limits we may set with the Sales Agents in any applicable placement notice and the demand for the Ordinary Shares. We may choose to sell a lower number of Ordinary Shares than the 48,034,860 Ordinary Shares set forth on the cover of this prospectus.</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Ordinary Shares offered hereby will be sold in “at-the-market offerings” and investors who buy Ordinary Shares at different times will likely pay different prices.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who purchase Ordinary Shares in this offering at different times likely will pay different prices, and accordingly may experience different levels of dilution and different outcomes in their investment results. We will have discretion, subject to market demand, to vary the timing, prices and number of Ordinary Shares sold in this offering. In addition, subject to the final determination by our board of directors or any restrictions we may place in any applicable placement notice, there is no minimum or maximum sales price for the Ordinary Shares to be sold in this offering. Investors may experience a decline in the value of the Ordinary Shares they purchase in this offering as a result of sales made at prices lower than the prices they paid.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book value per Ordinary Share you purchase.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offering price per Ordinary Share in this offering may exceed the net tangible book value per Ordinary Share outstanding prior to this offering. Because the sales of the Ordinary Share offered hereby will be made directly into the market, the prices at which we sell these Ordinary Shares will vary and these variations may be significant. Purchasers of the Ordinary Shares we sell, as well as holders of our existing Ordinary Shares will experience significant dilution if we sell Ordinary Shares at prices significantly below the price at which they invested.</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Ordinary Shares representing a substantial percentage of our outstanding shares may be sold in this offering and such Ordinary Shares will be freely tradable, which could cause the price of the Ordinary Shares to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substantial number of the Ordinary Shares may be sold in the public market in this offering, and all of the Ordinary Shares sold in the offering will be freely tradable without restriction or further registration under the </w:t>
      </w:r>
      <w:r>
        <w:rPr>
          <w:rFonts w:ascii="Times New Roman" w:cs="Times New Roman" w:eastAsia="Times New Roman" w:hAnsi="Times New Roman"/>
          <w:sz w:val="18"/>
          <w:szCs w:val="18"/>
          <w:u w:val="single" w:color="auto"/>
          <w:color w:val="0067B1"/>
        </w:rPr>
        <w:t>Securities Act</w:t>
      </w:r>
      <w:r>
        <w:rPr>
          <w:rFonts w:ascii="Times New Roman" w:cs="Times New Roman" w:eastAsia="Times New Roman" w:hAnsi="Times New Roman"/>
          <w:sz w:val="18"/>
          <w:szCs w:val="18"/>
          <w:color w:val="auto"/>
        </w:rPr>
        <w:t>. These sales, and any future sales of a substantial number of Ordinary Shares in the public market, or the perception that such sales may occur, may cause the market price of the Ordinary Shares to decline. This could make it more difficult for you to sell your Ordinary Shares at a time and price that you deem appropriate and could impair our ability to raise capital through the sale of additional equity securities.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Ordinary Shares or other securities convertible into or exchangeable for our Ordinary Shares at prices that may not be the same as the price per Ordinary Share in this offering. We may sell Ordinary Shares or other securities in any other offering at a price that is less than the price paid by investors in this offering, and investors purchasing Ordinary Shares or other securities in the future could have rights superior to the rights of holders of Ordinary Shares, including investors who purchase Ordinary Shares in this offering pursuant to sales by us under the Sales Agreement. The price at which we sell Ordinary Shares or securities convertible or exchangeable into Ordinary Shares, in future transactions may be higher or lower than the price per Ordinary Share paid by investors in this offering.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may issue and sell up to 48,034,860 Ordinary Shares from time to time under this prospectus. The amount of proceeds from this offering will depend upon the aggregate number of Ordinary Shares sold and the market price at which they are sold. There can be no assurance that we will be able to sell any Ordinary Shares under this offering, nor are the actual proceeds to us from this offering currently determinable.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use the net proceeds from this offering, if any, for general corporate purposes, which may include acquisitions or strategic investments in complementary businesses or technologies, working capital, operating expenses and capital expenditures.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“Risk Factors” located elsewhere in this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2025:</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private placement in July 2025 of 20,000,000 Ordinary Shares for aggregate gross proceeds of approximately $50 million, before deducting placement agent fees and other offering expenses, (iii) the private placement in September 2025 of 37,000,000 Ordinary Shares for aggregate gross proceeds of approximately $200 million, before deducting placement agent fees and other offering expenses, and (iii) the assumed sale of an aggregate of 48,034,860 Ordinary Shares in this offering at a public offering price of $2.98, the last reported sale price of our ordinary shares on Nasdaq on November 26, 2025, for aggregate gross proceeds of approximately $143,143,883 after deducting estimated commissions and offering expenses payable by us as if such events had occurred on June 30, 2025.</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17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PIPE funding</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ATM</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394"/>
              <w:spacing w:after="0" w:line="118" w:lineRule="exact"/>
              <w:rPr>
                <w:sz w:val="20"/>
                <w:szCs w:val="20"/>
                <w:color w:val="auto"/>
              </w:rPr>
            </w:pPr>
            <w:r>
              <w:rPr>
                <w:rFonts w:ascii="Times New Roman" w:cs="Times New Roman" w:eastAsia="Times New Roman" w:hAnsi="Times New Roman"/>
                <w:sz w:val="13"/>
                <w:szCs w:val="13"/>
                <w:b w:val="1"/>
                <w:bCs w:val="1"/>
                <w:color w:val="auto"/>
              </w:rPr>
              <w:t>Proforma</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9,857,390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237,927,000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7"/>
              </w:rPr>
              <w:t>138,849,567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386,633,957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259,066,638 shares issued and</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 341,476,136 shares authorized as of</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33,394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7,638</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6,437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47,469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302,123,036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237,919,362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138,843,130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678,885,528</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(316,062,263)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(316,062,263)</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(381,878)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(381,878)</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(14,289,819)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237,927,000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138,849,567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362,486,748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(14,289,819)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237,927,000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138,849,567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362,486,748</w:t>
            </w:r>
          </w:p>
        </w:tc>
        <w:tc>
          <w:tcPr>
            <w:tcW w:w="0" w:type="dxa"/>
            <w:vAlign w:val="bottom"/>
          </w:tcPr>
          <w:p>
            <w:pPr>
              <w:spacing w:after="0"/>
              <w:rPr>
                <w:sz w:val="1"/>
                <w:szCs w:val="1"/>
                <w:color w:val="auto"/>
              </w:rPr>
            </w:pPr>
          </w:p>
        </w:tc>
      </w:tr>
      <w:tr>
        <w:trPr>
          <w:trHeight w:val="520"/>
        </w:trPr>
        <w:tc>
          <w:tcPr>
            <w:tcW w:w="52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-1156970</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-1156970</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-1156970</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-864870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-847725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-864870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-847725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-864870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-847725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invest in the Ordinary Shares being offered by this prospectus, you will suffer immediate dilution in the net tangible book value per ordinary share. Our net tangible book value as of June 30, 2025 was approximately $67.6 million, or approximately $(0.26) per share. Net tangible book value per share represents our total tangible assets less total liabilities, divided by the number of Ordinary Shares outstanding as of June 30,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Dilution in net tangible book value per share represents the difference between the offering price per share paid by new investors participating in this offering and the net tangible book value per share of our Ordinary Shares immediately after this offering. After giving effect to the sale by us of Ordinary Shares in this offering, assuming that an aggregate of 48,034,860 Ordinary Shares are sold at a public offering price of $2.98 per share, the last reported sale price of our Ordinary Shares on Nasdaq on November 26, 2025 for aggregate gross proceeds of approximately $143,143,883, and after deducting the estimated commissions and estimated offering expenses payable by us, our adjusted net tangible book value as of June 30, 2025 would have been approximately $71.3 million, or approximately $0.23 per share. This represents an immediate increase of $0.49 in net tangible book value per share to our existing shareholders and an immediate dilution of $2.75 per share to new investors of Ordinary Shares in this offering. The following table illustrates this per share dilution: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offering price per share of common stock and accompanying Offering Warrant</w:t>
            </w:r>
          </w:p>
        </w:tc>
        <w:tc>
          <w:tcPr>
            <w:tcW w:w="25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2025</w:t>
            </w:r>
          </w:p>
        </w:tc>
        <w:tc>
          <w:tcPr>
            <w:tcW w:w="25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(0.26)</w:t>
            </w:r>
          </w:p>
        </w:tc>
        <w:tc>
          <w:tcPr>
            <w:tcW w:w="10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tangible book value per share after giving effect to this offering</w:t>
            </w:r>
          </w:p>
        </w:tc>
        <w:tc>
          <w:tcPr>
            <w:tcW w:w="2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Increase per share attributable to investors participating in this offering</w:t>
            </w:r>
          </w:p>
        </w:tc>
        <w:tc>
          <w:tcPr>
            <w:tcW w:w="25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25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to be outstanding after this offering is based on the number of Ordinary shares outstanding as of November 28, 2025, and excludes the following:</w:t>
      </w:r>
    </w:p>
    <w:p>
      <w:pPr>
        <w:spacing w:after="0" w:line="54" w:lineRule="exact"/>
        <w:rPr>
          <w:sz w:val="20"/>
          <w:szCs w:val="20"/>
          <w:color w:val="auto"/>
        </w:rPr>
      </w:pPr>
    </w:p>
    <w:p>
      <w:pPr>
        <w:ind w:left="5580" w:right="4520" w:hanging="5063"/>
        <w:spacing w:after="0" w:line="657" w:lineRule="auto"/>
        <w:tabs>
          <w:tab w:leader="none" w:pos="10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8,069,976 Ordinary Shares issuable upon the exercise of outstanding Warrants.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4" w:name="page45"/>
    <w:bookmarkEnd w:id="44"/>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ind w:right="140"/>
        <w:spacing w:after="0" w:line="266" w:lineRule="auto"/>
        <w:rPr>
          <w:sz w:val="20"/>
          <w:szCs w:val="20"/>
          <w:color w:val="auto"/>
        </w:rPr>
      </w:pPr>
      <w:r>
        <w:rPr>
          <w:rFonts w:ascii="Times New Roman" w:cs="Times New Roman" w:eastAsia="Times New Roman" w:hAnsi="Times New Roman"/>
          <w:sz w:val="18"/>
          <w:szCs w:val="18"/>
          <w:color w:val="auto"/>
        </w:rPr>
        <w:t>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47" w:name="page48"/>
    <w:bookmarkEnd w:id="47"/>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9" w:name="page50"/>
    <w:bookmarkEnd w:id="49"/>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0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5540" w:right="4320" w:hanging="5023"/>
        <w:spacing w:after="0" w:line="407" w:lineRule="auto"/>
        <w:tabs>
          <w:tab w:leader="none" w:pos="10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1" w:name="page52"/>
    <w:bookmarkEnd w:id="51"/>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 Sales Agreement with the Sales Agents under which we may issue and sell up to 48,034,860 Ordinary Shares from time to time through or to the Sales Agents, as sales agents or principals. Subject to the terms of a placement notice, the designated Sales Agent may sell the Ordinary Shares by any method permitted by law deemed to be an “at the market offering” as defined in Rule 415(a)(4) of the Securities Act Regulations or in negotiated transactions, which may include block trades, at market prices prevailing at the time of sale, at prices related to prevailing market prices or at negotiated prices. As of November 28, 2025, we have not sold any Ordinary Shares under the Sales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the designated Sales Agent will use its commercially reasonable efforts, consistent with its sales and trading practices, to solicit offers to purchase the Ordinary Shares subject to the terms and conditions of the Sales Agreement on a daily basis or as otherwise agreed upon by us and the designated Sales Agent. We will designate the maximum number or amount of Ordinary Shares to be sold through the designated Sales Agent on a daily basis or otherwise determine such maximum number or amount together with the designated Sales Agent. Subject to the terms and conditions of the Sales Agreement, the Sales Agents will use commercially reasonable efforts consistent with their normal trading and sales practices to sell on our behalf all of the Ordinary Shares requested to be sold by us. We may instruct the Sales Agents not to sell Ordinary Shares if the sales cannot be effected at or above a minimum price designated by us in any such instruction. The Sales Agents or we may suspend the offering of the Ordinary Shares being made under the Sales Agreement upon proper notice to the other parties. The Sales Agents and we each have the right, by giving written notice as specified in the Sales Agreement, to terminate the Sales Agreement at each party’s sole discretion at any time. The offering of the Ordinary Shares pursuant to the Sales Agreement will otherwise terminate upon the termination of the Sales Agreement as provided therein.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payable to the Sales Agents will be an amount of up to 3.0% of the gross proceeds of any Ordinary Shares sold through it pursuant to the Sales Agreement and we will reimburse the Sales Agents for certain expenses, including fees and disbursements of legal counsel in an amount not to exceed (a) $75,000 in connection with the execution of the Sales Agreement and (b) $25,000 per calendar quarter thereafter payable in connection with each representation date with respect to which the Company is obligated to deliver certificates pursuant to the terms of the Sales Agreement. In accordance with Financial Industry Regulatory Authority, Inc. Rule 5110, these reimbursed fees and expenses are deemed sales compensation to the Sales Agents in connection with this offering. We estimate that the total expenses of the offering payable by us, excluding compensation and reimbursement payable to the Sales Agents under the Sales Agreement, will be approximately $350,000.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of the Ordinary Shares, will equal our net proceeds for the sale of such Ordinary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Agents will provide written confirmation to us no later than the next succeeding trading day on Nasdaq after each such day on which the Ordinary Shares are sold under the Sales Agreement. Each confirmation will include the amount or number of Ordinary Shares sold on that day and the net proceeds to us from such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for sales of Ordinary Shares will occur, unless the parties agree otherwise, on the first trading day following the date on which any sales were made in return for payment of the net proceeds to us. There is no arrangement for funds to be received in an escrow, trust or similar arrangement. We will report at least biannually the number of Ordinary Shares sold through the Sales Agents under the Sales Agreement, the net proceeds to us and the compensation paid by us to the Sales Agents in connection with the sales of shares of Ordinary Shares during the relevant period.</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Ordinary Shares on our behalf pursuant to the Sales Agreement, the Sales Agents will be deemed to be “underwriters” within the meaning of the Securities Act and the compensation paid to the Sales Agents will be deemed to be underwriting commissions or discounts. We have agreed in the Sales Agreement to provide indemnification and contribution to the Sales Agents with respect to certain liabilities, including liabilities under the Securities Act or the Exchange Act. As a Sales Agents, the Sales Agents will not engage in any transactions that stabilize the Ordinary Shares.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forms a part.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included in this prospectus.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5" w:name="page56"/>
    <w:bookmarkEnd w:id="5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8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center"/>
              <w:ind w:right="3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8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ind w:right="3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6" w:name="page57"/>
    <w:bookmarkEnd w:id="56"/>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 Duane Morris LLP , New York, New York is acting as counsel for the Agents in connection with this offering.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1">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9"/>
        </w:numPr>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auto"/>
          </w:rPr>
          <w:t xml:space="preserve">our Report of Foreign Private Issuer on Form 6-K filed with the SEC on </w:t>
        </w:r>
        <w:r>
          <w:rPr>
            <w:rFonts w:ascii="Times New Roman" w:cs="Times New Roman" w:eastAsia="Times New Roman" w:hAnsi="Times New Roman"/>
            <w:sz w:val="18"/>
            <w:szCs w:val="18"/>
            <w:u w:val="single" w:color="auto"/>
            <w:color w:val="0000FF"/>
          </w:rPr>
          <w:t>January 29,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31,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15,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24, 2025, September 24,</w:t>
        </w:r>
      </w:hyperlink>
      <w:r>
        <w:rPr>
          <w:rFonts w:ascii="Times New Roman" w:cs="Times New Roman" w:eastAsia="Times New Roman" w:hAnsi="Times New Roman"/>
          <w:sz w:val="18"/>
          <w:szCs w:val="18"/>
          <w:color w:val="0000FF"/>
        </w:rPr>
        <w:t xml:space="preserve"> </w:t>
      </w:r>
      <w:hyperlink r:id="rId43">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4">
        <w:r>
          <w:rPr>
            <w:rFonts w:ascii="Times New Roman" w:cs="Times New Roman" w:eastAsia="Times New Roman" w:hAnsi="Times New Roman"/>
            <w:sz w:val="18"/>
            <w:szCs w:val="18"/>
            <w:u w:val="single" w:color="auto"/>
            <w:color w:val="0000FF"/>
          </w:rPr>
          <w:t>September 26, 2025</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5">
        <w:r>
          <w:rPr>
            <w:rFonts w:ascii="Times New Roman" w:cs="Times New Roman" w:eastAsia="Times New Roman" w:hAnsi="Times New Roman"/>
            <w:sz w:val="18"/>
            <w:szCs w:val="18"/>
            <w:u w:val="single" w:color="auto"/>
            <w:color w:val="0000FF"/>
          </w:rPr>
          <w:t>October 1, 2025</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6">
        <w:r>
          <w:rPr>
            <w:rFonts w:ascii="Times New Roman" w:cs="Times New Roman" w:eastAsia="Times New Roman" w:hAnsi="Times New Roman"/>
            <w:sz w:val="18"/>
            <w:szCs w:val="18"/>
            <w:u w:val="single" w:color="auto"/>
            <w:color w:val="0000FF"/>
          </w:rPr>
          <w:t>October 6, 2025</w:t>
        </w:r>
      </w:hyperlink>
      <w:hyperlink r:id="rId4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47">
        <w:r>
          <w:rPr>
            <w:rFonts w:ascii="Times New Roman" w:cs="Times New Roman" w:eastAsia="Times New Roman" w:hAnsi="Times New Roman"/>
            <w:sz w:val="18"/>
            <w:szCs w:val="18"/>
            <w:u w:val="single" w:color="auto"/>
            <w:color w:val="0000FF"/>
          </w:rPr>
          <w:t xml:space="preserve">October 10, 2025 </w:t>
        </w:r>
      </w:hyperlink>
      <w:hyperlink r:id="rId4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48">
        <w:r>
          <w:rPr>
            <w:rFonts w:ascii="Times New Roman" w:cs="Times New Roman" w:eastAsia="Times New Roman" w:hAnsi="Times New Roman"/>
            <w:sz w:val="18"/>
            <w:szCs w:val="18"/>
            <w:u w:val="single" w:color="auto"/>
            <w:color w:val="0000FF"/>
          </w:rPr>
          <w:t>October 22, 2025</w:t>
        </w:r>
      </w:hyperlink>
      <w:hyperlink r:id="rId43">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FF"/>
        </w:rPr>
      </w:pPr>
    </w:p>
    <w:p>
      <w:pPr>
        <w:ind w:left="1020" w:right="5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49">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315"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9" w:name="page60"/>
    <w:bookmarkEnd w:id="59"/>
    <w:p>
      <w:pPr>
        <w:ind w:left="4720"/>
        <w:spacing w:after="0"/>
        <w:rPr>
          <w:sz w:val="20"/>
          <w:szCs w:val="20"/>
          <w:color w:val="auto"/>
        </w:rPr>
      </w:pPr>
      <w:r>
        <w:rPr>
          <w:rFonts w:ascii="Times New Roman" w:cs="Times New Roman" w:eastAsia="Times New Roman" w:hAnsi="Times New Roman"/>
          <w:sz w:val="29"/>
          <w:szCs w:val="29"/>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Up to 48,034,860</w:t>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080" w:val="left"/>
          <w:tab w:leader="none" w:pos="3780" w:val="left"/>
          <w:tab w:leader="none" w:pos="6320" w:val="left"/>
          <w:tab w:leader="none" w:pos="8760" w:val="left"/>
        </w:tabs>
        <w:rPr>
          <w:sz w:val="20"/>
          <w:szCs w:val="20"/>
          <w:color w:val="auto"/>
        </w:rPr>
      </w:pPr>
      <w:r>
        <w:rPr>
          <w:rFonts w:ascii="Times New Roman" w:cs="Times New Roman" w:eastAsia="Times New Roman" w:hAnsi="Times New Roman"/>
          <w:sz w:val="25"/>
          <w:szCs w:val="25"/>
          <w:b w:val="1"/>
          <w:bCs w:val="1"/>
          <w:color w:val="auto"/>
        </w:rPr>
        <w:t>Cantor</w:t>
        <w:tab/>
        <w:t>Roth Capital Partners</w:t>
        <w:tab/>
        <w:t>Northland Securities</w:t>
        <w:tab/>
        <w:t>Maxim Group LLC</w:t>
        <w:tab/>
        <w:t>A.G.P.</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3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68" w:right="1440" w:bottom="1440" w:gutter="0" w:footer="0" w:header="0"/>
        </w:sectPr>
      </w:pPr>
    </w:p>
    <w:bookmarkStart w:id="60" w:name="page61"/>
    <w:bookmarkEnd w:id="60"/>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1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10000" w:type="dxa"/>
            <w:vAlign w:val="bottom"/>
            <w:tcBorders>
              <w:top w:val="single" w:sz="8" w:color="auto"/>
              <w:right w:val="single" w:sz="8" w:color="auto"/>
            </w:tcBorders>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14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20" w:type="dxa"/>
            <w:vAlign w:val="bottom"/>
            <w:tcBorders>
              <w:bottom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280" w:type="dxa"/>
            <w:vAlign w:val="bottom"/>
            <w:tcBorders>
              <w:right w:val="single" w:sz="8" w:color="auto"/>
            </w:tcBorders>
            <w:gridSpan w:val="6"/>
          </w:tcPr>
          <w:p>
            <w:pPr>
              <w:spacing w:after="0"/>
              <w:rPr>
                <w:sz w:val="13"/>
                <w:szCs w:val="13"/>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700" w:type="dxa"/>
            <w:vAlign w:val="bottom"/>
            <w:tcBorders>
              <w:right w:val="single" w:sz="8" w:color="auto"/>
            </w:tcBorders>
            <w:gridSpan w:val="17"/>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4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66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Rezolve and Rezolve Merger Sub (incorporated by reference to Exhibit 2.2 of Rezolve AI Limited’s Registration Statement on Form F-</w:t>
              </w:r>
            </w:hyperlink>
          </w:p>
        </w:tc>
        <w:tc>
          <w:tcPr>
            <w:tcW w:w="220" w:type="dxa"/>
            <w:vAlign w:val="bottom"/>
            <w:tcBorders>
              <w:right w:val="single" w:sz="8" w:color="auto"/>
            </w:tcBorders>
            <w:gridSpan w:val="4"/>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4, Amendment No. 2, filed with the SEC on September 25, 2023).</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340" w:type="dxa"/>
            <w:vAlign w:val="bottom"/>
            <w:tcBorders>
              <w:right w:val="single" w:sz="8" w:color="auto"/>
            </w:tcBorders>
            <w:gridSpan w:val="7"/>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380" w:type="dxa"/>
            <w:vAlign w:val="bottom"/>
            <w:tcBorders>
              <w:right w:val="single" w:sz="8" w:color="auto"/>
            </w:tcBorders>
            <w:gridSpan w:val="9"/>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460" w:type="dxa"/>
            <w:vAlign w:val="bottom"/>
            <w:tcBorders>
              <w:right w:val="single" w:sz="8" w:color="auto"/>
            </w:tcBorders>
            <w:gridSpan w:val="1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1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740" w:type="dxa"/>
            <w:vAlign w:val="bottom"/>
            <w:tcBorders>
              <w:bottom w:val="single" w:sz="8" w:color="A0A0A0"/>
            </w:tcBorders>
          </w:tcPr>
          <w:p>
            <w:pPr>
              <w:spacing w:after="0"/>
              <w:rPr>
                <w:sz w:val="18"/>
                <w:szCs w:val="18"/>
                <w:color w:val="auto"/>
              </w:rPr>
            </w:pPr>
          </w:p>
        </w:tc>
        <w:tc>
          <w:tcPr>
            <w:tcW w:w="1240" w:type="dxa"/>
            <w:vAlign w:val="bottom"/>
            <w:tcBorders>
              <w:bottom w:val="single" w:sz="8" w:color="A0A0A0"/>
            </w:tcBorders>
          </w:tcPr>
          <w:p>
            <w:pPr>
              <w:spacing w:after="0"/>
              <w:rPr>
                <w:sz w:val="18"/>
                <w:szCs w:val="18"/>
                <w:color w:val="auto"/>
              </w:rPr>
            </w:pPr>
          </w:p>
        </w:tc>
        <w:tc>
          <w:tcPr>
            <w:tcW w:w="18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340" w:type="dxa"/>
            <w:vAlign w:val="bottom"/>
            <w:tcBorders>
              <w:bottom w:val="single" w:sz="8" w:color="A0A0A0"/>
            </w:tcBorders>
          </w:tcPr>
          <w:p>
            <w:pPr>
              <w:spacing w:after="0"/>
              <w:rPr>
                <w:sz w:val="18"/>
                <w:szCs w:val="18"/>
                <w:color w:val="auto"/>
              </w:rPr>
            </w:pPr>
          </w:p>
        </w:tc>
        <w:tc>
          <w:tcPr>
            <w:tcW w:w="1040" w:type="dxa"/>
            <w:vAlign w:val="bottom"/>
            <w:tcBorders>
              <w:bottom w:val="single" w:sz="8" w:color="A0A0A0"/>
            </w:tcBorders>
          </w:tcPr>
          <w:p>
            <w:pPr>
              <w:spacing w:after="0"/>
              <w:rPr>
                <w:sz w:val="18"/>
                <w:szCs w:val="18"/>
                <w:color w:val="auto"/>
              </w:rPr>
            </w:pPr>
          </w:p>
        </w:tc>
        <w:tc>
          <w:tcPr>
            <w:tcW w:w="1000" w:type="dxa"/>
            <w:vAlign w:val="bottom"/>
            <w:tcBorders>
              <w:bottom w:val="single" w:sz="8" w:color="A0A0A0"/>
            </w:tcBorders>
          </w:tcPr>
          <w:p>
            <w:pPr>
              <w:spacing w:after="0"/>
              <w:rPr>
                <w:sz w:val="18"/>
                <w:szCs w:val="18"/>
                <w:color w:val="auto"/>
              </w:rPr>
            </w:pPr>
          </w:p>
        </w:tc>
        <w:tc>
          <w:tcPr>
            <w:tcW w:w="1140" w:type="dxa"/>
            <w:vAlign w:val="bottom"/>
            <w:tcBorders>
              <w:bottom w:val="single" w:sz="8" w:color="A0A0A0"/>
            </w:tcBorders>
          </w:tcPr>
          <w:p>
            <w:pPr>
              <w:spacing w:after="0"/>
              <w:rPr>
                <w:sz w:val="18"/>
                <w:szCs w:val="18"/>
                <w:color w:val="auto"/>
              </w:rPr>
            </w:pPr>
          </w:p>
        </w:tc>
        <w:tc>
          <w:tcPr>
            <w:tcW w:w="4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580" w:type="dxa"/>
            <w:vAlign w:val="bottom"/>
            <w:tcBorders>
              <w:bottom w:val="single" w:sz="8" w:color="A0A0A0"/>
            </w:tcBorders>
          </w:tcPr>
          <w:p>
            <w:pPr>
              <w:spacing w:after="0"/>
              <w:rPr>
                <w:sz w:val="18"/>
                <w:szCs w:val="18"/>
                <w:color w:val="auto"/>
              </w:rPr>
            </w:pPr>
          </w:p>
        </w:tc>
        <w:tc>
          <w:tcPr>
            <w:tcW w:w="560" w:type="dxa"/>
            <w:vAlign w:val="bottom"/>
            <w:tcBorders>
              <w:bottom w:val="single" w:sz="8" w:color="A0A0A0"/>
            </w:tcBorders>
          </w:tcPr>
          <w:p>
            <w:pPr>
              <w:spacing w:after="0"/>
              <w:rPr>
                <w:sz w:val="18"/>
                <w:szCs w:val="18"/>
                <w:color w:val="auto"/>
              </w:rPr>
            </w:pPr>
          </w:p>
        </w:tc>
        <w:tc>
          <w:tcPr>
            <w:tcW w:w="1400" w:type="dxa"/>
            <w:vAlign w:val="bottom"/>
            <w:tcBorders>
              <w:bottom w:val="single" w:sz="8" w:color="A0A0A0"/>
            </w:tcBorders>
          </w:tcPr>
          <w:p>
            <w:pPr>
              <w:spacing w:after="0"/>
              <w:rPr>
                <w:sz w:val="18"/>
                <w:szCs w:val="18"/>
                <w:color w:val="auto"/>
              </w:rPr>
            </w:pPr>
          </w:p>
        </w:tc>
        <w:tc>
          <w:tcPr>
            <w:tcW w:w="1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tcPr>
          <w:p>
            <w:pPr>
              <w:spacing w:after="0"/>
              <w:rPr>
                <w:sz w:val="18"/>
                <w:szCs w:val="18"/>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988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Trust Company, N.A. (incorporated by reference to Exhibit 4.3 of Rezolve AI Limited’s Shell Company Report on Form 20-F, filed with</w:t>
              </w:r>
            </w:hyperlink>
          </w:p>
        </w:tc>
        <w:tc>
          <w:tcPr>
            <w:tcW w:w="120" w:type="dxa"/>
            <w:vAlign w:val="bottom"/>
            <w:tcBorders>
              <w:right w:val="single" w:sz="8" w:color="auto"/>
            </w:tcBorders>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4"/>
                <w:szCs w:val="14"/>
                <w:color w:val="auto"/>
              </w:rPr>
            </w:pPr>
          </w:p>
        </w:tc>
        <w:tc>
          <w:tcPr>
            <w:tcW w:w="92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800" w:type="dxa"/>
            <w:vAlign w:val="bottom"/>
            <w:tcBorders>
              <w:right w:val="single" w:sz="8" w:color="auto"/>
            </w:tcBorders>
            <w:gridSpan w:val="2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560" w:type="dxa"/>
            <w:vAlign w:val="bottom"/>
            <w:tcBorders>
              <w:right w:val="single" w:sz="8" w:color="auto"/>
            </w:tcBorders>
            <w:gridSpan w:val="1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4"/>
                <w:szCs w:val="14"/>
                <w:color w:val="auto"/>
              </w:rPr>
            </w:pPr>
          </w:p>
        </w:tc>
        <w:tc>
          <w:tcPr>
            <w:tcW w:w="964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360" w:type="dxa"/>
            <w:vAlign w:val="bottom"/>
            <w:tcBorders>
              <w:right w:val="single" w:sz="8" w:color="auto"/>
            </w:tcBorders>
            <w:gridSpan w:val="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4"/>
                <w:szCs w:val="14"/>
                <w:color w:val="auto"/>
              </w:rPr>
            </w:pPr>
          </w:p>
        </w:tc>
        <w:tc>
          <w:tcPr>
            <w:tcW w:w="976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240" w:type="dxa"/>
            <w:vAlign w:val="bottom"/>
            <w:tcBorders>
              <w:right w:val="single" w:sz="8" w:color="auto"/>
            </w:tcBorders>
            <w:gridSpan w:val="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sz w:val="20"/>
                <w:szCs w:val="20"/>
                <w:color w:val="auto"/>
              </w:rPr>
            </w:pPr>
            <w:r>
              <w:rPr>
                <w:rFonts w:ascii="Times New Roman" w:cs="Times New Roman" w:eastAsia="Times New Roman" w:hAnsi="Times New Roman"/>
                <w:sz w:val="18"/>
                <w:szCs w:val="18"/>
                <w:color w:val="0000FF"/>
              </w:rPr>
              <w:t>Opinion of Taylor Wessing LLP.</w:t>
            </w:r>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on December 18, 2023 and December 29, 2023 (incorporated by reference to Exhibit 10.17 of Rezolve AI</w:t>
              </w:r>
            </w:hyperlink>
          </w:p>
        </w:tc>
        <w:tc>
          <w:tcPr>
            <w:tcW w:w="720" w:type="dxa"/>
            <w:vAlign w:val="bottom"/>
            <w:tcBorders>
              <w:right w:val="single" w:sz="8" w:color="auto"/>
            </w:tcBorders>
            <w:gridSpan w:val="18"/>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Limited’s Registration Statement on Form F-4, Amendment No. 6, filed with the SEC on June 11,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Binding Term Sheet, dated August 30, 2021,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reference to Exhibit 10.18 of Rezolve AI Limited’s Registration Statement on Form F-4, Amendment No. 5, filed with the SEC on May</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20,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89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Amendment to Binding Term Sheet, dated May 24, 2023, by and among Rezolve, Radio Group and the other parties thereto</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(incorporated by reference to Exhibit 10.19 of Rezolve AI Limited’s Registration Statement on Form F-4, Amendment No. 5, filed with</w:t>
              </w:r>
            </w:hyperlink>
          </w:p>
        </w:tc>
        <w:tc>
          <w:tcPr>
            <w:tcW w:w="180" w:type="dxa"/>
            <w:vAlign w:val="bottom"/>
            <w:tcBorders>
              <w:right w:val="single" w:sz="8" w:color="auto"/>
            </w:tcBorders>
            <w:gridSpan w:val="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94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Agreement in Context of the Binding Term Sheet, dated May 24, 2023, by and among Rezolve, Radio Group and the other parties</w:t>
              </w:r>
            </w:hyperlink>
          </w:p>
        </w:tc>
        <w:tc>
          <w:tcPr>
            <w:tcW w:w="580" w:type="dxa"/>
            <w:vAlign w:val="bottom"/>
            <w:tcBorders>
              <w:right w:val="single" w:sz="8" w:color="auto"/>
            </w:tcBorders>
            <w:gridSpan w:val="14"/>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thereto (incorporated by reference to Exhibit 10.20 of Rezolve AI Limited’s Registration Statement on Form F-4, Amendment No. 6,</w:t>
              </w:r>
            </w:hyperlink>
          </w:p>
        </w:tc>
        <w:tc>
          <w:tcPr>
            <w:tcW w:w="380" w:type="dxa"/>
            <w:vAlign w:val="bottom"/>
            <w:tcBorders>
              <w:right w:val="single" w:sz="8" w:color="auto"/>
            </w:tcBorders>
            <w:gridSpan w:val="9"/>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filed with the SEC on June 11,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reference to Exhibit 10.21 of Rezolve AI Limited’s Registration Statement on Form F-4, Amendment No. 6, filed with the SEC on June</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11,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93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Contractual Relationship, dated April 30, 2023 (incorporated by reference to Exhibit 10.22 of Rezolve AI Limited’s Registration</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Statement on Form F-4, Amendment No. 5,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95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Power of Disposal over ANY Lifestyle Marketing GmbH, dated November 17, 2023 (incorporated by reference to Exhibit 10.23 of</w:t>
              </w:r>
            </w:hyperlink>
          </w:p>
        </w:tc>
        <w:tc>
          <w:tcPr>
            <w:tcW w:w="500" w:type="dxa"/>
            <w:vAlign w:val="bottom"/>
            <w:tcBorders>
              <w:right w:val="single" w:sz="8" w:color="auto"/>
            </w:tcBorders>
            <w:gridSpan w:val="1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Rezolve AI Limited’s Registration Statement on Form F-4,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Loan Agreement, dated September 28, 2023,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reference to Exhibit 10.24 of Rezolve AI Limited’s Registration Statement on Form F-4,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486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0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7"/>
                <w:szCs w:val="17"/>
                <w:color w:val="auto"/>
              </w:rPr>
            </w:pPr>
          </w:p>
        </w:tc>
        <w:tc>
          <w:tcPr>
            <w:tcW w:w="9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420" w:type="dxa"/>
            <w:vAlign w:val="bottom"/>
            <w:tcBorders>
              <w:right w:val="single" w:sz="8" w:color="auto"/>
            </w:tcBorders>
            <w:gridSpan w:val="12"/>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c>
          <w:tcPr>
            <w:tcW w:w="220" w:type="dxa"/>
            <w:vAlign w:val="bottom"/>
            <w:tcBorders>
              <w:right w:val="single" w:sz="8" w:color="auto"/>
            </w:tcBorders>
            <w:gridSpan w:val="6"/>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8-K, filed with the SEC on February 9,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4"/>
                <w:szCs w:val="14"/>
                <w:color w:val="auto"/>
              </w:rPr>
            </w:pPr>
          </w:p>
        </w:tc>
        <w:tc>
          <w:tcPr>
            <w:tcW w:w="990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Second Amended and Restated Standby Equity Purchase Agreement, dated as of September 6, 2024, by and between YA II PN, Ltd. and</w:t>
              </w:r>
            </w:hyperlink>
          </w:p>
        </w:tc>
        <w:tc>
          <w:tcPr>
            <w:tcW w:w="100" w:type="dxa"/>
            <w:vAlign w:val="bottom"/>
            <w:tcBorders>
              <w:right w:val="single" w:sz="8" w:color="auto"/>
            </w:tcBorders>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c>
          <w:tcPr>
            <w:tcW w:w="260" w:type="dxa"/>
            <w:vAlign w:val="bottom"/>
            <w:tcBorders>
              <w:right w:val="single" w:sz="8" w:color="auto"/>
            </w:tcBorders>
            <w:gridSpan w:val="7"/>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4"/>
                <w:szCs w:val="14"/>
                <w:color w:val="auto"/>
              </w:rPr>
            </w:pPr>
          </w:p>
        </w:tc>
        <w:tc>
          <w:tcPr>
            <w:tcW w:w="970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300" w:type="dxa"/>
            <w:vAlign w:val="bottom"/>
            <w:tcBorders>
              <w:right w:val="single" w:sz="8" w:color="auto"/>
            </w:tcBorders>
            <w:gridSpan w:val="9"/>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978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220" w:type="dxa"/>
            <w:vAlign w:val="bottom"/>
            <w:tcBorders>
              <w:right w:val="single" w:sz="8" w:color="auto"/>
            </w:tcBorders>
            <w:gridSpan w:val="6"/>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4"/>
                <w:szCs w:val="14"/>
                <w:color w:val="auto"/>
              </w:rPr>
            </w:pPr>
          </w:p>
        </w:tc>
        <w:tc>
          <w:tcPr>
            <w:tcW w:w="972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280" w:type="dxa"/>
            <w:vAlign w:val="bottom"/>
            <w:tcBorders>
              <w:right w:val="single" w:sz="8" w:color="auto"/>
            </w:tcBorders>
            <w:gridSpan w:val="8"/>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4"/>
                <w:szCs w:val="14"/>
                <w:color w:val="auto"/>
              </w:rPr>
            </w:pPr>
          </w:p>
        </w:tc>
        <w:tc>
          <w:tcPr>
            <w:tcW w:w="990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Form of Securities Purchase Agreement (incorporated by reference to Exhibit 10.1 of Rezolve's Report on Form 6-K, filed December 23,</w:t>
              </w:r>
            </w:hyperlink>
          </w:p>
        </w:tc>
        <w:tc>
          <w:tcPr>
            <w:tcW w:w="100" w:type="dxa"/>
            <w:vAlign w:val="bottom"/>
            <w:tcBorders>
              <w:right w:val="single" w:sz="8" w:color="auto"/>
            </w:tcBorders>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4"/>
                <w:szCs w:val="14"/>
                <w:color w:val="auto"/>
              </w:rPr>
            </w:pPr>
          </w:p>
        </w:tc>
        <w:tc>
          <w:tcPr>
            <w:tcW w:w="950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500" w:type="dxa"/>
            <w:vAlign w:val="bottom"/>
            <w:tcBorders>
              <w:right w:val="single" w:sz="8" w:color="auto"/>
            </w:tcBorders>
            <w:gridSpan w:val="1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4"/>
                <w:szCs w:val="14"/>
                <w:color w:val="auto"/>
              </w:rPr>
            </w:pPr>
          </w:p>
        </w:tc>
        <w:tc>
          <w:tcPr>
            <w:tcW w:w="980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Purchase Agreement, dated February 4, 2025, by and between Rezolve AI Limited and DBLP Sea Cow Ltd. (incorporated by reference</w:t>
              </w:r>
            </w:hyperlink>
          </w:p>
        </w:tc>
        <w:tc>
          <w:tcPr>
            <w:tcW w:w="200" w:type="dxa"/>
            <w:vAlign w:val="bottom"/>
            <w:tcBorders>
              <w:right w:val="single" w:sz="8" w:color="auto"/>
            </w:tcBorders>
            <w:gridSpan w:val="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to Exhibit 10.1 of Rezolve's Report on Form 6-K, filed February 7,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4"/>
                <w:szCs w:val="14"/>
                <w:color w:val="auto"/>
              </w:rPr>
            </w:pPr>
          </w:p>
        </w:tc>
        <w:tc>
          <w:tcPr>
            <w:tcW w:w="984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160" w:type="dxa"/>
            <w:vAlign w:val="bottom"/>
            <w:tcBorders>
              <w:right w:val="single" w:sz="8" w:color="auto"/>
            </w:tcBorders>
            <w:gridSpan w:val="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140" w:type="dxa"/>
            <w:vAlign w:val="bottom"/>
            <w:tcBorders>
              <w:right w:val="single" w:sz="8" w:color="auto"/>
            </w:tcBorders>
            <w:gridSpan w:val="3"/>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filed February 11,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4"/>
                <w:szCs w:val="14"/>
                <w:color w:val="auto"/>
              </w:rPr>
            </w:pPr>
          </w:p>
        </w:tc>
        <w:tc>
          <w:tcPr>
            <w:tcW w:w="94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520" w:type="dxa"/>
            <w:vAlign w:val="bottom"/>
            <w:tcBorders>
              <w:right w:val="single" w:sz="8" w:color="auto"/>
            </w:tcBorders>
            <w:gridSpan w:val="1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Schedule of Buyers attached thereto (incorporated by reference to Exhibit 10.1 of Rezolve's Report on Form 6-K, filed February 25,</w:t>
              </w:r>
            </w:hyperlink>
          </w:p>
        </w:tc>
        <w:tc>
          <w:tcPr>
            <w:tcW w:w="460" w:type="dxa"/>
            <w:vAlign w:val="bottom"/>
            <w:tcBorders>
              <w:right w:val="single" w:sz="8" w:color="auto"/>
            </w:tcBorders>
            <w:gridSpan w:val="13"/>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4"/>
                <w:szCs w:val="14"/>
                <w:color w:val="auto"/>
              </w:rPr>
            </w:pPr>
          </w:p>
        </w:tc>
        <w:tc>
          <w:tcPr>
            <w:tcW w:w="946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540" w:type="dxa"/>
            <w:vAlign w:val="bottom"/>
            <w:tcBorders>
              <w:right w:val="single" w:sz="8" w:color="auto"/>
            </w:tcBorders>
            <w:gridSpan w:val="16"/>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w:t>
              </w:r>
            </w:hyperlink>
          </w:p>
        </w:tc>
        <w:tc>
          <w:tcPr>
            <w:tcW w:w="380" w:type="dxa"/>
            <w:vAlign w:val="bottom"/>
            <w:tcBorders>
              <w:right w:val="single" w:sz="8" w:color="auto"/>
            </w:tcBorders>
            <w:gridSpan w:val="11"/>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4"/>
                <w:szCs w:val="14"/>
                <w:color w:val="auto"/>
              </w:rPr>
            </w:pPr>
          </w:p>
        </w:tc>
        <w:tc>
          <w:tcPr>
            <w:tcW w:w="94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Securities Purchase Agreement (incorporated by reference to Exhibit 10.1 of Rezolve's Report on Form 6-K, filed July 25,</w:t>
              </w:r>
            </w:hyperlink>
          </w:p>
        </w:tc>
        <w:tc>
          <w:tcPr>
            <w:tcW w:w="520" w:type="dxa"/>
            <w:vAlign w:val="bottom"/>
            <w:tcBorders>
              <w:right w:val="single" w:sz="8" w:color="auto"/>
            </w:tcBorders>
            <w:gridSpan w:val="1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4"/>
                <w:szCs w:val="14"/>
                <w:color w:val="auto"/>
              </w:rPr>
            </w:pPr>
          </w:p>
        </w:tc>
        <w:tc>
          <w:tcPr>
            <w:tcW w:w="932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Placement Agent Agreement, dated July 24, 2025, between Rezolve AI plc and A.G.P/Alliance Global Partners (incorporated by</w:t>
              </w:r>
            </w:hyperlink>
          </w:p>
        </w:tc>
        <w:tc>
          <w:tcPr>
            <w:tcW w:w="680" w:type="dxa"/>
            <w:vAlign w:val="bottom"/>
            <w:tcBorders>
              <w:right w:val="single" w:sz="8" w:color="auto"/>
            </w:tcBorders>
            <w:gridSpan w:val="17"/>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reference to Exhibit 10.2 of Rezolve's Report on Form 6-K, filed July 25,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4"/>
                <w:szCs w:val="14"/>
                <w:color w:val="auto"/>
              </w:rPr>
            </w:pPr>
          </w:p>
        </w:tc>
        <w:tc>
          <w:tcPr>
            <w:tcW w:w="94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Registration Rights Agreement (incorporated by reference to Exhibit 10.3 of Rezolve's Report on Form 6-K, filed July 25,</w:t>
              </w:r>
            </w:hyperlink>
          </w:p>
        </w:tc>
        <w:tc>
          <w:tcPr>
            <w:tcW w:w="520" w:type="dxa"/>
            <w:vAlign w:val="bottom"/>
            <w:tcBorders>
              <w:right w:val="single" w:sz="8" w:color="auto"/>
            </w:tcBorders>
            <w:gridSpan w:val="1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4"/>
                <w:szCs w:val="14"/>
                <w:color w:val="auto"/>
              </w:rPr>
            </w:pPr>
          </w:p>
        </w:tc>
        <w:tc>
          <w:tcPr>
            <w:tcW w:w="96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Securities Purchase Agreement (incorporated by reference to Exhibit 10.1 of Rezolve's Report on Form 6-K, filed September</w:t>
              </w:r>
            </w:hyperlink>
          </w:p>
        </w:tc>
        <w:tc>
          <w:tcPr>
            <w:tcW w:w="320" w:type="dxa"/>
            <w:vAlign w:val="bottom"/>
            <w:tcBorders>
              <w:right w:val="single" w:sz="8" w:color="auto"/>
            </w:tcBorders>
            <w:gridSpan w:val="10"/>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6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4"/>
                <w:szCs w:val="14"/>
                <w:color w:val="auto"/>
              </w:rPr>
            </w:pPr>
          </w:p>
        </w:tc>
        <w:tc>
          <w:tcPr>
            <w:tcW w:w="978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Placement Agent Agreement, dated September 24, 2025, between Rezolve AI plc and A.G.P/Alliance Global Partners (incorporated by</w:t>
              </w:r>
            </w:hyperlink>
          </w:p>
        </w:tc>
        <w:tc>
          <w:tcPr>
            <w:tcW w:w="220" w:type="dxa"/>
            <w:vAlign w:val="bottom"/>
            <w:tcBorders>
              <w:right w:val="single" w:sz="8" w:color="auto"/>
            </w:tcBorders>
            <w:gridSpan w:val="6"/>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reference to Exhibit 10.2 of Rezolve's Report on Form 6-K, filed September 26, 2025).</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4"/>
                <w:szCs w:val="14"/>
                <w:color w:val="auto"/>
              </w:rPr>
            </w:pPr>
          </w:p>
        </w:tc>
        <w:tc>
          <w:tcPr>
            <w:tcW w:w="96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Registration Rights Agreement (incorporated by reference to Exhibit 10.3 of Rezolve's Report on Form 6-K, filed September</w:t>
              </w:r>
            </w:hyperlink>
          </w:p>
        </w:tc>
        <w:tc>
          <w:tcPr>
            <w:tcW w:w="320" w:type="dxa"/>
            <w:vAlign w:val="bottom"/>
            <w:tcBorders>
              <w:right w:val="single" w:sz="8" w:color="auto"/>
            </w:tcBorders>
            <w:gridSpan w:val="10"/>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6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sz w:val="20"/>
                <w:szCs w:val="20"/>
                <w:color w:val="auto"/>
              </w:rPr>
            </w:pPr>
            <w:r>
              <w:rPr>
                <w:rFonts w:ascii="Times New Roman" w:cs="Times New Roman" w:eastAsia="Times New Roman" w:hAnsi="Times New Roman"/>
                <w:sz w:val="18"/>
                <w:szCs w:val="18"/>
                <w:color w:val="0000FF"/>
              </w:rPr>
              <w:t>Sales Agreement, dated November 28, 2025, by and among Rezolve AI plc and Cantor Fitzgerald &amp; Co., Roth Capital Partners, LLC,</w:t>
            </w: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tcBorders>
              <w:top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Northland Securities, Inc., Maxim Group LLC and A.G.P./Alliance Global Partners.</w:t>
            </w:r>
          </w:p>
        </w:tc>
        <w:tc>
          <w:tcPr>
            <w:tcW w:w="120" w:type="dxa"/>
            <w:vAlign w:val="bottom"/>
            <w:tcBorders>
              <w:right w:val="single" w:sz="8" w:color="auto"/>
            </w:tcBorders>
            <w:gridSpan w:val="2"/>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246"/>
        </w:trPr>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132"/>
        </w:trPr>
        <w:tc>
          <w:tcPr>
            <w:tcW w:w="1160" w:type="dxa"/>
            <w:vAlign w:val="bottom"/>
            <w:tcBorders>
              <w:left w:val="single" w:sz="8" w:color="auto"/>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80" w:type="dxa"/>
            <w:vAlign w:val="bottom"/>
          </w:tcPr>
          <w:p>
            <w:pPr>
              <w:spacing w:after="0"/>
              <w:rPr>
                <w:sz w:val="11"/>
                <w:szCs w:val="11"/>
                <w:color w:val="auto"/>
              </w:rPr>
            </w:pPr>
          </w:p>
        </w:tc>
        <w:tc>
          <w:tcPr>
            <w:tcW w:w="10000" w:type="dxa"/>
            <w:vAlign w:val="bottom"/>
            <w:tcBorders>
              <w:right w:val="single" w:sz="8" w:color="auto"/>
            </w:tcBorders>
            <w:gridSpan w:val="35"/>
          </w:tcPr>
          <w:p>
            <w:pPr>
              <w:spacing w:after="0" w:line="133" w:lineRule="exact"/>
              <w:rPr>
                <w:sz w:val="20"/>
                <w:szCs w:val="20"/>
                <w:color w:val="auto"/>
              </w:rPr>
            </w:pPr>
            <w:r>
              <w:rPr>
                <w:rFonts w:ascii="Times New Roman" w:cs="Times New Roman" w:eastAsia="Times New Roman" w:hAnsi="Times New Roman"/>
                <w:sz w:val="15"/>
                <w:szCs w:val="15"/>
                <w:color w:val="0000FF"/>
              </w:rPr>
              <w:t>Consent of Taylor Wessing LLP (included in Exhibit 5.1).</w:t>
            </w:r>
          </w:p>
        </w:tc>
      </w:tr>
      <w:tr>
        <w:trPr>
          <w:trHeight w:val="60"/>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FF"/>
              <w:bottom w:val="single" w:sz="8" w:color="0000FF"/>
            </w:tcBorders>
          </w:tcPr>
          <w:p>
            <w:pPr>
              <w:spacing w:after="0"/>
              <w:rPr>
                <w:sz w:val="5"/>
                <w:szCs w:val="5"/>
                <w:color w:val="auto"/>
              </w:rPr>
            </w:pPr>
          </w:p>
        </w:tc>
        <w:tc>
          <w:tcPr>
            <w:tcW w:w="280" w:type="dxa"/>
            <w:vAlign w:val="bottom"/>
            <w:tcBorders>
              <w:top w:val="single" w:sz="8" w:color="0000FF"/>
              <w:bottom w:val="single" w:sz="8" w:color="0000FF"/>
            </w:tcBorders>
          </w:tcPr>
          <w:p>
            <w:pPr>
              <w:spacing w:after="0"/>
              <w:rPr>
                <w:sz w:val="5"/>
                <w:szCs w:val="5"/>
                <w:color w:val="auto"/>
              </w:rPr>
            </w:pPr>
          </w:p>
        </w:tc>
        <w:tc>
          <w:tcPr>
            <w:tcW w:w="84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0" w:type="dxa"/>
            <w:vAlign w:val="bottom"/>
            <w:tcBorders>
              <w:top w:val="single" w:sz="8" w:color="0000FF"/>
              <w:bottom w:val="single" w:sz="8" w:color="0000FF"/>
            </w:tcBorders>
          </w:tcPr>
          <w:p>
            <w:pPr>
              <w:spacing w:after="0"/>
              <w:rPr>
                <w:sz w:val="5"/>
                <w:szCs w:val="5"/>
                <w:color w:val="auto"/>
              </w:rPr>
            </w:pPr>
          </w:p>
        </w:tc>
        <w:tc>
          <w:tcPr>
            <w:tcW w:w="820" w:type="dxa"/>
            <w:vAlign w:val="bottom"/>
            <w:tcBorders>
              <w:top w:val="single" w:sz="8" w:color="0000FF"/>
              <w:bottom w:val="single" w:sz="8" w:color="0000FF"/>
            </w:tcBorders>
          </w:tcPr>
          <w:p>
            <w:pPr>
              <w:spacing w:after="0"/>
              <w:rPr>
                <w:sz w:val="5"/>
                <w:szCs w:val="5"/>
                <w:color w:val="auto"/>
              </w:rPr>
            </w:pPr>
          </w:p>
        </w:tc>
        <w:tc>
          <w:tcPr>
            <w:tcW w:w="1160" w:type="dxa"/>
            <w:vAlign w:val="bottom"/>
            <w:tcBorders>
              <w:top w:val="single" w:sz="8" w:color="0000FF"/>
              <w:bottom w:val="single" w:sz="8" w:color="0000FF"/>
            </w:tcBorders>
          </w:tcPr>
          <w:p>
            <w:pPr>
              <w:spacing w:after="0"/>
              <w:rPr>
                <w:sz w:val="5"/>
                <w:szCs w:val="5"/>
                <w:color w:val="auto"/>
              </w:rPr>
            </w:pPr>
          </w:p>
        </w:tc>
        <w:tc>
          <w:tcPr>
            <w:tcW w:w="400" w:type="dxa"/>
            <w:vAlign w:val="bottom"/>
            <w:tcBorders>
              <w:top w:val="single" w:sz="8" w:color="0000FF"/>
              <w:bottom w:val="single" w:sz="8" w:color="0000FF"/>
            </w:tcBorders>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r>
      <w:tr>
        <w:trPr>
          <w:trHeight w:val="130"/>
        </w:trPr>
        <w:tc>
          <w:tcPr>
            <w:tcW w:w="116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top w:val="single" w:sz="8" w:color="auto"/>
            </w:tcBorders>
          </w:tcPr>
          <w:p>
            <w:pPr>
              <w:spacing w:after="0"/>
              <w:rPr>
                <w:sz w:val="11"/>
                <w:szCs w:val="11"/>
                <w:color w:val="auto"/>
              </w:rPr>
            </w:pPr>
          </w:p>
        </w:tc>
        <w:tc>
          <w:tcPr>
            <w:tcW w:w="10000" w:type="dxa"/>
            <w:vAlign w:val="bottom"/>
            <w:tcBorders>
              <w:top w:val="single" w:sz="8" w:color="auto"/>
              <w:right w:val="single" w:sz="8" w:color="auto"/>
            </w:tcBorders>
            <w:gridSpan w:val="35"/>
          </w:tcPr>
          <w:p>
            <w:pPr>
              <w:spacing w:after="0" w:line="130" w:lineRule="exact"/>
              <w:rPr>
                <w:sz w:val="20"/>
                <w:szCs w:val="20"/>
                <w:color w:val="auto"/>
              </w:rPr>
            </w:pPr>
            <w:r>
              <w:rPr>
                <w:rFonts w:ascii="Times New Roman" w:cs="Times New Roman" w:eastAsia="Times New Roman" w:hAnsi="Times New Roman"/>
                <w:sz w:val="15"/>
                <w:szCs w:val="15"/>
                <w:color w:val="0000FF"/>
              </w:rPr>
              <w:t>Calculation of Fee Table.</w:t>
            </w: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London, United Kingdom, on the 28th day of November, 2025.</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F-3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Arthur Yao</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and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Arthur Yao</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191770</wp:posOffset>
            </wp:positionV>
            <wp:extent cx="17487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F-3 to be signed on its behalf by the undersigned, thereunto duly authorized, in the city of New York, New York, on the 28th of November, 2025.</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6">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4" w:name="page65"/>
    <w:bookmarkEnd w:id="64"/>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101600</wp:posOffset>
            </wp:positionV>
            <wp:extent cx="1534160" cy="2311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extLst>
                        <a:ext uri="{28A0092B-C50C-407E-A947-70E740481C1C}"/>
                      </a:extLst>
                    </a:blip>
                    <a:srcRect/>
                    <a:stretch>
                      <a:fillRect/>
                    </a:stretch>
                  </pic:blipFill>
                  <pic:spPr bwMode="auto">
                    <a:xfrm>
                      <a:off x="0" y="0"/>
                      <a:ext cx="1534160" cy="2311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28  November  2025  Rezolve  AI</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PLC</w:t>
      </w:r>
    </w:p>
    <w:p>
      <w:pPr>
        <w:spacing w:after="0" w:line="237" w:lineRule="auto"/>
        <w:rPr>
          <w:sz w:val="20"/>
          <w:szCs w:val="20"/>
          <w:color w:val="auto"/>
        </w:rPr>
      </w:pPr>
      <w:r>
        <w:rPr>
          <w:rFonts w:ascii="Arial" w:cs="Arial" w:eastAsia="Arial" w:hAnsi="Arial"/>
          <w:sz w:val="19"/>
          <w:szCs w:val="19"/>
          <w:color w:val="auto"/>
        </w:rPr>
        <w:t>21 Sackville Street  London W1S</w:t>
      </w:r>
    </w:p>
    <w:p>
      <w:pPr>
        <w:spacing w:after="0"/>
        <w:rPr>
          <w:sz w:val="20"/>
          <w:szCs w:val="20"/>
          <w:color w:val="auto"/>
        </w:rPr>
      </w:pPr>
      <w:r>
        <w:rPr>
          <w:rFonts w:ascii="Arial" w:cs="Arial" w:eastAsia="Arial" w:hAnsi="Arial"/>
          <w:sz w:val="19"/>
          <w:szCs w:val="19"/>
          <w:color w:val="auto"/>
        </w:rPr>
        <w:t>3DN United Kingdom</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Re: Rezolve AI PLC – Registration Statement on Form F-3</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900" w:hanging="757"/>
        <w:spacing w:after="0"/>
        <w:tabs>
          <w:tab w:leader="none" w:pos="900"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820" w:right="980" w:hanging="681"/>
        <w:spacing w:after="0" w:line="246" w:lineRule="auto"/>
        <w:tabs>
          <w:tab w:leader="none" w:pos="8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have acted as English legal advisers to Rezolve AI PLC, a public limited company incorporated in England and Wales with company number 14573691 and with its registered office at 21 Sackville Street, London, United Kingdom, W1S 3DN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the Company on Form F-3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w:t>
      </w:r>
    </w:p>
    <w:p>
      <w:pPr>
        <w:spacing w:after="0" w:line="168" w:lineRule="exact"/>
        <w:rPr>
          <w:sz w:val="20"/>
          <w:szCs w:val="20"/>
          <w:color w:val="auto"/>
        </w:rPr>
      </w:pPr>
    </w:p>
    <w:p>
      <w:pPr>
        <w:jc w:val="both"/>
        <w:ind w:left="820" w:right="980" w:hanging="681"/>
        <w:spacing w:after="0" w:line="242" w:lineRule="auto"/>
        <w:tabs>
          <w:tab w:leader="none" w:pos="8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Company has filed the Registration Statement for the purposes of registering with the Commission under the Securities Act the potential issue, offer and sale or resale of ordinary shares of £0.0001 each in the capital of the Company ("</w:t>
      </w:r>
      <w:r>
        <w:rPr>
          <w:rFonts w:ascii="Arial" w:cs="Arial" w:eastAsia="Arial" w:hAnsi="Arial"/>
          <w:sz w:val="19"/>
          <w:szCs w:val="19"/>
          <w:b w:val="1"/>
          <w:bCs w:val="1"/>
          <w:color w:val="auto"/>
        </w:rPr>
        <w:t>Ordinary Shares</w:t>
      </w:r>
      <w:r>
        <w:rPr>
          <w:rFonts w:ascii="Arial" w:cs="Arial" w:eastAsia="Arial" w:hAnsi="Arial"/>
          <w:sz w:val="19"/>
          <w:szCs w:val="19"/>
          <w:color w:val="auto"/>
        </w:rPr>
        <w:t>"), comprised of 48,034,860 Ordinary Shares in connection with an at the market facility (the "</w:t>
      </w:r>
      <w:r>
        <w:rPr>
          <w:rFonts w:ascii="Arial" w:cs="Arial" w:eastAsia="Arial" w:hAnsi="Arial"/>
          <w:sz w:val="19"/>
          <w:szCs w:val="19"/>
          <w:b w:val="1"/>
          <w:bCs w:val="1"/>
          <w:color w:val="auto"/>
        </w:rPr>
        <w:t>ATM Shares</w:t>
      </w:r>
      <w:r>
        <w:rPr>
          <w:rFonts w:ascii="Arial" w:cs="Arial" w:eastAsia="Arial" w:hAnsi="Arial"/>
          <w:sz w:val="19"/>
          <w:szCs w:val="19"/>
          <w:color w:val="auto"/>
        </w:rPr>
        <w:t>") in accordance with the terms of a sales agreement (the "</w:t>
      </w:r>
      <w:r>
        <w:rPr>
          <w:rFonts w:ascii="Arial" w:cs="Arial" w:eastAsia="Arial" w:hAnsi="Arial"/>
          <w:sz w:val="19"/>
          <w:szCs w:val="19"/>
          <w:b w:val="1"/>
          <w:bCs w:val="1"/>
          <w:color w:val="auto"/>
        </w:rPr>
        <w:t>Sales Agreement</w:t>
      </w:r>
      <w:r>
        <w:rPr>
          <w:rFonts w:ascii="Arial" w:cs="Arial" w:eastAsia="Arial" w:hAnsi="Arial"/>
          <w:sz w:val="19"/>
          <w:szCs w:val="19"/>
          <w:color w:val="auto"/>
        </w:rPr>
        <w:t>") entered into between the Company and each of Cantor Fitzgerald &amp; Co., Roth Capital Partners, LLC, Northland Securities, Inc., Maxim Group LLC and A.G.P. Alliance Global Partners (each a "</w:t>
      </w:r>
      <w:r>
        <w:rPr>
          <w:rFonts w:ascii="Arial" w:cs="Arial" w:eastAsia="Arial" w:hAnsi="Arial"/>
          <w:sz w:val="19"/>
          <w:szCs w:val="19"/>
          <w:b w:val="1"/>
          <w:bCs w:val="1"/>
          <w:color w:val="auto"/>
        </w:rPr>
        <w:t>Sales Agent</w:t>
      </w:r>
      <w:r>
        <w:rPr>
          <w:rFonts w:ascii="Arial" w:cs="Arial" w:eastAsia="Arial" w:hAnsi="Arial"/>
          <w:sz w:val="19"/>
          <w:szCs w:val="19"/>
          <w:color w:val="auto"/>
        </w:rPr>
        <w:t>" and together the "</w:t>
      </w:r>
      <w:r>
        <w:rPr>
          <w:rFonts w:ascii="Arial" w:cs="Arial" w:eastAsia="Arial" w:hAnsi="Arial"/>
          <w:sz w:val="19"/>
          <w:szCs w:val="19"/>
          <w:b w:val="1"/>
          <w:bCs w:val="1"/>
          <w:color w:val="auto"/>
        </w:rPr>
        <w:t>Sales Agents</w:t>
      </w:r>
      <w:r>
        <w:rPr>
          <w:rFonts w:ascii="Arial" w:cs="Arial" w:eastAsia="Arial" w:hAnsi="Arial"/>
          <w:sz w:val="19"/>
          <w:szCs w:val="19"/>
          <w:color w:val="auto"/>
        </w:rPr>
        <w:t>") on or about the date hereof and a further 151,965,140 Ordinary Shares (the "</w:t>
      </w:r>
      <w:r>
        <w:rPr>
          <w:rFonts w:ascii="Arial" w:cs="Arial" w:eastAsia="Arial" w:hAnsi="Arial"/>
          <w:sz w:val="19"/>
          <w:szCs w:val="19"/>
          <w:b w:val="1"/>
          <w:bCs w:val="1"/>
          <w:color w:val="auto"/>
        </w:rPr>
        <w:t>Shelf</w:t>
      </w:r>
      <w:r>
        <w:rPr>
          <w:rFonts w:ascii="Arial" w:cs="Arial" w:eastAsia="Arial" w:hAnsi="Arial"/>
          <w:sz w:val="19"/>
          <w:szCs w:val="19"/>
          <w:color w:val="auto"/>
        </w:rPr>
        <w:t xml:space="preserve"> </w:t>
      </w:r>
      <w:r>
        <w:rPr>
          <w:rFonts w:ascii="Arial" w:cs="Arial" w:eastAsia="Arial" w:hAnsi="Arial"/>
          <w:sz w:val="19"/>
          <w:szCs w:val="19"/>
          <w:b w:val="1"/>
          <w:bCs w:val="1"/>
          <w:color w:val="auto"/>
        </w:rPr>
        <w:t>Registration Shares</w:t>
      </w:r>
      <w:r>
        <w:rPr>
          <w:rFonts w:ascii="Arial" w:cs="Arial" w:eastAsia="Arial" w:hAnsi="Arial"/>
          <w:sz w:val="19"/>
          <w:szCs w:val="19"/>
          <w:color w:val="auto"/>
        </w:rPr>
        <w:t>") in anticipation of future issues (together the ATM Shares and the Shelf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being the "</w:t>
      </w:r>
      <w:r>
        <w:rPr>
          <w:rFonts w:ascii="Arial" w:cs="Arial" w:eastAsia="Arial" w:hAnsi="Arial"/>
          <w:sz w:val="19"/>
          <w:szCs w:val="19"/>
          <w:b w:val="1"/>
          <w:bCs w:val="1"/>
          <w:color w:val="auto"/>
        </w:rPr>
        <w:t>Relevant Shares</w:t>
      </w:r>
      <w:r>
        <w:rPr>
          <w:rFonts w:ascii="Arial" w:cs="Arial" w:eastAsia="Arial" w:hAnsi="Arial"/>
          <w:sz w:val="19"/>
          <w:szCs w:val="19"/>
          <w:color w:val="auto"/>
        </w:rPr>
        <w:t>").</w:t>
      </w:r>
    </w:p>
    <w:p>
      <w:pPr>
        <w:spacing w:after="0" w:line="177" w:lineRule="exact"/>
        <w:rPr>
          <w:sz w:val="20"/>
          <w:szCs w:val="20"/>
          <w:color w:val="auto"/>
        </w:rPr>
      </w:pPr>
    </w:p>
    <w:p>
      <w:pPr>
        <w:ind w:left="900" w:hanging="757"/>
        <w:spacing w:after="0"/>
        <w:tabs>
          <w:tab w:leader="none" w:pos="90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820" w:right="980" w:hanging="681"/>
        <w:spacing w:after="0" w:line="254" w:lineRule="auto"/>
        <w:tabs>
          <w:tab w:leader="none" w:pos="8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F-3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ind w:left="820" w:right="1020" w:hanging="680"/>
        <w:spacing w:after="0" w:line="270" w:lineRule="auto"/>
        <w:tabs>
          <w:tab w:leader="none" w:pos="8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ind w:left="820" w:right="1020" w:hanging="680"/>
        <w:spacing w:after="0" w:line="270" w:lineRule="auto"/>
        <w:tabs>
          <w:tab w:leader="none" w:pos="8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ind w:left="820" w:right="1000" w:hanging="680"/>
        <w:spacing w:after="0" w:line="270" w:lineRule="auto"/>
        <w:tabs>
          <w:tab w:leader="none" w:pos="80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For the purposes of issuing this opinion, we have received a draft copy of the Registration Statement and examined the following documents:</w:t>
      </w:r>
    </w:p>
    <w:p>
      <w:pPr>
        <w:spacing w:after="0" w:line="156" w:lineRule="exact"/>
        <w:rPr>
          <w:sz w:val="20"/>
          <w:szCs w:val="20"/>
          <w:color w:val="auto"/>
        </w:rPr>
      </w:pPr>
    </w:p>
    <w:p>
      <w:pPr>
        <w:ind w:left="1640" w:hanging="748"/>
        <w:spacing w:after="0"/>
        <w:tabs>
          <w:tab w:leader="none" w:pos="16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copy of the Sales Agreement;</w:t>
      </w:r>
    </w:p>
    <w:p>
      <w:pPr>
        <w:spacing w:after="0" w:line="51" w:lineRule="exact"/>
        <w:rPr>
          <w:rFonts w:ascii="Arial" w:cs="Arial" w:eastAsia="Arial" w:hAnsi="Arial"/>
          <w:sz w:val="19"/>
          <w:szCs w:val="19"/>
          <w:color w:val="auto"/>
        </w:rPr>
      </w:pPr>
    </w:p>
    <w:p>
      <w:pPr>
        <w:ind w:left="1560" w:hanging="668"/>
        <w:spacing w:after="0"/>
        <w:tabs>
          <w:tab w:leader="none" w:pos="15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copy of a side letter entered into between the Company and each Sales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14" w:lineRule="exact"/>
        <w:rPr>
          <w:sz w:val="20"/>
          <w:szCs w:val="20"/>
          <w:color w:val="auto"/>
        </w:rPr>
      </w:pPr>
    </w:p>
    <w:p>
      <w:pPr>
        <w:ind w:left="668"/>
        <w:spacing w:after="0"/>
        <w:rPr>
          <w:sz w:val="20"/>
          <w:szCs w:val="20"/>
          <w:color w:val="auto"/>
        </w:rPr>
      </w:pPr>
      <w:r>
        <w:rPr>
          <w:rFonts w:ascii="Arial" w:cs="Arial" w:eastAsia="Arial" w:hAnsi="Arial"/>
          <w:sz w:val="19"/>
          <w:szCs w:val="19"/>
          <w:color w:val="auto"/>
        </w:rPr>
        <w:t>on the same date as the Sales Agreement;</w:t>
      </w:r>
    </w:p>
    <w:p>
      <w:pPr>
        <w:spacing w:after="0" w:line="214" w:lineRule="exact"/>
        <w:rPr>
          <w:sz w:val="20"/>
          <w:szCs w:val="20"/>
          <w:color w:val="auto"/>
        </w:rPr>
      </w:pPr>
    </w:p>
    <w:p>
      <w:pPr>
        <w:jc w:val="both"/>
        <w:ind w:left="668" w:right="20" w:hanging="668"/>
        <w:spacing w:after="0" w:line="259" w:lineRule="auto"/>
        <w:tabs>
          <w:tab w:leader="none" w:pos="668"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copy of the current articles of association of the Company that were adopted and effective from the date of the re-registration of the Company from a private limited company to a public limited company on 28 March 2025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668" w:hanging="668"/>
        <w:spacing w:after="0" w:line="245" w:lineRule="auto"/>
        <w:tabs>
          <w:tab w:leader="none" w:pos="668"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xml:space="preserve">") passed on or about 26 November 2025 regarding, </w:t>
      </w:r>
      <w:r>
        <w:rPr>
          <w:rFonts w:ascii="Arial" w:cs="Arial" w:eastAsia="Arial" w:hAnsi="Arial"/>
          <w:sz w:val="19"/>
          <w:szCs w:val="19"/>
          <w:i w:val="1"/>
          <w:iCs w:val="1"/>
          <w:color w:val="auto"/>
        </w:rPr>
        <w:t>inter alia</w:t>
      </w:r>
      <w:r>
        <w:rPr>
          <w:rFonts w:ascii="Arial" w:cs="Arial" w:eastAsia="Arial" w:hAnsi="Arial"/>
          <w:sz w:val="19"/>
          <w:szCs w:val="19"/>
          <w:color w:val="auto"/>
        </w:rPr>
        <w:t>, the approval of the Sales Agreement and related documents and of the Registration Statement and approving the allotment of the ATM Shares (the "</w:t>
      </w:r>
      <w:r>
        <w:rPr>
          <w:rFonts w:ascii="Arial" w:cs="Arial" w:eastAsia="Arial" w:hAnsi="Arial"/>
          <w:sz w:val="19"/>
          <w:szCs w:val="19"/>
          <w:b w:val="1"/>
          <w:bCs w:val="1"/>
          <w:color w:val="auto"/>
        </w:rPr>
        <w:t>Board Resolutions</w:t>
      </w:r>
      <w:r>
        <w:rPr>
          <w:rFonts w:ascii="Arial" w:cs="Arial" w:eastAsia="Arial" w:hAnsi="Arial"/>
          <w:sz w:val="19"/>
          <w:szCs w:val="19"/>
          <w:color w:val="auto"/>
        </w:rPr>
        <w:t>") and for the purpose of this opinion we assume that the Board Resolutions have been duly and validly passed; and</w:t>
      </w:r>
    </w:p>
    <w:p>
      <w:pPr>
        <w:spacing w:after="0" w:line="180" w:lineRule="exact"/>
        <w:rPr>
          <w:rFonts w:ascii="Arial" w:cs="Arial" w:eastAsia="Arial" w:hAnsi="Arial"/>
          <w:sz w:val="19"/>
          <w:szCs w:val="19"/>
          <w:color w:val="auto"/>
        </w:rPr>
      </w:pPr>
    </w:p>
    <w:p>
      <w:pPr>
        <w:jc w:val="both"/>
        <w:ind w:left="668" w:hanging="668"/>
        <w:spacing w:after="0" w:line="246" w:lineRule="auto"/>
        <w:tabs>
          <w:tab w:leader="none" w:pos="668"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a copy of the written shareholder resolutions of the Company dated 28 July 2024 approving, </w:t>
      </w:r>
      <w:r>
        <w:rPr>
          <w:rFonts w:ascii="Arial" w:cs="Arial" w:eastAsia="Arial" w:hAnsi="Arial"/>
          <w:sz w:val="19"/>
          <w:szCs w:val="19"/>
          <w:i w:val="1"/>
          <w:iCs w:val="1"/>
          <w:color w:val="auto"/>
        </w:rPr>
        <w:t>inter alia</w:t>
      </w:r>
      <w:r>
        <w:rPr>
          <w:rFonts w:ascii="Arial" w:cs="Arial" w:eastAsia="Arial" w:hAnsi="Arial"/>
          <w:sz w:val="19"/>
          <w:szCs w:val="19"/>
          <w:color w:val="auto"/>
        </w:rPr>
        <w:t>, the authorization for the directors of the Company to allot Ordinary Shares (or to grant rights to subscribe for or to convert any security into Ordinary Shares), and the disapplication of pre-emptive rights for such allotment, in relation to shares having an aggregate nominal amount of up to £30,000 ("</w:t>
      </w:r>
      <w:r>
        <w:rPr>
          <w:rFonts w:ascii="Arial" w:cs="Arial" w:eastAsia="Arial" w:hAnsi="Arial"/>
          <w:sz w:val="19"/>
          <w:szCs w:val="19"/>
          <w:b w:val="1"/>
          <w:bCs w:val="1"/>
          <w:color w:val="auto"/>
        </w:rPr>
        <w:t>Shareholder Resolutions</w:t>
      </w:r>
      <w:r>
        <w:rPr>
          <w:rFonts w:ascii="Arial" w:cs="Arial" w:eastAsia="Arial" w:hAnsi="Arial"/>
          <w:sz w:val="19"/>
          <w:szCs w:val="19"/>
          <w:color w:val="auto"/>
        </w:rPr>
        <w:t>") (the Shareholder Resolutions, together with the Board Resolutions,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196850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48"/>
          </w:cols>
          <w:pgMar w:left="1212" w:top="1440" w:right="1339" w:bottom="1440" w:gutter="0" w:footer="0" w:header="0"/>
        </w:sectPr>
      </w:pPr>
    </w:p>
    <w:bookmarkStart w:id="66" w:name="page67"/>
    <w:bookmarkEnd w:id="66"/>
    <w:p>
      <w:pPr>
        <w:spacing w:after="0" w:line="63"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420" w:hanging="668"/>
        <w:spacing w:after="0" w:line="270" w:lineRule="auto"/>
        <w:tabs>
          <w:tab w:leader="none" w:pos="14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28 November 2025 at 10:24 a.m. (London time); and</w:t>
      </w:r>
    </w:p>
    <w:p>
      <w:pPr>
        <w:spacing w:after="0" w:line="156" w:lineRule="exact"/>
        <w:rPr>
          <w:rFonts w:ascii="Arial" w:cs="Arial" w:eastAsia="Arial" w:hAnsi="Arial"/>
          <w:sz w:val="19"/>
          <w:szCs w:val="19"/>
          <w:color w:val="auto"/>
        </w:rPr>
      </w:pPr>
    </w:p>
    <w:p>
      <w:pPr>
        <w:jc w:val="both"/>
        <w:ind w:left="1420" w:right="20" w:hanging="668"/>
        <w:spacing w:after="0" w:line="254" w:lineRule="auto"/>
        <w:tabs>
          <w:tab w:leader="none" w:pos="14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28 November 2025 at 10:22 a.m. (London time) which revealed that as at that date no petition has been lodged for the winding-up of the Company.</w:t>
      </w:r>
    </w:p>
    <w:p>
      <w:pPr>
        <w:spacing w:after="0" w:line="170"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8"/>
          <w:szCs w:val="18"/>
          <w:color w:val="auto"/>
        </w:rPr>
        <w:t>In relation to insolvency proceedings, the search and enquiry referred to in paragraph</w:t>
      </w:r>
    </w:p>
    <w:p>
      <w:pPr>
        <w:spacing w:after="0" w:line="16" w:lineRule="exact"/>
        <w:rPr>
          <w:sz w:val="20"/>
          <w:szCs w:val="20"/>
          <w:color w:val="auto"/>
        </w:rPr>
      </w:pPr>
    </w:p>
    <w:p>
      <w:pPr>
        <w:jc w:val="both"/>
        <w:ind w:left="760" w:right="20"/>
        <w:spacing w:after="0"/>
        <w:rPr>
          <w:sz w:val="20"/>
          <w:szCs w:val="20"/>
          <w:color w:val="auto"/>
        </w:rPr>
      </w:pPr>
      <w:r>
        <w:rPr>
          <w:rFonts w:ascii="Arial" w:cs="Arial" w:eastAsia="Arial" w:hAnsi="Arial"/>
          <w:sz w:val="19"/>
          <w:szCs w:val="19"/>
          <w:color w:val="auto"/>
        </w:rPr>
        <w:t>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6" w:lineRule="exact"/>
        <w:rPr>
          <w:sz w:val="20"/>
          <w:szCs w:val="20"/>
          <w:color w:val="auto"/>
        </w:rPr>
      </w:pPr>
    </w:p>
    <w:p>
      <w:pPr>
        <w:jc w:val="both"/>
        <w:ind w:left="680" w:hanging="681"/>
        <w:spacing w:after="0" w:line="243" w:lineRule="auto"/>
        <w:tabs>
          <w:tab w:leader="none" w:pos="66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200" w:lineRule="exact"/>
        <w:rPr>
          <w:sz w:val="20"/>
          <w:szCs w:val="20"/>
          <w:color w:val="auto"/>
        </w:rPr>
      </w:pPr>
    </w:p>
    <w:p>
      <w:pPr>
        <w:spacing w:after="0" w:line="201" w:lineRule="exact"/>
        <w:rPr>
          <w:sz w:val="20"/>
          <w:szCs w:val="20"/>
          <w:color w:val="auto"/>
        </w:rPr>
      </w:pPr>
    </w:p>
    <w:p>
      <w:pPr>
        <w:ind w:left="760" w:hanging="757"/>
        <w:spacing w:after="0"/>
        <w:tabs>
          <w:tab w:leader="none" w:pos="76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ind w:left="700" w:right="40" w:hanging="680"/>
        <w:spacing w:after="0" w:line="270" w:lineRule="auto"/>
        <w:tabs>
          <w:tab w:leader="none" w:pos="68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ind w:left="700" w:right="20" w:hanging="680"/>
        <w:spacing w:after="0" w:line="270" w:lineRule="auto"/>
        <w:tabs>
          <w:tab w:leader="none" w:pos="6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8"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ind w:left="680" w:right="40" w:hanging="680"/>
        <w:spacing w:after="0" w:line="270" w:lineRule="auto"/>
        <w:tabs>
          <w:tab w:leader="none" w:pos="6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575310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60" w:top="1440" w:right="1319" w:bottom="1440" w:gutter="0" w:footer="0" w:header="0"/>
        </w:sectPr>
      </w:pPr>
    </w:p>
    <w:bookmarkStart w:id="67" w:name="page68"/>
    <w:bookmarkEnd w:id="67"/>
    <w:p>
      <w:pPr>
        <w:spacing w:after="0" w:line="293" w:lineRule="exact"/>
        <w:rPr>
          <w:sz w:val="20"/>
          <w:szCs w:val="20"/>
          <w:color w:val="auto"/>
        </w:rPr>
      </w:pPr>
    </w:p>
    <w:p>
      <w:pPr>
        <w:jc w:val="both"/>
        <w:ind w:left="660" w:right="40" w:hanging="680"/>
        <w:spacing w:after="0" w:line="270" w:lineRule="auto"/>
        <w:tabs>
          <w:tab w:leader="none" w:pos="64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680" w:right="20" w:hanging="680"/>
        <w:spacing w:after="0" w:line="248" w:lineRule="auto"/>
        <w:tabs>
          <w:tab w:leader="none" w:pos="6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14" w:lineRule="exact"/>
        <w:rPr>
          <w:sz w:val="20"/>
          <w:szCs w:val="20"/>
          <w:color w:val="auto"/>
        </w:rPr>
      </w:pPr>
    </w:p>
    <w:p>
      <w:pPr>
        <w:ind w:left="1420" w:right="20" w:hanging="674"/>
        <w:spacing w:after="0" w:line="270" w:lineRule="auto"/>
        <w:tabs>
          <w:tab w:leader="none" w:pos="14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7" w:lineRule="exact"/>
        <w:rPr>
          <w:rFonts w:ascii="Arial" w:cs="Arial" w:eastAsia="Arial" w:hAnsi="Arial"/>
          <w:sz w:val="19"/>
          <w:szCs w:val="19"/>
          <w:color w:val="auto"/>
        </w:rPr>
      </w:pPr>
    </w:p>
    <w:p>
      <w:pPr>
        <w:ind w:left="1420" w:right="20" w:hanging="674"/>
        <w:spacing w:after="0" w:line="270" w:lineRule="auto"/>
        <w:tabs>
          <w:tab w:leader="none" w:pos="14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40" w:right="240"/>
        <w:spacing w:after="0" w:line="270" w:lineRule="auto"/>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156"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00" w:lineRule="exact"/>
        <w:rPr>
          <w:sz w:val="20"/>
          <w:szCs w:val="20"/>
          <w:color w:val="auto"/>
        </w:rPr>
      </w:pPr>
    </w:p>
    <w:p>
      <w:pPr>
        <w:ind w:left="1420" w:right="20" w:hanging="674"/>
        <w:spacing w:after="0" w:line="270" w:lineRule="auto"/>
        <w:tabs>
          <w:tab w:leader="none" w:pos="14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420" w:right="20" w:hanging="674"/>
        <w:spacing w:after="0" w:line="245" w:lineRule="auto"/>
        <w:tabs>
          <w:tab w:leader="none" w:pos="14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number of Relevant Shares allotted and issued together with those Rezolve Shares to be allotted and issued as contemplated by the Registration Statement and those shares allotted pursuant to the Corporate Approvals and/or pursuant to additional board and shareholder resolutions passed in future in relation to the allotment of the Relevant Shares, not being greater than the aggregate nominal value specified in the Corporate Approvals and such additional board and shareholder resolutions;</w:t>
      </w:r>
    </w:p>
    <w:p>
      <w:pPr>
        <w:spacing w:after="0" w:line="180" w:lineRule="exact"/>
        <w:rPr>
          <w:rFonts w:ascii="Arial" w:cs="Arial" w:eastAsia="Arial" w:hAnsi="Arial"/>
          <w:sz w:val="19"/>
          <w:szCs w:val="19"/>
          <w:color w:val="auto"/>
        </w:rPr>
      </w:pPr>
    </w:p>
    <w:p>
      <w:pPr>
        <w:jc w:val="both"/>
        <w:ind w:left="1420" w:hanging="674"/>
        <w:spacing w:after="0" w:line="245" w:lineRule="auto"/>
        <w:tabs>
          <w:tab w:leader="none" w:pos="14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94" w:lineRule="exact"/>
        <w:rPr>
          <w:rFonts w:ascii="Arial" w:cs="Arial" w:eastAsia="Arial" w:hAnsi="Arial"/>
          <w:sz w:val="19"/>
          <w:szCs w:val="19"/>
          <w:color w:val="auto"/>
        </w:rPr>
      </w:pPr>
    </w:p>
    <w:p>
      <w:pPr>
        <w:jc w:val="both"/>
        <w:ind w:left="1420" w:hanging="674"/>
        <w:spacing w:after="0" w:line="254" w:lineRule="auto"/>
        <w:tabs>
          <w:tab w:leader="none" w:pos="14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receipt in full of payment for the Relevant Shares of not less than the aggregate nominal value plus the applicable premium for such Relevant Shares and the agreement by the allottees to become members of the Company;</w:t>
      </w:r>
    </w:p>
    <w:p>
      <w:pPr>
        <w:spacing w:after="0" w:line="156" w:lineRule="exact"/>
        <w:rPr>
          <w:rFonts w:ascii="Arial" w:cs="Arial" w:eastAsia="Arial" w:hAnsi="Arial"/>
          <w:sz w:val="19"/>
          <w:szCs w:val="19"/>
          <w:color w:val="auto"/>
        </w:rPr>
      </w:pPr>
    </w:p>
    <w:p>
      <w:pPr>
        <w:jc w:val="both"/>
        <w:ind w:left="1420" w:hanging="674"/>
        <w:spacing w:after="0" w:line="241" w:lineRule="auto"/>
        <w:tabs>
          <w:tab w:leader="none" w:pos="14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that the Corporate Approvals and such additional shareholder resolution(s) and Board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or any other applicable law and/or the articles (as in force from time to time) (including additional shareholder resolution(s) required to be passed to give further allotment authority in relation to the allotment of the Shelf Registration Shares) were or will be (as appropriate) each duly passed by written resolution or at a meeting which was or will be duly convened and held in accordance with all applicable laws and regulations and that all requirements of the Companies Act and under the articles of association of the Company (in force from time to time) were or will be (as applicable) complied with; that in particular, but without limitation, a duly qualified quorum of directors or,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593725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480" w:top="1440" w:right="1319" w:bottom="1440" w:gutter="0" w:footer="0" w:header="0"/>
        </w:sectPr>
      </w:pPr>
    </w:p>
    <w:bookmarkStart w:id="68" w:name="page69"/>
    <w:bookmarkEnd w:id="68"/>
    <w:p>
      <w:pPr>
        <w:jc w:val="both"/>
        <w:ind w:left="748"/>
        <w:spacing w:after="0" w:line="245" w:lineRule="auto"/>
        <w:rPr>
          <w:sz w:val="20"/>
          <w:szCs w:val="20"/>
          <w:color w:val="auto"/>
        </w:rPr>
      </w:pPr>
      <w:r>
        <w:rPr>
          <w:rFonts w:ascii="Arial" w:cs="Arial" w:eastAsia="Arial" w:hAnsi="Arial"/>
          <w:sz w:val="19"/>
          <w:szCs w:val="19"/>
          <w:color w:val="auto"/>
        </w:rPr>
        <w:t>be, shareholders was or will be present in each case throughout any such meeting and voted or vote in favour of the relevant resolutions; and that in relation to each meeting of the Board, each provision contained in the Companies Act or the articles of association of the Company (in force from time to time) relating to the declaration of the directors’ interests or the power of the interested directors to vote and to count in the quorum was or will be duly observed;</w:t>
      </w:r>
    </w:p>
    <w:p>
      <w:pPr>
        <w:spacing w:after="0" w:line="181" w:lineRule="exact"/>
        <w:rPr>
          <w:sz w:val="20"/>
          <w:szCs w:val="20"/>
          <w:color w:val="auto"/>
        </w:rPr>
      </w:pPr>
    </w:p>
    <w:p>
      <w:pPr>
        <w:ind w:left="668" w:right="40" w:hanging="668"/>
        <w:spacing w:after="0" w:line="270"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Relevant Shares in the books and registers of the Company;</w:t>
      </w:r>
    </w:p>
    <w:p>
      <w:pPr>
        <w:spacing w:after="0" w:line="156" w:lineRule="exact"/>
        <w:rPr>
          <w:rFonts w:ascii="Arial" w:cs="Arial" w:eastAsia="Arial" w:hAnsi="Arial"/>
          <w:sz w:val="19"/>
          <w:szCs w:val="19"/>
          <w:color w:val="auto"/>
        </w:rPr>
      </w:pPr>
    </w:p>
    <w:p>
      <w:pPr>
        <w:jc w:val="both"/>
        <w:ind w:left="668" w:right="20" w:hanging="668"/>
        <w:spacing w:after="0" w:line="254"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170" w:lineRule="exact"/>
        <w:rPr>
          <w:rFonts w:ascii="Arial" w:cs="Arial" w:eastAsia="Arial" w:hAnsi="Arial"/>
          <w:sz w:val="19"/>
          <w:szCs w:val="19"/>
          <w:color w:val="auto"/>
        </w:rPr>
      </w:pPr>
    </w:p>
    <w:p>
      <w:pPr>
        <w:ind w:left="668" w:right="40" w:hanging="668"/>
        <w:spacing w:after="0" w:line="270"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156" w:lineRule="exact"/>
        <w:rPr>
          <w:rFonts w:ascii="Arial" w:cs="Arial" w:eastAsia="Arial" w:hAnsi="Arial"/>
          <w:sz w:val="19"/>
          <w:szCs w:val="19"/>
          <w:color w:val="auto"/>
        </w:rPr>
      </w:pPr>
    </w:p>
    <w:p>
      <w:pPr>
        <w:jc w:val="both"/>
        <w:ind w:left="668" w:right="20" w:hanging="668"/>
        <w:spacing w:after="0" w:line="259"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prior to each date of allotment and issue of the Relevant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668" w:right="20" w:hanging="668"/>
        <w:spacing w:after="0" w:line="248"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on each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176" w:lineRule="exact"/>
        <w:rPr>
          <w:rFonts w:ascii="Arial" w:cs="Arial" w:eastAsia="Arial" w:hAnsi="Arial"/>
          <w:sz w:val="19"/>
          <w:szCs w:val="19"/>
          <w:color w:val="auto"/>
        </w:rPr>
      </w:pPr>
    </w:p>
    <w:p>
      <w:pPr>
        <w:jc w:val="both"/>
        <w:ind w:left="668" w:right="20" w:hanging="668"/>
        <w:spacing w:after="0" w:line="243"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Board Resolutions provided to us in connection with the giving of the opinions in this letter reflect a true record of the proceedings described in them in duly convened, constituted and quorate meetings in which all constitutional, statutory and other formalities were or will be duly observed, and those Board Resolutions as set out in the relevant minutes were or will be validly passed and have not been and will not be revoked or varied and remain in full force and effect and will remain so as at each Allotment Date;</w:t>
      </w:r>
    </w:p>
    <w:p>
      <w:pPr>
        <w:spacing w:after="0" w:line="184" w:lineRule="exact"/>
        <w:rPr>
          <w:rFonts w:ascii="Arial" w:cs="Arial" w:eastAsia="Arial" w:hAnsi="Arial"/>
          <w:sz w:val="19"/>
          <w:szCs w:val="19"/>
          <w:color w:val="auto"/>
        </w:rPr>
      </w:pPr>
    </w:p>
    <w:p>
      <w:pPr>
        <w:ind w:left="668" w:right="20" w:hanging="668"/>
        <w:spacing w:after="0" w:line="247"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respect of the Board Resolutions and any other board resolutions passed or to be passed in connection with the allotment and issue of the Relevant Shares</w:t>
      </w:r>
    </w:p>
    <w:p>
      <w:pPr>
        <w:jc w:val="both"/>
        <w:ind w:left="748" w:firstLine="6"/>
        <w:spacing w:after="0" w:line="239" w:lineRule="auto"/>
        <w:tabs>
          <w:tab w:leader="none" w:pos="974" w:val="left"/>
        </w:tabs>
        <w:numPr>
          <w:ilvl w:val="1"/>
          <w:numId w:val="49"/>
        </w:numPr>
        <w:rPr>
          <w:rFonts w:ascii="Arial" w:cs="Arial" w:eastAsia="Arial" w:hAnsi="Arial"/>
          <w:sz w:val="19"/>
          <w:szCs w:val="19"/>
          <w:color w:val="auto"/>
        </w:rPr>
      </w:pPr>
      <w:r>
        <w:rPr>
          <w:rFonts w:ascii="Arial" w:cs="Arial" w:eastAsia="Arial" w:hAnsi="Arial"/>
          <w:sz w:val="19"/>
          <w:szCs w:val="19"/>
          <w:color w:val="auto"/>
        </w:rPr>
        <w:t>in passing such resolutions the directors of the Company were or will be acting in good faith, (ii) the transactions and other matters referred to in therein were or are to be entered into and effected by the Company for the purpose of carrying on its business, (iii) at the time such transactions or matters were or (as the case may be) will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85" w:lineRule="exact"/>
        <w:rPr>
          <w:rFonts w:ascii="Arial" w:cs="Arial" w:eastAsia="Arial" w:hAnsi="Arial"/>
          <w:sz w:val="19"/>
          <w:szCs w:val="19"/>
          <w:color w:val="auto"/>
        </w:rPr>
      </w:pPr>
    </w:p>
    <w:p>
      <w:pPr>
        <w:jc w:val="both"/>
        <w:ind w:left="688" w:hanging="688"/>
        <w:spacing w:after="0" w:line="266" w:lineRule="auto"/>
        <w:tabs>
          <w:tab w:leader="none" w:pos="6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resolutions set out in the Corporate Approvals and/or such other board or shareholder resolutions that are otherwise obtained and/or required by the Company to, inter alia, validly authorise the issuance of all Relevant Shares were or will be validly passed and have not been and/or will not be revoked or varied and remain in full force and effect and will remain or be in effect as at each Allotment Date;</w:t>
      </w:r>
    </w:p>
    <w:p>
      <w:pPr>
        <w:spacing w:after="0" w:line="162" w:lineRule="exact"/>
        <w:rPr>
          <w:rFonts w:ascii="Arial" w:cs="Arial" w:eastAsia="Arial" w:hAnsi="Arial"/>
          <w:sz w:val="18"/>
          <w:szCs w:val="18"/>
          <w:color w:val="auto"/>
        </w:rPr>
      </w:pPr>
    </w:p>
    <w:p>
      <w:pPr>
        <w:jc w:val="both"/>
        <w:ind w:left="668" w:right="20" w:hanging="668"/>
        <w:spacing w:after="0" w:line="248"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as at each Allotment Date, the directors of the Company had or shall have sufficient powers conferred on them to allot the Relevant Shares and to grant rights to subscribe for Relevant Shares (as applicable) under section 551 (Power of directors to allot shares etc: authorisation by company) of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588010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354" w:right="1319" w:bottom="1440" w:gutter="0" w:footer="0" w:header="0"/>
        </w:sectPr>
      </w:pPr>
    </w:p>
    <w:bookmarkStart w:id="69" w:name="page70"/>
    <w:bookmarkEnd w:id="69"/>
    <w:p>
      <w:pPr>
        <w:jc w:val="both"/>
        <w:ind w:left="748"/>
        <w:spacing w:after="0" w:line="242" w:lineRule="auto"/>
        <w:rPr>
          <w:sz w:val="20"/>
          <w:szCs w:val="20"/>
          <w:color w:val="auto"/>
        </w:rPr>
      </w:pPr>
      <w:r>
        <w:rPr>
          <w:rFonts w:ascii="Arial" w:cs="Arial" w:eastAsia="Arial" w:hAnsi="Arial"/>
          <w:sz w:val="19"/>
          <w:szCs w:val="19"/>
          <w:color w:val="auto"/>
        </w:rPr>
        <w:t>and under section 570 (Disapplication of pre-emption rights: directors acting under general authorisation) or section 571 (disapplication of pre-emption rights by special resolution) of the Companies Act as if section 561 of the Companies Act did not or does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 other limitation on their powers to issue shares or grant rights;</w:t>
      </w:r>
    </w:p>
    <w:p>
      <w:pPr>
        <w:spacing w:after="0" w:line="186" w:lineRule="exact"/>
        <w:rPr>
          <w:sz w:val="20"/>
          <w:szCs w:val="20"/>
          <w:color w:val="auto"/>
        </w:rPr>
      </w:pPr>
    </w:p>
    <w:p>
      <w:pPr>
        <w:jc w:val="both"/>
        <w:ind w:left="668" w:right="20" w:hanging="668"/>
        <w:spacing w:after="0" w:line="243" w:lineRule="auto"/>
        <w:tabs>
          <w:tab w:leader="none" w:pos="6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relation to the allotment and issue of the Relevant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4" w:lineRule="exact"/>
        <w:rPr>
          <w:rFonts w:ascii="Arial" w:cs="Arial" w:eastAsia="Arial" w:hAnsi="Arial"/>
          <w:sz w:val="19"/>
          <w:szCs w:val="19"/>
          <w:color w:val="auto"/>
        </w:rPr>
      </w:pPr>
    </w:p>
    <w:p>
      <w:pPr>
        <w:jc w:val="both"/>
        <w:ind w:left="668" w:hanging="668"/>
        <w:spacing w:after="0" w:line="254" w:lineRule="auto"/>
        <w:tabs>
          <w:tab w:leader="none" w:pos="6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as at each Allotment Date, any authority granted pursuant to the articles (in force from time to time) or the Shareholder Resolutions or otherwise by the Company’s shareholders remained or will remain unutilised to the extent necessary to permit the allotment and issue of the Relevant Shares;</w:t>
      </w:r>
    </w:p>
    <w:p>
      <w:pPr>
        <w:spacing w:after="0" w:line="170" w:lineRule="exact"/>
        <w:rPr>
          <w:rFonts w:ascii="Arial" w:cs="Arial" w:eastAsia="Arial" w:hAnsi="Arial"/>
          <w:sz w:val="19"/>
          <w:szCs w:val="19"/>
          <w:color w:val="auto"/>
        </w:rPr>
      </w:pPr>
    </w:p>
    <w:p>
      <w:pPr>
        <w:jc w:val="both"/>
        <w:ind w:left="668" w:right="40" w:hanging="668"/>
        <w:spacing w:after="0" w:line="254" w:lineRule="auto"/>
        <w:tabs>
          <w:tab w:leader="none" w:pos="6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70" w:lineRule="exact"/>
        <w:rPr>
          <w:rFonts w:ascii="Arial" w:cs="Arial" w:eastAsia="Arial" w:hAnsi="Arial"/>
          <w:sz w:val="19"/>
          <w:szCs w:val="19"/>
          <w:color w:val="auto"/>
        </w:rPr>
      </w:pPr>
    </w:p>
    <w:p>
      <w:pPr>
        <w:jc w:val="both"/>
        <w:ind w:left="668" w:right="20" w:hanging="668"/>
        <w:spacing w:after="0" w:line="299" w:lineRule="auto"/>
        <w:tabs>
          <w:tab w:leader="none" w:pos="6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any person who signed a document (which we have reviewed for the purposes of the opinion given in this letter) as a witness was physically present at the time when the signatory signed such document;</w:t>
      </w:r>
    </w:p>
    <w:p>
      <w:pPr>
        <w:spacing w:after="0" w:line="132" w:lineRule="exact"/>
        <w:rPr>
          <w:rFonts w:ascii="Arial" w:cs="Arial" w:eastAsia="Arial" w:hAnsi="Arial"/>
          <w:sz w:val="18"/>
          <w:szCs w:val="18"/>
          <w:color w:val="auto"/>
        </w:rPr>
      </w:pPr>
    </w:p>
    <w:p>
      <w:pPr>
        <w:ind w:left="668" w:right="20" w:hanging="668"/>
        <w:spacing w:after="0" w:line="270" w:lineRule="auto"/>
        <w:tabs>
          <w:tab w:leader="none" w:pos="6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668" w:hanging="668"/>
        <w:spacing w:after="0"/>
        <w:tabs>
          <w:tab w:leader="none" w:pos="6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668" w:right="20" w:hanging="668"/>
        <w:spacing w:after="0" w:line="270" w:lineRule="auto"/>
        <w:tabs>
          <w:tab w:leader="none" w:pos="6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jc w:val="both"/>
        <w:ind w:left="1408" w:right="40" w:hanging="854"/>
        <w:spacing w:after="0" w:line="254" w:lineRule="auto"/>
        <w:tabs>
          <w:tab w:leader="none" w:pos="1408" w:val="left"/>
        </w:tabs>
        <w:numPr>
          <w:ilvl w:val="2"/>
          <w:numId w:val="50"/>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70" w:lineRule="exact"/>
        <w:rPr>
          <w:rFonts w:ascii="Arial" w:cs="Arial" w:eastAsia="Arial" w:hAnsi="Arial"/>
          <w:sz w:val="19"/>
          <w:szCs w:val="19"/>
          <w:color w:val="auto"/>
        </w:rPr>
      </w:pPr>
    </w:p>
    <w:p>
      <w:pPr>
        <w:ind w:left="1408" w:right="20" w:hanging="899"/>
        <w:spacing w:after="0" w:line="270" w:lineRule="auto"/>
        <w:tabs>
          <w:tab w:leader="none" w:pos="1408" w:val="left"/>
        </w:tabs>
        <w:numPr>
          <w:ilvl w:val="2"/>
          <w:numId w:val="50"/>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156" w:lineRule="exact"/>
        <w:rPr>
          <w:rFonts w:ascii="Arial" w:cs="Arial" w:eastAsia="Arial" w:hAnsi="Arial"/>
          <w:sz w:val="19"/>
          <w:szCs w:val="19"/>
          <w:color w:val="auto"/>
        </w:rPr>
      </w:pPr>
    </w:p>
    <w:p>
      <w:pPr>
        <w:jc w:val="both"/>
        <w:ind w:left="1388" w:right="20" w:hanging="924"/>
        <w:spacing w:after="0" w:line="254" w:lineRule="auto"/>
        <w:tabs>
          <w:tab w:leader="none" w:pos="1388" w:val="left"/>
        </w:tabs>
        <w:numPr>
          <w:ilvl w:val="2"/>
          <w:numId w:val="50"/>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1388" w:right="20" w:hanging="939"/>
        <w:spacing w:after="0" w:line="248" w:lineRule="auto"/>
        <w:tabs>
          <w:tab w:leader="none" w:pos="1388" w:val="left"/>
        </w:tabs>
        <w:numPr>
          <w:ilvl w:val="1"/>
          <w:numId w:val="50"/>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6" w:lineRule="exact"/>
        <w:rPr>
          <w:rFonts w:ascii="Arial" w:cs="Arial" w:eastAsia="Arial" w:hAnsi="Arial"/>
          <w:sz w:val="19"/>
          <w:szCs w:val="19"/>
          <w:color w:val="auto"/>
        </w:rPr>
      </w:pPr>
    </w:p>
    <w:p>
      <w:pPr>
        <w:ind w:left="1388" w:right="40" w:hanging="894"/>
        <w:spacing w:after="0" w:line="270" w:lineRule="auto"/>
        <w:tabs>
          <w:tab w:leader="none" w:pos="1388" w:val="left"/>
        </w:tabs>
        <w:numPr>
          <w:ilvl w:val="1"/>
          <w:numId w:val="50"/>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575310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354" w:right="1319" w:bottom="1440" w:gutter="0" w:footer="0" w:header="0"/>
        </w:sectPr>
      </w:pPr>
    </w:p>
    <w:bookmarkStart w:id="70" w:name="page71"/>
    <w:bookmarkEnd w:id="70"/>
    <w:p>
      <w:pPr>
        <w:ind w:left="1508" w:right="860"/>
        <w:spacing w:after="0" w:line="270" w:lineRule="auto"/>
        <w:rPr>
          <w:sz w:val="20"/>
          <w:szCs w:val="20"/>
          <w:color w:val="auto"/>
        </w:rPr>
      </w:pPr>
      <w:r>
        <w:rPr>
          <w:rFonts w:ascii="Arial" w:cs="Arial" w:eastAsia="Arial" w:hAnsi="Arial"/>
          <w:sz w:val="19"/>
          <w:szCs w:val="19"/>
          <w:color w:val="auto"/>
        </w:rPr>
        <w:t>Insolvency Act 1986) has made an application to the court for the appointment of an administrator of the Company;</w:t>
      </w:r>
    </w:p>
    <w:p>
      <w:pPr>
        <w:spacing w:after="0" w:line="156" w:lineRule="exact"/>
        <w:rPr>
          <w:sz w:val="20"/>
          <w:szCs w:val="20"/>
          <w:color w:val="auto"/>
        </w:rPr>
      </w:pPr>
    </w:p>
    <w:p>
      <w:pPr>
        <w:ind w:left="1388" w:right="20" w:hanging="939"/>
        <w:spacing w:after="0" w:line="270" w:lineRule="auto"/>
        <w:tabs>
          <w:tab w:leader="none" w:pos="1388" w:val="left"/>
        </w:tabs>
        <w:numPr>
          <w:ilvl w:val="3"/>
          <w:numId w:val="51"/>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1388" w:hanging="999"/>
        <w:spacing w:after="0" w:line="270" w:lineRule="auto"/>
        <w:tabs>
          <w:tab w:leader="none" w:pos="1388" w:val="left"/>
        </w:tabs>
        <w:numPr>
          <w:ilvl w:val="2"/>
          <w:numId w:val="52"/>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156" w:lineRule="exact"/>
        <w:rPr>
          <w:rFonts w:ascii="Arial" w:cs="Arial" w:eastAsia="Arial" w:hAnsi="Arial"/>
          <w:sz w:val="19"/>
          <w:szCs w:val="19"/>
          <w:color w:val="auto"/>
        </w:rPr>
      </w:pPr>
    </w:p>
    <w:p>
      <w:pPr>
        <w:jc w:val="both"/>
        <w:ind w:left="668" w:hanging="668"/>
        <w:spacing w:after="0" w:line="241" w:lineRule="auto"/>
        <w:tabs>
          <w:tab w:leader="none" w:pos="66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as at each Allotment Date, the Company has not taken nor will take any corporate or other action nor have any steps been taken or legal proceedings been started 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185" w:lineRule="exact"/>
        <w:rPr>
          <w:rFonts w:ascii="Arial" w:cs="Arial" w:eastAsia="Arial" w:hAnsi="Arial"/>
          <w:sz w:val="19"/>
          <w:szCs w:val="19"/>
          <w:color w:val="auto"/>
        </w:rPr>
      </w:pPr>
    </w:p>
    <w:p>
      <w:pPr>
        <w:jc w:val="both"/>
        <w:ind w:left="668" w:right="20" w:hanging="668"/>
        <w:spacing w:after="0" w:line="242" w:lineRule="auto"/>
        <w:tabs>
          <w:tab w:leader="none" w:pos="66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185" w:lineRule="exact"/>
        <w:rPr>
          <w:rFonts w:ascii="Arial" w:cs="Arial" w:eastAsia="Arial" w:hAnsi="Arial"/>
          <w:sz w:val="19"/>
          <w:szCs w:val="19"/>
          <w:color w:val="auto"/>
        </w:rPr>
      </w:pPr>
    </w:p>
    <w:p>
      <w:pPr>
        <w:jc w:val="both"/>
        <w:ind w:left="688" w:right="20" w:hanging="674"/>
        <w:spacing w:after="0" w:line="254" w:lineRule="auto"/>
        <w:tabs>
          <w:tab w:leader="none" w:pos="688"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3.8(u) or any other insolvency procedure has occurred in respect of the Company in a country other than England and that no steps have been taken to subject either of them to such a procedure;</w:t>
      </w:r>
    </w:p>
    <w:p>
      <w:pPr>
        <w:spacing w:after="0" w:line="170" w:lineRule="exact"/>
        <w:rPr>
          <w:rFonts w:ascii="Arial" w:cs="Arial" w:eastAsia="Arial" w:hAnsi="Arial"/>
          <w:sz w:val="19"/>
          <w:szCs w:val="19"/>
          <w:color w:val="auto"/>
        </w:rPr>
      </w:pPr>
    </w:p>
    <w:p>
      <w:pPr>
        <w:jc w:val="both"/>
        <w:ind w:left="688" w:hanging="674"/>
        <w:spacing w:after="0" w:line="245" w:lineRule="auto"/>
        <w:tabs>
          <w:tab w:leader="none" w:pos="688"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80" w:lineRule="exact"/>
        <w:rPr>
          <w:rFonts w:ascii="Arial" w:cs="Arial" w:eastAsia="Arial" w:hAnsi="Arial"/>
          <w:sz w:val="19"/>
          <w:szCs w:val="19"/>
          <w:color w:val="auto"/>
        </w:rPr>
      </w:pPr>
    </w:p>
    <w:p>
      <w:pPr>
        <w:jc w:val="both"/>
        <w:ind w:left="688" w:right="20" w:hanging="674"/>
        <w:spacing w:after="0" w:line="248" w:lineRule="auto"/>
        <w:tabs>
          <w:tab w:leader="none" w:pos="688" w:val="left"/>
        </w:tabs>
        <w:numPr>
          <w:ilvl w:val="1"/>
          <w:numId w:val="53"/>
        </w:numPr>
        <w:rPr>
          <w:rFonts w:ascii="Arial" w:cs="Arial" w:eastAsia="Arial" w:hAnsi="Arial"/>
          <w:sz w:val="19"/>
          <w:szCs w:val="19"/>
          <w:color w:val="auto"/>
        </w:rPr>
      </w:pPr>
      <w:r>
        <w:rPr>
          <w:rFonts w:ascii="Arial" w:cs="Arial" w:eastAsia="Arial" w:hAnsi="Arial"/>
          <w:sz w:val="19"/>
          <w:szCs w:val="19"/>
          <w:color w:val="auto"/>
        </w:rPr>
        <w:t>to extent that the entry into of a document in paragraph 2.4 by the Company constitutes or constituted a regulated activity for the purposes of the Financial Services and Markets Act 2000 the Company is, was at the relevant time and will be at all relevant times in compliance with all applicable requirements of that Act and any regulations or rules made under that Act;</w:t>
      </w:r>
    </w:p>
    <w:p>
      <w:pPr>
        <w:spacing w:after="0" w:line="177" w:lineRule="exact"/>
        <w:rPr>
          <w:sz w:val="20"/>
          <w:szCs w:val="20"/>
          <w:color w:val="auto"/>
        </w:rPr>
      </w:pPr>
    </w:p>
    <w:p>
      <w:pPr>
        <w:ind w:left="748" w:right="20" w:hanging="740"/>
        <w:spacing w:after="0" w:line="270" w:lineRule="auto"/>
        <w:tabs>
          <w:tab w:leader="none" w:pos="51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that there are or were no written or oral representations made in connection with the documents in paragraph 2.4 which have not been disclosed to us;</w:t>
      </w:r>
    </w:p>
    <w:p>
      <w:pPr>
        <w:spacing w:after="0" w:line="156" w:lineRule="exact"/>
        <w:rPr>
          <w:rFonts w:ascii="Arial" w:cs="Arial" w:eastAsia="Arial" w:hAnsi="Arial"/>
          <w:sz w:val="19"/>
          <w:szCs w:val="19"/>
          <w:color w:val="auto"/>
        </w:rPr>
      </w:pPr>
    </w:p>
    <w:p>
      <w:pPr>
        <w:ind w:left="748" w:right="20" w:hanging="739"/>
        <w:spacing w:after="0" w:line="270" w:lineRule="auto"/>
        <w:tabs>
          <w:tab w:leader="none" w:pos="46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that there are or were no written or oral agreements modifying the terms of the documents in paragraph 2.4 which have not been disclosed to us;</w:t>
      </w:r>
    </w:p>
    <w:p>
      <w:pPr>
        <w:spacing w:after="0" w:line="156" w:lineRule="exact"/>
        <w:rPr>
          <w:rFonts w:ascii="Arial" w:cs="Arial" w:eastAsia="Arial" w:hAnsi="Arial"/>
          <w:sz w:val="19"/>
          <w:szCs w:val="19"/>
          <w:color w:val="auto"/>
        </w:rPr>
      </w:pPr>
    </w:p>
    <w:p>
      <w:pPr>
        <w:ind w:left="748" w:right="20" w:hanging="739"/>
        <w:spacing w:after="0" w:line="254" w:lineRule="auto"/>
        <w:tabs>
          <w:tab w:leader="none" w:pos="4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that all the information provided to us by or on behalf the Company or otherwise for the purpose of these opinions is accurate, there is no other information known to the Company or its employees, agents or sub-contractors or advisers 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584200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354" w:right="1319" w:bottom="1440" w:gutter="0" w:footer="0" w:header="0"/>
        </w:sectPr>
      </w:pPr>
    </w:p>
    <w:bookmarkStart w:id="71" w:name="page72"/>
    <w:bookmarkEnd w:id="71"/>
    <w:p>
      <w:pPr>
        <w:ind w:left="2417"/>
        <w:spacing w:after="0"/>
        <w:rPr>
          <w:sz w:val="20"/>
          <w:szCs w:val="20"/>
          <w:color w:val="auto"/>
        </w:rPr>
      </w:pPr>
      <w:r>
        <w:rPr>
          <w:rFonts w:ascii="Arial" w:cs="Arial" w:eastAsia="Arial" w:hAnsi="Arial"/>
          <w:sz w:val="19"/>
          <w:szCs w:val="19"/>
          <w:color w:val="auto"/>
        </w:rPr>
        <w:t>disclosed to us which would affect the opinions expressed below; and</w:t>
      </w:r>
    </w:p>
    <w:p>
      <w:pPr>
        <w:spacing w:after="0" w:line="214" w:lineRule="exact"/>
        <w:rPr>
          <w:sz w:val="20"/>
          <w:szCs w:val="20"/>
          <w:color w:val="auto"/>
        </w:rPr>
      </w:pPr>
    </w:p>
    <w:p>
      <w:pPr>
        <w:ind w:left="1497" w:right="220" w:hanging="739"/>
        <w:spacing w:after="0" w:line="270" w:lineRule="auto"/>
        <w:tabs>
          <w:tab w:leader="none" w:pos="116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372" w:lineRule="exact"/>
        <w:rPr>
          <w:rFonts w:ascii="Arial" w:cs="Arial" w:eastAsia="Arial" w:hAnsi="Arial"/>
          <w:sz w:val="19"/>
          <w:szCs w:val="19"/>
          <w:color w:val="auto"/>
        </w:rPr>
      </w:pPr>
    </w:p>
    <w:p>
      <w:pPr>
        <w:ind w:left="757" w:hanging="757"/>
        <w:spacing w:after="0"/>
        <w:tabs>
          <w:tab w:leader="none" w:pos="757"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3" w:lineRule="exact"/>
        <w:rPr>
          <w:rFonts w:ascii="Arial" w:cs="Arial" w:eastAsia="Arial" w:hAnsi="Arial"/>
          <w:sz w:val="19"/>
          <w:szCs w:val="19"/>
          <w:b w:val="1"/>
          <w:bCs w:val="1"/>
          <w:color w:val="auto"/>
        </w:rPr>
      </w:pPr>
    </w:p>
    <w:p>
      <w:pPr>
        <w:jc w:val="both"/>
        <w:ind w:left="757"/>
        <w:spacing w:after="0" w:line="243" w:lineRule="auto"/>
        <w:rPr>
          <w:rFonts w:ascii="Arial" w:cs="Arial" w:eastAsia="Arial" w:hAnsi="Arial"/>
          <w:sz w:val="19"/>
          <w:szCs w:val="19"/>
          <w:b w:val="1"/>
          <w:bCs w:val="1"/>
          <w:color w:val="auto"/>
        </w:rPr>
      </w:pPr>
      <w:r>
        <w:rPr>
          <w:rFonts w:ascii="Arial" w:cs="Arial" w:eastAsia="Arial" w:hAnsi="Arial"/>
          <w:sz w:val="19"/>
          <w:szCs w:val="19"/>
          <w:color w:val="auto"/>
        </w:rPr>
        <w:t>On the basis of the above assumptions (and subject to the reservations and qualifications set out herein (including without limitation under paragraph 3.8(e)) and to any matters not disclosed to us) we are of the opinion that the Relevant Shares are or will be, when registered in the name of the recipient in the register of members of the Company and when paid for and issued pursuant to the terms of the Sales Agreement or otherwise as contemplated by the Registration Statement, duly and validly authorised and issued, fully paid or credited as fully paid.</w:t>
      </w:r>
    </w:p>
    <w:p>
      <w:pPr>
        <w:spacing w:after="0" w:line="184" w:lineRule="exact"/>
        <w:rPr>
          <w:rFonts w:ascii="Arial" w:cs="Arial" w:eastAsia="Arial" w:hAnsi="Arial"/>
          <w:sz w:val="19"/>
          <w:szCs w:val="19"/>
          <w:b w:val="1"/>
          <w:bCs w:val="1"/>
          <w:color w:val="auto"/>
        </w:rPr>
      </w:pPr>
    </w:p>
    <w:p>
      <w:pPr>
        <w:ind w:left="757" w:hanging="757"/>
        <w:spacing w:after="0"/>
        <w:tabs>
          <w:tab w:leader="none" w:pos="757"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677" w:right="20" w:hanging="681"/>
        <w:spacing w:after="0" w:line="254" w:lineRule="auto"/>
        <w:tabs>
          <w:tab w:leader="none" w:pos="656"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677" w:right="20" w:hanging="681"/>
        <w:spacing w:after="0" w:line="245" w:lineRule="auto"/>
        <w:tabs>
          <w:tab w:leader="none" w:pos="656"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 Our liability under this opinion is limited to $25m.</w:t>
      </w:r>
    </w:p>
    <w:p>
      <w:pPr>
        <w:spacing w:after="0" w:line="397" w:lineRule="exact"/>
        <w:rPr>
          <w:sz w:val="20"/>
          <w:szCs w:val="20"/>
          <w:color w:val="auto"/>
        </w:rPr>
      </w:pPr>
    </w:p>
    <w:p>
      <w:pPr>
        <w:ind w:left="757" w:hanging="757"/>
        <w:spacing w:after="0"/>
        <w:tabs>
          <w:tab w:leader="none" w:pos="757"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677" w:hanging="681"/>
        <w:spacing w:after="0" w:line="245" w:lineRule="auto"/>
        <w:tabs>
          <w:tab w:leader="none" w:pos="656"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ind w:left="677" w:right="40" w:hanging="680"/>
        <w:spacing w:after="0" w:line="270" w:lineRule="auto"/>
        <w:tabs>
          <w:tab w:leader="none" w:pos="656"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ind w:left="17"/>
        <w:spacing w:after="0"/>
        <w:rPr>
          <w:sz w:val="20"/>
          <w:szCs w:val="20"/>
          <w:color w:val="auto"/>
        </w:rPr>
      </w:pPr>
      <w:r>
        <w:rPr>
          <w:rFonts w:ascii="Arial" w:cs="Arial" w:eastAsia="Arial" w:hAnsi="Arial"/>
          <w:sz w:val="19"/>
          <w:szCs w:val="19"/>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6985</wp:posOffset>
            </wp:positionV>
            <wp:extent cx="2219960" cy="4457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2219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7"/>
        <w:spacing w:after="0"/>
        <w:rPr>
          <w:sz w:val="20"/>
          <w:szCs w:val="20"/>
          <w:color w:val="auto"/>
        </w:rPr>
      </w:pPr>
      <w:r>
        <w:rPr>
          <w:rFonts w:ascii="Arial" w:cs="Arial" w:eastAsia="Arial" w:hAnsi="Arial"/>
          <w:sz w:val="19"/>
          <w:szCs w:val="1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611505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7"/>
          </w:cols>
          <w:pgMar w:left="463" w:top="1354" w:right="1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REZOLVE AI PLC</w:t>
      </w:r>
    </w:p>
    <w:p>
      <w:pPr>
        <w:jc w:val="center"/>
        <w:spacing w:after="0" w:line="230" w:lineRule="auto"/>
        <w:rPr>
          <w:sz w:val="20"/>
          <w:szCs w:val="20"/>
          <w:color w:val="auto"/>
        </w:rPr>
      </w:pPr>
      <w:r>
        <w:rPr>
          <w:rFonts w:ascii="Times New Roman" w:cs="Times New Roman" w:eastAsia="Times New Roman" w:hAnsi="Times New Roman"/>
          <w:sz w:val="22"/>
          <w:szCs w:val="22"/>
          <w:color w:val="auto"/>
        </w:rPr>
        <w:t>Ordinary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(nominal value £0.0001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Controlled Equity Offering</w:t>
      </w:r>
      <w:r>
        <w:rPr>
          <w:rFonts w:ascii="Times New Roman" w:cs="Times New Roman" w:eastAsia="Times New Roman" w:hAnsi="Times New Roman"/>
          <w:sz w:val="28"/>
          <w:szCs w:val="28"/>
          <w:b w:val="1"/>
          <w:bCs w:val="1"/>
          <w:color w:val="auto"/>
          <w:vertAlign w:val="superscript"/>
        </w:rPr>
        <w:t>SM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November 28,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East 59th Street</w:t>
      </w: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Roth Capital Partners,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 San Clemente Drive, Suite 400</w:t>
      </w:r>
    </w:p>
    <w:p>
      <w:pPr>
        <w:spacing w:after="0"/>
        <w:rPr>
          <w:sz w:val="20"/>
          <w:szCs w:val="20"/>
          <w:color w:val="auto"/>
        </w:rPr>
      </w:pPr>
      <w:r>
        <w:rPr>
          <w:rFonts w:ascii="Times New Roman" w:cs="Times New Roman" w:eastAsia="Times New Roman" w:hAnsi="Times New Roman"/>
          <w:sz w:val="22"/>
          <w:szCs w:val="22"/>
          <w:color w:val="auto"/>
        </w:rPr>
        <w:t>Newport Beach, CA 92660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Northland Securities,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South Fifth Street, Suite 3300</w:t>
      </w:r>
    </w:p>
    <w:p>
      <w:pPr>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 Group LLC</w:t>
      </w:r>
    </w:p>
    <w:p>
      <w:pPr>
        <w:spacing w:after="0" w:line="201" w:lineRule="auto"/>
        <w:rPr>
          <w:sz w:val="20"/>
          <w:szCs w:val="20"/>
          <w:color w:val="auto"/>
        </w:rPr>
      </w:pPr>
      <w:r>
        <w:rPr>
          <w:rFonts w:ascii="Times New Roman" w:cs="Times New Roman" w:eastAsia="Times New Roman" w:hAnsi="Times New Roman"/>
          <w:sz w:val="22"/>
          <w:szCs w:val="22"/>
          <w:color w:val="auto"/>
        </w:rPr>
        <w:t>300 Park Avenue,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A.G.P./Alliance Global Partners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 Madison Avenue</w:t>
      </w: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Rezolve AI plc, a limited company incorporated under the laws of England and Wales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with Cantor Fitzgerald &amp; Co., Roth Capital Partners, LLC, Northland Securities, Inc., Maxim Group LLC and A.G.P./Alliance Global Partners (each individually an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u w:val="single" w:color="auto"/>
          <w:color w:val="auto"/>
        </w:rPr>
        <w:t>Agents</w:t>
      </w:r>
      <w:r>
        <w:rPr>
          <w:rFonts w:ascii="Times New Roman" w:cs="Times New Roman" w:eastAsia="Times New Roman" w:hAnsi="Times New Roman"/>
          <w:sz w:val="22"/>
          <w:szCs w:val="22"/>
          <w:color w:val="auto"/>
        </w:rPr>
        <w:t>”), as follows:</w:t>
      </w:r>
    </w:p>
    <w:p>
      <w:pPr>
        <w:spacing w:after="0" w:line="198" w:lineRule="exact"/>
        <w:rPr>
          <w:sz w:val="20"/>
          <w:szCs w:val="20"/>
          <w:color w:val="auto"/>
        </w:rPr>
      </w:pPr>
    </w:p>
    <w:p>
      <w:pPr>
        <w:jc w:val="both"/>
        <w:ind w:firstLine="757"/>
        <w:spacing w:after="0" w:line="235"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 the term of this Agreement, on the terms and subject to the conditions set forth herein, it may issue and sell to or through the Agents, as sales agent or principal, ordinary shares (the “</w:t>
      </w:r>
      <w:r>
        <w:rPr>
          <w:rFonts w:ascii="Times New Roman" w:cs="Times New Roman" w:eastAsia="Times New Roman" w:hAnsi="Times New Roman"/>
          <w:sz w:val="22"/>
          <w:szCs w:val="22"/>
          <w:b w:val="1"/>
          <w:bCs w:val="1"/>
          <w:u w:val="single" w:color="auto"/>
          <w:color w:val="auto"/>
        </w:rPr>
        <w:t>Placement Shares</w:t>
      </w:r>
      <w:r>
        <w:rPr>
          <w:rFonts w:ascii="Times New Roman" w:cs="Times New Roman" w:eastAsia="Times New Roman" w:hAnsi="Times New Roman"/>
          <w:sz w:val="22"/>
          <w:szCs w:val="22"/>
          <w:color w:val="auto"/>
        </w:rPr>
        <w:t>”) of the Company, nominal value £0.0001 per share (the “</w:t>
      </w:r>
      <w:r>
        <w:rPr>
          <w:rFonts w:ascii="Times New Roman" w:cs="Times New Roman" w:eastAsia="Times New Roman" w:hAnsi="Times New Roman"/>
          <w:sz w:val="22"/>
          <w:szCs w:val="22"/>
          <w:b w:val="1"/>
          <w:bCs w:val="1"/>
          <w:u w:val="single" w:color="auto"/>
          <w:color w:val="auto"/>
        </w:rPr>
        <w:t>Ordinary 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no event shall the Company issue or sell through the Agents such number or dollar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Placement Shares that would (a) exceed the number or dollar amount of Ordinary Shares registered on the effective Registration Statement (defined below) pursuant to which the offering is being made, (b) exceed the number of Ordinary Shares that the directors of the Company have been granted the authority and power to allot from time to time pursuant to the UK Companies Act 2006, as amended (the “</w:t>
      </w:r>
      <w:r>
        <w:rPr>
          <w:rFonts w:ascii="Times New Roman" w:cs="Times New Roman" w:eastAsia="Times New Roman" w:hAnsi="Times New Roman"/>
          <w:sz w:val="22"/>
          <w:szCs w:val="22"/>
          <w:b w:val="1"/>
          <w:bCs w:val="1"/>
          <w:u w:val="single" w:color="auto"/>
          <w:color w:val="auto"/>
        </w:rPr>
        <w:t>Companies Act</w:t>
      </w:r>
      <w:r>
        <w:rPr>
          <w:rFonts w:ascii="Times New Roman" w:cs="Times New Roman" w:eastAsia="Times New Roman" w:hAnsi="Times New Roman"/>
          <w:sz w:val="22"/>
          <w:szCs w:val="22"/>
          <w:color w:val="auto"/>
        </w:rPr>
        <w:t>”) (taking account of any offer or agreement which would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3" w:name="page74"/>
    <w:bookmarkEnd w:id="73"/>
    <w:p>
      <w:pPr>
        <w:jc w:val="both"/>
        <w:spacing w:after="0" w:line="234" w:lineRule="auto"/>
        <w:rPr>
          <w:sz w:val="20"/>
          <w:szCs w:val="20"/>
          <w:color w:val="auto"/>
        </w:rPr>
      </w:pPr>
      <w:r>
        <w:rPr>
          <w:rFonts w:ascii="Times New Roman" w:cs="Times New Roman" w:eastAsia="Times New Roman" w:hAnsi="Times New Roman"/>
          <w:sz w:val="22"/>
          <w:szCs w:val="22"/>
          <w:color w:val="auto"/>
        </w:rPr>
        <w:t>or might require Ordinary Shares to be allotted or rights to subscribe for or to convert any security into Ordinary Shares), (c) exceed the number or dollar amount of Ordinary Shares permitted to be sold under Form F-3 (including General Instruction I.B.5 thereof, if applicable) or (d) exceed the number or dollar amount of Ordinary Shares for which the Company has filed a Prospectus Supplement (defined below) (the lesser of (a), (b), (c) and (d), the “</w:t>
      </w:r>
      <w:r>
        <w:rPr>
          <w:rFonts w:ascii="Times New Roman" w:cs="Times New Roman" w:eastAsia="Times New Roman" w:hAnsi="Times New Roman"/>
          <w:sz w:val="22"/>
          <w:szCs w:val="22"/>
          <w:b w:val="1"/>
          <w:bCs w:val="1"/>
          <w:u w:val="single" w:color="auto"/>
          <w:color w:val="auto"/>
        </w:rPr>
        <w:t>Maximum Amount</w:t>
      </w:r>
      <w:r>
        <w:rPr>
          <w:rFonts w:ascii="Times New Roman" w:cs="Times New Roman" w:eastAsia="Times New Roman" w:hAnsi="Times New Roman"/>
          <w:sz w:val="22"/>
          <w:szCs w:val="22"/>
          <w:color w:val="auto"/>
        </w:rPr>
        <w:t xml:space="preserve"> ”). Notwithstanding anything to the contrary contained herein, the parties hereto agree that compliance with the limitations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filed by the Company and which will be declared effective by the Securities and Exchange Commission (the “</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although nothing in this Agreement shall be construed as requiring the Company to use the Registration Statement to issue Ordinary Shares.</w:t>
      </w:r>
    </w:p>
    <w:p>
      <w:pPr>
        <w:spacing w:after="0" w:line="17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Company shall file, in accordance with the provisions of the Securities Act of 1933, as amended (the “</w:t>
      </w:r>
      <w:r>
        <w:rPr>
          <w:rFonts w:ascii="Times New Roman" w:cs="Times New Roman" w:eastAsia="Times New Roman" w:hAnsi="Times New Roman"/>
          <w:sz w:val="22"/>
          <w:szCs w:val="22"/>
          <w:b w:val="1"/>
          <w:bCs w:val="1"/>
          <w:u w:val="single" w:color="auto"/>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color w:val="auto"/>
        </w:rPr>
        <w:t>”), and the rules and regulations thereunder (the “</w:t>
      </w:r>
      <w:r>
        <w:rPr>
          <w:rFonts w:ascii="Times New Roman" w:cs="Times New Roman" w:eastAsia="Times New Roman" w:hAnsi="Times New Roman"/>
          <w:sz w:val="22"/>
          <w:szCs w:val="22"/>
          <w:b w:val="1"/>
          <w:bCs w:val="1"/>
          <w:u w:val="single" w:color="auto"/>
          <w:color w:val="auto"/>
        </w:rPr>
        <w:t>Securities Act Regulations</w:t>
      </w:r>
      <w:r>
        <w:rPr>
          <w:rFonts w:ascii="Times New Roman" w:cs="Times New Roman" w:eastAsia="Times New Roman" w:hAnsi="Times New Roman"/>
          <w:sz w:val="22"/>
          <w:szCs w:val="22"/>
          <w:color w:val="auto"/>
        </w:rPr>
        <w:t>”), with the Commission a registration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Form F-3,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22"/>
          <w:szCs w:val="22"/>
          <w:b w:val="1"/>
          <w:bCs w:val="1"/>
          <w:u w:val="single" w:color="auto"/>
          <w:color w:val="auto"/>
        </w:rPr>
        <w:t>Prospectus Supplement</w:t>
      </w:r>
      <w:r>
        <w:rPr>
          <w:rFonts w:ascii="Times New Roman" w:cs="Times New Roman" w:eastAsia="Times New Roman" w:hAnsi="Times New Roman"/>
          <w:sz w:val="22"/>
          <w:szCs w:val="22"/>
          <w:color w:val="auto"/>
        </w:rPr>
        <w:t>”). The Company will furnish to the Agents, for use by the Agents, copies of the prospectus included as part of such registration statement, 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F-3 from time to time that will contain a base prospectus and related prospectus or prospectus supplement, if applicable (which shall be a Prospectus Supplement), with respect to the Placement Shares, is herein called the “</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22"/>
          <w:szCs w:val="22"/>
          <w:b w:val="1"/>
          <w:bCs w:val="1"/>
          <w:u w:val="single" w:color="auto"/>
          <w:color w:val="auto"/>
        </w:rPr>
        <w:t>Prospectus</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22"/>
          <w:szCs w:val="22"/>
          <w:b w:val="1"/>
          <w:bCs w:val="1"/>
          <w:u w:val="single" w:color="auto"/>
          <w:color w:val="auto"/>
        </w:rPr>
        <w:t>Incorporated Documents</w:t>
      </w:r>
      <w:r>
        <w:rPr>
          <w:rFonts w:ascii="Times New Roman" w:cs="Times New Roman" w:eastAsia="Times New Roman" w:hAnsi="Times New Roman"/>
          <w:sz w:val="22"/>
          <w:szCs w:val="22"/>
          <w:color w:val="auto"/>
        </w:rPr>
        <w:t>”), including, unless the context otherwise requires, the documents, if any, filed as exhibits to such Incorporated Documents. Any reference herein to the terms “amend,” “amendment” or “supplement” with</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4" w:name="page75"/>
    <w:bookmarkEnd w:id="74"/>
    <w:p>
      <w:pPr>
        <w:jc w:val="both"/>
        <w:spacing w:after="0" w:line="235" w:lineRule="auto"/>
        <w:rPr>
          <w:sz w:val="20"/>
          <w:szCs w:val="20"/>
          <w:color w:val="auto"/>
        </w:rPr>
      </w:pPr>
      <w:r>
        <w:rPr>
          <w:rFonts w:ascii="Times New Roman" w:cs="Times New Roman" w:eastAsia="Times New Roman" w:hAnsi="Times New Roman"/>
          <w:sz w:val="22"/>
          <w:szCs w:val="22"/>
          <w:color w:val="auto"/>
        </w:rPr>
        <w:t>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22"/>
          <w:szCs w:val="22"/>
          <w:b w:val="1"/>
          <w:bCs w:val="1"/>
          <w:u w:val="single" w:color="auto"/>
          <w:color w:val="auto"/>
        </w:rPr>
        <w:t>EDGAR</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757"/>
        <w:spacing w:after="0" w:line="243" w:lineRule="auto"/>
        <w:tabs>
          <w:tab w:leader="none" w:pos="101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Placements</w:t>
      </w:r>
      <w:r>
        <w:rPr>
          <w:rFonts w:ascii="Times New Roman" w:cs="Times New Roman" w:eastAsia="Times New Roman" w:hAnsi="Times New Roman"/>
          <w:sz w:val="21"/>
          <w:szCs w:val="21"/>
          <w:color w:val="auto"/>
        </w:rPr>
        <w:t>. Each time that the Company wishes to issue and sell Placement Shares hereunder (each, a “</w:t>
      </w:r>
      <w:r>
        <w:rPr>
          <w:rFonts w:ascii="Times New Roman" w:cs="Times New Roman" w:eastAsia="Times New Roman" w:hAnsi="Times New Roman"/>
          <w:sz w:val="21"/>
          <w:szCs w:val="21"/>
          <w:b w:val="1"/>
          <w:bCs w:val="1"/>
          <w:u w:val="single" w:color="auto"/>
          <w:color w:val="auto"/>
        </w:rPr>
        <w:t>Placement</w:t>
      </w:r>
      <w:r>
        <w:rPr>
          <w:rFonts w:ascii="Times New Roman" w:cs="Times New Roman" w:eastAsia="Times New Roman" w:hAnsi="Times New Roman"/>
          <w:sz w:val="21"/>
          <w:szCs w:val="21"/>
          <w:color w:val="auto"/>
        </w:rPr>
        <w:t>”), it will notify one of the Agents that the Company may select in its sole discretion from time to time (the “</w:t>
      </w:r>
      <w:r>
        <w:rPr>
          <w:rFonts w:ascii="Times New Roman" w:cs="Times New Roman" w:eastAsia="Times New Roman" w:hAnsi="Times New Roman"/>
          <w:sz w:val="21"/>
          <w:szCs w:val="21"/>
          <w:b w:val="1"/>
          <w:bCs w:val="1"/>
          <w:u w:val="single" w:color="auto"/>
          <w:color w:val="auto"/>
        </w:rPr>
        <w:t>Designated Agent</w:t>
      </w:r>
      <w:r>
        <w:rPr>
          <w:rFonts w:ascii="Times New Roman" w:cs="Times New Roman" w:eastAsia="Times New Roman" w:hAnsi="Times New Roman"/>
          <w:sz w:val="21"/>
          <w:szCs w:val="21"/>
          <w:color w:val="auto"/>
        </w:rPr>
        <w: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21"/>
          <w:szCs w:val="21"/>
          <w:b w:val="1"/>
          <w:bCs w:val="1"/>
          <w:u w:val="single" w:color="auto"/>
          <w:color w:val="auto"/>
        </w:rPr>
        <w:t>Placement Notice</w:t>
      </w:r>
      <w:r>
        <w:rPr>
          <w:rFonts w:ascii="Times New Roman" w:cs="Times New Roman" w:eastAsia="Times New Roman" w:hAnsi="Times New Roman"/>
          <w:sz w:val="21"/>
          <w:szCs w:val="21"/>
          <w:color w:val="auto"/>
        </w:rPr>
        <w:t xml:space="preserve">”), the form of which is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The Placement Notice shall originate from any of the individuals from the Company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may be amended from time to time. The Placement Notice shall be effective unless and until (i) the Designated Agent declines to accept the terms contained therein for any reason, in its sole discretion, (ii) the entire amount of the Placement Shares thereunder have been sold,</w:t>
      </w:r>
    </w:p>
    <w:p>
      <w:pPr>
        <w:spacing w:after="0" w:line="9" w:lineRule="exact"/>
        <w:rPr>
          <w:rFonts w:ascii="Times New Roman" w:cs="Times New Roman" w:eastAsia="Times New Roman" w:hAnsi="Times New Roman"/>
          <w:sz w:val="21"/>
          <w:szCs w:val="21"/>
          <w:color w:val="auto"/>
        </w:rPr>
      </w:pPr>
    </w:p>
    <w:p>
      <w:pPr>
        <w:jc w:val="both"/>
        <w:ind w:firstLine="8"/>
        <w:spacing w:after="0" w:line="232" w:lineRule="auto"/>
        <w:tabs>
          <w:tab w:leader="none" w:pos="3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suspends or terminates the Placement Notice or (iv) this Agreement has been terminated under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79"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of Placement Shares by the Designated Agent</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Times New Roman" w:cs="Times New Roman" w:eastAsia="Times New Roman" w:hAnsi="Times New Roman"/>
          <w:sz w:val="21"/>
          <w:szCs w:val="21"/>
          <w:b w:val="1"/>
          <w:bCs w:val="1"/>
          <w:u w:val="single" w:color="auto"/>
          <w:color w:val="auto"/>
        </w:rPr>
        <w:t>Exchange</w:t>
      </w:r>
      <w:r>
        <w:rPr>
          <w:rFonts w:ascii="Times New Roman" w:cs="Times New Roman" w:eastAsia="Times New Roman" w:hAnsi="Times New Roman"/>
          <w:sz w:val="21"/>
          <w:szCs w:val="21"/>
          <w:color w:val="auto"/>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from the gross proceeds that it receives from such sales. Subject to the terms of the Placement Notice, the Designated Agent may sell Placement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5" w:name="page76"/>
    <w:bookmarkEnd w:id="75"/>
    <w:p>
      <w:pPr>
        <w:jc w:val="both"/>
        <w:spacing w:after="0" w:line="239" w:lineRule="auto"/>
        <w:rPr>
          <w:sz w:val="20"/>
          <w:szCs w:val="20"/>
          <w:color w:val="auto"/>
        </w:rPr>
      </w:pPr>
      <w:r>
        <w:rPr>
          <w:rFonts w:ascii="Times New Roman" w:cs="Times New Roman" w:eastAsia="Times New Roman" w:hAnsi="Times New Roman"/>
          <w:sz w:val="22"/>
          <w:szCs w:val="22"/>
          <w:color w:val="auto"/>
        </w:rPr>
        <w:t>Shares by any method permitted by law deemed to be an “at the market offering” as defined in Rule 415(a)(4) of the Securities Act Regulations or in negotiated transactions, which may include block trades, at market prices prevailing at the time of sale, at prices related to prevailing market prices or at negotiated prices. “</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any day on which Ordinary Shares are traded on the Exchange.</w:t>
      </w:r>
    </w:p>
    <w:p>
      <w:pPr>
        <w:spacing w:after="0" w:line="180" w:lineRule="exact"/>
        <w:rPr>
          <w:sz w:val="20"/>
          <w:szCs w:val="20"/>
          <w:color w:val="auto"/>
        </w:rPr>
      </w:pPr>
    </w:p>
    <w:p>
      <w:pPr>
        <w:jc w:val="both"/>
        <w:ind w:firstLine="757"/>
        <w:spacing w:after="0" w:line="233" w:lineRule="auto"/>
        <w:tabs>
          <w:tab w:leader="none" w:pos="101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suspend any sale of Placement Shares (a “</w:t>
      </w:r>
      <w:r>
        <w:rPr>
          <w:rFonts w:ascii="Times New Roman" w:cs="Times New Roman" w:eastAsia="Times New Roman" w:hAnsi="Times New Roman"/>
          <w:sz w:val="22"/>
          <w:szCs w:val="22"/>
          <w:b w:val="1"/>
          <w:bCs w:val="1"/>
          <w:u w:val="single" w:color="auto"/>
          <w:color w:val="auto"/>
        </w:rPr>
        <w:t>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22"/>
          <w:szCs w:val="22"/>
          <w:u w:val="single" w:color="auto"/>
          <w:color w:val="auto"/>
        </w:rPr>
        <w:t>Sections 7(l)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7(n)</w:t>
      </w:r>
      <w:r>
        <w:rPr>
          <w:rFonts w:ascii="Times New Roman" w:cs="Times New Roman" w:eastAsia="Times New Roman" w:hAnsi="Times New Roman"/>
          <w:sz w:val="22"/>
          <w:szCs w:val="22"/>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any other party unless it is made to one of the individuals named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hereto, as such Schedule may be amended from time to time. Notwithstanding any other provision of this Agreement, during any period in which the Company is in possession of material non-public information, the Company and the Agents agree that (i) no sale of Placement Shares will take place, (ii) the Company shall not request the sale of any Placement Shares, and (iii) the Agents shall not be obligated to sell or offer to sell any Placement Shares.</w:t>
      </w:r>
    </w:p>
    <w:p>
      <w:pPr>
        <w:spacing w:after="0" w:line="18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and Delivery to the Designated Agent; Settlement</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of Placement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73"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The Designated Agent shall notify the Company of each sale of Placement Shares no later than the opening of the Trading Day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6" w:name="page77"/>
    <w:bookmarkEnd w:id="76"/>
    <w:p>
      <w:pPr>
        <w:jc w:val="both"/>
        <w:spacing w:after="0" w:line="238" w:lineRule="auto"/>
        <w:rPr>
          <w:sz w:val="20"/>
          <w:szCs w:val="20"/>
          <w:color w:val="auto"/>
        </w:rPr>
      </w:pPr>
      <w:r>
        <w:rPr>
          <w:rFonts w:ascii="Times New Roman" w:cs="Times New Roman" w:eastAsia="Times New Roman" w:hAnsi="Times New Roman"/>
          <w:sz w:val="22"/>
          <w:szCs w:val="22"/>
          <w:color w:val="auto"/>
        </w:rPr>
        <w:t>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and (ii) any transaction fees imposed by any Governmental Authority in respect of such sales.</w:t>
      </w:r>
    </w:p>
    <w:p>
      <w:pPr>
        <w:spacing w:after="0" w:line="177" w:lineRule="exact"/>
        <w:rPr>
          <w:sz w:val="20"/>
          <w:szCs w:val="20"/>
          <w:color w:val="auto"/>
        </w:rPr>
      </w:pPr>
    </w:p>
    <w:p>
      <w:pPr>
        <w:jc w:val="both"/>
        <w:ind w:firstLine="1505"/>
        <w:spacing w:after="0" w:line="233" w:lineRule="auto"/>
        <w:tabs>
          <w:tab w:leader="none" w:pos="210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Placement Shares</w:t>
      </w:r>
      <w:r>
        <w:rPr>
          <w:rFonts w:ascii="Times New Roman" w:cs="Times New Roman" w:eastAsia="Times New Roman" w:hAnsi="Times New Roman"/>
          <w:sz w:val="22"/>
          <w:szCs w:val="22"/>
          <w:color w:val="auto"/>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10(a)</w:t>
      </w:r>
      <w:r>
        <w:rPr>
          <w:rFonts w:ascii="Times New Roman" w:cs="Times New Roman" w:eastAsia="Times New Roman" w:hAnsi="Times New Roman"/>
          <w:sz w:val="22"/>
          <w:szCs w:val="22"/>
          <w:color w:val="auto"/>
        </w:rPr>
        <w:t xml:space="preserve"> hereto, it will (i) hold the Designated Agent harmless against any loss, claim, damage, or expense (including reasonable legal fees and expenses), as incurred, arising out of or in connection with such default by the Company or its transfer agent (if applicable) and (ii) pay to the Designated Agent any commission, discount, or other compensation to which it would otherwise have been entitled absent such default.</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Denominations; Registration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Certificates for the Placement Shares, if any, shall be in such denominations and registered in such names as the Agents may request in writing at least one full Business Day (as defined below) before the applicable Settlement Date. The certificates for the Placement Shares, if any, will be made available by the Company for examination and packaging by the Agents in The City of New York not later than noon (New York time) on the Business Day prior to the applicable Settlement Date.</w:t>
      </w:r>
    </w:p>
    <w:p>
      <w:pPr>
        <w:spacing w:after="0" w:line="17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Offering Size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8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Sales Through Agents</w:t>
      </w:r>
      <w:r>
        <w:rPr>
          <w:rFonts w:ascii="Times New Roman" w:cs="Times New Roman" w:eastAsia="Times New Roman" w:hAnsi="Times New Roman"/>
          <w:sz w:val="22"/>
          <w:szCs w:val="22"/>
          <w:color w:val="auto"/>
        </w:rPr>
        <w:t>. With respect to the offering and sale of Placement Shares pursuant to this Agreement, the Company agrees that any offer to sell Placement Shares,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2"/>
          <w:szCs w:val="22"/>
          <w:color w:val="auto"/>
        </w:rPr>
        <w:t>any solicitation of an offer to buy Placement Shares, and any sales of Placement Shares shall only be effected by or through the Designated Agent on any single given day, and the Company shall in no event request that more than one Agent offer or sell Placement Shares pursuant to this Agreement on the same day.</w:t>
      </w:r>
    </w:p>
    <w:p>
      <w:pPr>
        <w:spacing w:after="0" w:line="173" w:lineRule="exact"/>
        <w:rPr>
          <w:sz w:val="20"/>
          <w:szCs w:val="20"/>
          <w:color w:val="auto"/>
        </w:rPr>
      </w:pPr>
    </w:p>
    <w:p>
      <w:pPr>
        <w:ind w:firstLine="757"/>
        <w:spacing w:after="0" w:line="258"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 each Agent that as of the date of this Agreement and as of each Applicable Time (as defined below):</w:t>
      </w:r>
    </w:p>
    <w:p>
      <w:pPr>
        <w:spacing w:after="0" w:line="158"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and Prospectus</w:t>
      </w:r>
      <w:r>
        <w:rPr>
          <w:rFonts w:ascii="Times New Roman" w:cs="Times New Roman" w:eastAsia="Times New Roman" w:hAnsi="Times New Roman"/>
          <w:sz w:val="21"/>
          <w:szCs w:val="21"/>
          <w:color w:val="auto"/>
        </w:rPr>
        <w:t>. The Company and the transactions contemplated by this Agreement meet the requirements for and comply with the applicable conditions set forth in Form F-3 (including General Instructions I.A and I.B) under the Securities Act. The Registration Statement has been or will be filed with the Commission and will be declared effective by the Commission under the Securities Act prior to the issuance of any Placement Notices by the Company. As of each Applicable Time, the Registration Statement is effective. The Prospectus Supplement will name each Agent as an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Agents have consented. The Ordinary Shares are registered pursuant to Section 12(b) of the Exchange Act and is currently listed on the Exchange under the trading symbol “RZLV.” The Company has taken no action designed to, or likely to have the effect of, terminating the registration of the Ordinary Shares under the Exchange Act, delisting the Ordinary Shares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84"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w:t>
      </w:r>
      <w:r>
        <w:rPr>
          <w:rFonts w:ascii="Times New Roman" w:cs="Times New Roman" w:eastAsia="Times New Roman" w:hAnsi="Times New Roman"/>
          <w:sz w:val="22"/>
          <w:szCs w:val="22"/>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8" w:name="page79"/>
    <w:bookmarkEnd w:id="78"/>
    <w:p>
      <w:pPr>
        <w:jc w:val="both"/>
        <w:spacing w:after="0" w:line="234" w:lineRule="auto"/>
        <w:rPr>
          <w:sz w:val="20"/>
          <w:szCs w:val="20"/>
          <w:color w:val="auto"/>
        </w:rPr>
      </w:pPr>
      <w:r>
        <w:rPr>
          <w:rFonts w:ascii="Times New Roman" w:cs="Times New Roman" w:eastAsia="Times New Roman" w:hAnsi="Times New Roman"/>
          <w:sz w:val="22"/>
          <w:szCs w:val="22"/>
          <w:color w:val="auto"/>
        </w:rPr>
        <w:t>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Agents in writing specifically for use in the preparation thereof, it being understood and agreed that the only such information furnished by the Agents to the Company consists of “Agents Information” as defined below.</w:t>
      </w:r>
    </w:p>
    <w:p>
      <w:pPr>
        <w:spacing w:after="0" w:line="183" w:lineRule="exact"/>
        <w:rPr>
          <w:sz w:val="20"/>
          <w:szCs w:val="20"/>
          <w:color w:val="auto"/>
        </w:rPr>
      </w:pPr>
    </w:p>
    <w:p>
      <w:pPr>
        <w:jc w:val="both"/>
        <w:ind w:firstLine="1505"/>
        <w:spacing w:after="0" w:line="236"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the Securities Act and Exchange Act</w:t>
      </w:r>
      <w:r>
        <w:rPr>
          <w:rFonts w:ascii="Times New Roman" w:cs="Times New Roman" w:eastAsia="Times New Roman" w:hAnsi="Times New Roman"/>
          <w:sz w:val="22"/>
          <w:szCs w:val="22"/>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1"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Information</w:t>
      </w:r>
      <w:r>
        <w:rPr>
          <w:rFonts w:ascii="Times New Roman" w:cs="Times New Roman" w:eastAsia="Times New Roman" w:hAnsi="Times New Roman"/>
          <w:sz w:val="21"/>
          <w:szCs w:val="21"/>
          <w:color w:val="auto"/>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Securities Act and Exchange Act and in conformity with U.S. Generally Accepted Accounting Principles (“</w:t>
      </w:r>
      <w:r>
        <w:rPr>
          <w:rFonts w:ascii="Times New Roman" w:cs="Times New Roman" w:eastAsia="Times New Roman" w:hAnsi="Times New Roman"/>
          <w:sz w:val="21"/>
          <w:szCs w:val="21"/>
          <w:b w:val="1"/>
          <w:bCs w:val="1"/>
          <w:u w:val="single" w:color="auto"/>
          <w:color w:val="auto"/>
        </w:rPr>
        <w:t>GAAP</w:t>
      </w:r>
      <w:r>
        <w:rPr>
          <w:rFonts w:ascii="Times New Roman" w:cs="Times New Roman" w:eastAsia="Times New Roman" w:hAnsi="Times New Roman"/>
          <w:sz w:val="21"/>
          <w:szCs w:val="21"/>
          <w:color w:val="auto"/>
        </w:rPr>
        <w:t>”) applied on a consistent basis during the periods involved; the other financial and statistical data with respect to the Company and the Subsidiaries (as defined below)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9" w:name="page80"/>
    <w:bookmarkEnd w:id="79"/>
    <w:p>
      <w:pPr>
        <w:jc w:val="both"/>
        <w:ind w:firstLine="1505"/>
        <w:spacing w:after="0" w:line="271" w:lineRule="exact"/>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EDGAR Filing</w:t>
      </w:r>
      <w:r>
        <w:rPr>
          <w:rFonts w:ascii="Times New Roman" w:cs="Times New Roman" w:eastAsia="Times New Roman" w:hAnsi="Times New Roman"/>
          <w:sz w:val="22"/>
          <w:szCs w:val="22"/>
          <w:color w:val="auto"/>
        </w:rPr>
        <w:t>. The Prospectus delivered to the Agents for use in connection with the sale of the Placement Shares pursuant to this Agreement will be identical to the versions of the Prospectus created to be transmitted to the Commission for filing via EDGAR, except to the extent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w:t>
      </w:r>
    </w:p>
    <w:p>
      <w:pPr>
        <w:spacing w:after="0" w:line="145"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49" w:lineRule="exact"/>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The subsidiaries set forth on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u w:val="single" w:color="auto"/>
          <w:color w:val="auto"/>
        </w:rPr>
        <w:t>Subsidiaries</w:t>
      </w:r>
      <w:r>
        <w:rPr>
          <w:rFonts w:ascii="Times New Roman" w:cs="Times New Roman" w:eastAsia="Times New Roman" w:hAnsi="Times New Roman"/>
          <w:sz w:val="22"/>
          <w:szCs w:val="22"/>
          <w:color w:val="auto"/>
        </w:rPr>
        <w:t>”), are the Company’s only significant subsidiaries (as such term is defined in Rule 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02 of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X promulgated by the Commission).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1" w:lineRule="exact"/>
        <w:rPr>
          <w:rFonts w:ascii="Times New Roman" w:cs="Times New Roman" w:eastAsia="Times New Roman" w:hAnsi="Times New Roman"/>
          <w:sz w:val="22"/>
          <w:szCs w:val="22"/>
          <w:color w:val="auto"/>
        </w:rPr>
      </w:pPr>
    </w:p>
    <w:p>
      <w:pPr>
        <w:jc w:val="both"/>
        <w:ind w:firstLine="1505"/>
        <w:spacing w:after="0" w:line="248" w:lineRule="exact"/>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or Default</w:t>
      </w:r>
      <w:r>
        <w:rPr>
          <w:rFonts w:ascii="Times New Roman" w:cs="Times New Roman" w:eastAsia="Times New Roman" w:hAnsi="Times New Roman"/>
          <w:sz w:val="22"/>
          <w:szCs w:val="22"/>
          <w:color w:val="auto"/>
        </w:rPr>
        <w:t>. Neither the Company nor any of its Subsidiaries is (i) in violation of its charter or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Subsequent to the respective dates as of which information is given in the Registration Statement, the Prospectus and the Free Writing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0" w:name="page81"/>
    <w:bookmarkEnd w:id="80"/>
    <w:p>
      <w:pPr>
        <w:jc w:val="both"/>
        <w:spacing w:after="0" w:line="234" w:lineRule="auto"/>
        <w:rPr>
          <w:sz w:val="20"/>
          <w:szCs w:val="20"/>
          <w:color w:val="auto"/>
        </w:rPr>
      </w:pPr>
      <w:r>
        <w:rPr>
          <w:rFonts w:ascii="Times New Roman" w:cs="Times New Roman" w:eastAsia="Times New Roman" w:hAnsi="Times New Roman"/>
          <w:sz w:val="22"/>
          <w:szCs w:val="22"/>
          <w:color w:val="auto"/>
        </w:rPr>
        <w:t>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3" w:lineRule="exact"/>
        <w:rPr>
          <w:sz w:val="20"/>
          <w:szCs w:val="20"/>
          <w:color w:val="auto"/>
        </w:rPr>
      </w:pPr>
    </w:p>
    <w:p>
      <w:pPr>
        <w:jc w:val="both"/>
        <w:ind w:firstLine="1505"/>
        <w:spacing w:after="0" w:line="233" w:lineRule="auto"/>
        <w:tabs>
          <w:tab w:leader="none" w:pos="20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issued and outstanding Ordinary Shares of the Company have been validly issued, are fully paid and nonassessable (which has no recognized meaning under English law, but which for these purposes means that no present or future holder of such shares will be subject to personal liability, by reason of being such a holder, for additional payments or calls for further funds by the Company or any other person) and, other than as disclosed in the Registration Statement or the Prospectus, are not subject to any preemptive rights, rights of first refusal or similar rights. The Company has an authorized, issued and outstanding share capital as set forth in the Registration Statement and the Prospectus as of the dates referred to therein (other than the grant of additional options under the Company’s existing stock option plans, or changes in the number of outstanding Ordinary Shares of the Company due to the issuance of shares upon the exercise or conversion of securities exercisable for, or convertible into, Ordinary Shares outstanding on the date hereof) and such issued share capital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77"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Placement Shares</w:t>
      </w:r>
      <w:r>
        <w:rPr>
          <w:rFonts w:ascii="Times New Roman" w:cs="Times New Roman" w:eastAsia="Times New Roman" w:hAnsi="Times New Roman"/>
          <w:sz w:val="22"/>
          <w:szCs w:val="22"/>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1" w:name="page82"/>
    <w:bookmarkEnd w:id="81"/>
    <w:p>
      <w:pPr>
        <w:jc w:val="both"/>
        <w:ind w:firstLine="1505"/>
        <w:spacing w:after="0" w:line="251" w:lineRule="exact"/>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Consents Required</w:t>
      </w:r>
      <w:r>
        <w:rPr>
          <w:rFonts w:ascii="Times New Roman" w:cs="Times New Roman" w:eastAsia="Times New Roman" w:hAnsi="Times New Roman"/>
          <w:sz w:val="22"/>
          <w:szCs w:val="22"/>
          <w:color w:val="auto"/>
        </w:rPr>
        <w:t>. No consent, approval, authorization, order, registration or qualification of or with any Governmental Authority is required for the execution, delivery and performance by the Company of this Agreement, the issuance and sale by the Company of the Placement Shares, except for such consents, approvals, authorizations, orders and registrations or qualifications as may be required under applicable state securities laws or by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and rules of the Financial Industry Regulatory Authority (“</w:t>
      </w:r>
      <w:r>
        <w:rPr>
          <w:rFonts w:ascii="Times New Roman" w:cs="Times New Roman" w:eastAsia="Times New Roman" w:hAnsi="Times New Roman"/>
          <w:sz w:val="22"/>
          <w:szCs w:val="22"/>
          <w:b w:val="1"/>
          <w:bCs w:val="1"/>
          <w:u w:val="single" w:color="auto"/>
          <w:color w:val="auto"/>
        </w:rPr>
        <w:t>FINRA</w:t>
      </w:r>
      <w:r>
        <w:rPr>
          <w:rFonts w:ascii="Times New Roman" w:cs="Times New Roman" w:eastAsia="Times New Roman" w:hAnsi="Times New Roman"/>
          <w:sz w:val="22"/>
          <w:szCs w:val="22"/>
          <w:color w:val="auto"/>
        </w:rPr>
        <w:t>”) or the Exchange in connection with the sale of the Placement Shares by the Agents.</w:t>
      </w:r>
    </w:p>
    <w:p>
      <w:pPr>
        <w:spacing w:after="0" w:line="182" w:lineRule="exact"/>
        <w:rPr>
          <w:rFonts w:ascii="Times New Roman" w:cs="Times New Roman" w:eastAsia="Times New Roman" w:hAnsi="Times New Roman"/>
          <w:sz w:val="22"/>
          <w:szCs w:val="22"/>
          <w:color w:val="auto"/>
        </w:rPr>
      </w:pPr>
    </w:p>
    <w:p>
      <w:pPr>
        <w:jc w:val="both"/>
        <w:ind w:firstLine="1505"/>
        <w:spacing w:after="0" w:line="248" w:lineRule="exact"/>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Preferential Rights</w:t>
      </w:r>
      <w:r>
        <w:rPr>
          <w:rFonts w:ascii="Times New Roman" w:cs="Times New Roman" w:eastAsia="Times New Roman" w:hAnsi="Times New Roman"/>
          <w:sz w:val="22"/>
          <w:szCs w:val="22"/>
          <w:color w:val="auto"/>
        </w:rPr>
        <w:t>. Except as set forth in the Registration Statement and the Prospectus, (i) no person, as such term is defined in Rule 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02 of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X promulgated under the Securities Act (each, a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has the right, contractual or otherwise, to cause the Company to issue or sell to such Person any Ordinary Shares or shares of any other capital stock or other securities of the Company, (ii) no Person has any preemptive rights, resale rights, rights of first refusal, rights of co-sale, or any other rights (whether pursuant to a “poison pill” provision or otherwise) to purchase any Ordinary Shares or shares of any other capital stock or other securities of the Company, (iii) no Person has the right to act as an underwriter or as a financial advisor to the Company in connection with the offer and sale of the Ordinary Shares, and (iv) no Person has the right, contractual or otherwise, to require the Company to register under the Securities Act any Ordinary Shares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Public Accounting Firm</w:t>
      </w:r>
      <w:r>
        <w:rPr>
          <w:rFonts w:ascii="Times New Roman" w:cs="Times New Roman" w:eastAsia="Times New Roman" w:hAnsi="Times New Roman"/>
          <w:sz w:val="22"/>
          <w:szCs w:val="22"/>
          <w:color w:val="auto"/>
        </w:rPr>
        <w:t>. Grassi Advisory Group, Inc. and MNP, LLP (each, an “</w:t>
      </w:r>
      <w:r>
        <w:rPr>
          <w:rFonts w:ascii="Times New Roman" w:cs="Times New Roman" w:eastAsia="Times New Roman" w:hAnsi="Times New Roman"/>
          <w:sz w:val="22"/>
          <w:szCs w:val="22"/>
          <w:b w:val="1"/>
          <w:bCs w:val="1"/>
          <w:u w:val="single" w:color="auto"/>
          <w:color w:val="auto"/>
        </w:rPr>
        <w:t>Accountant</w:t>
      </w:r>
      <w:r>
        <w:rPr>
          <w:rFonts w:ascii="Times New Roman" w:cs="Times New Roman" w:eastAsia="Times New Roman" w:hAnsi="Times New Roman"/>
          <w:sz w:val="22"/>
          <w:szCs w:val="22"/>
          <w:color w:val="auto"/>
        </w:rPr>
        <w:t>”), whose report on the consolidated financial statements of the Company and GroupBy, Incorporated, respectively, are filed with the Commission as part of the Company’s most recent Annual Report on Form 20-F filed with the Commission and each incorporated by reference into the Registration Statement and the Prospectus, are and, during the periods covered by their respective report, were each an independent registered public accounting firm within the meaning of the Securities Act and the Public Company Accounting Oversight Board (United States). To the Company’s knowledge, neither Accountant is in violation of the auditor independence requirements of the Sarbanes-Oxley Act of 2002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with respect to the Company.</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 of Agreements</w:t>
      </w:r>
      <w:r>
        <w:rPr>
          <w:rFonts w:ascii="Times New Roman" w:cs="Times New Roman" w:eastAsia="Times New Roman" w:hAnsi="Times New Roman"/>
          <w:sz w:val="22"/>
          <w:szCs w:val="22"/>
          <w:color w:val="auto"/>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other applicable laws or public policy considerations in respect thereof.</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Except as set forth in the Registration Statement or the Prospectus,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individually or in the aggregate, would have a Material Adverse Effect and, to the Company’s knowledge, no such actions, suits,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color w:val="auto"/>
        </w:rPr>
        <w:t>proceedings, audits or investigations are threatened or contemplated by any Governmental Authority or threatened by others; and</w:t>
      </w:r>
    </w:p>
    <w:p>
      <w:pPr>
        <w:spacing w:after="0" w:line="26" w:lineRule="exact"/>
        <w:rPr>
          <w:sz w:val="20"/>
          <w:szCs w:val="20"/>
          <w:color w:val="auto"/>
        </w:rPr>
      </w:pPr>
    </w:p>
    <w:p>
      <w:pPr>
        <w:jc w:val="both"/>
        <w:ind w:firstLine="8"/>
        <w:spacing w:after="0" w:line="234" w:lineRule="auto"/>
        <w:tabs>
          <w:tab w:leader="none" w:pos="25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current or pending audits or investigations, actions, suits or proceedings by or before any Governmental Authority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77"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and Permits</w:t>
      </w:r>
      <w:r>
        <w:rPr>
          <w:rFonts w:ascii="Times New Roman" w:cs="Times New Roman" w:eastAsia="Times New Roman" w:hAnsi="Times New Roman"/>
          <w:sz w:val="22"/>
          <w:szCs w:val="22"/>
          <w:color w:val="auto"/>
        </w:rPr>
        <w:t>. The Company and each Subsidiary possess such valid and current certificates, authorizations or permits issued by the appropriate state, federal or foreign regulatory agencies or bodies necessary to conduct their respective businesses, and neither the Company nor any Subsidiary has received, or has any reason to believe that it will receive, any notice of proceedings relating to the revocation or modification of, or non-compliance with, any such certificate, authorization or permit which, singly or in the aggregate, if the subject of an unfavorable decision, ruling or finding, could result in a Material Adverse Effect.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Except as disclosed in the Registration Statement and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21"/>
          <w:szCs w:val="21"/>
          <w:b w:val="1"/>
          <w:bCs w:val="1"/>
          <w:u w:val="single" w:color="auto"/>
          <w:color w:val="auto"/>
        </w:rPr>
        <w:t>Intellectual Property</w:t>
      </w:r>
      <w:r>
        <w:rPr>
          <w:rFonts w:ascii="Times New Roman" w:cs="Times New Roman" w:eastAsia="Times New Roman" w:hAnsi="Times New Roman"/>
          <w:sz w:val="21"/>
          <w:szCs w:val="21"/>
          <w:color w:val="auto"/>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Registration Statement and the Prospectus (i)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Prospectus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infringement by third parties or any such pending or threatened suit, action, proceeding or claim as would not, individually or in the aggregate, result in a Material Adverse Effect.</w:t>
      </w:r>
    </w:p>
    <w:p>
      <w:pPr>
        <w:spacing w:after="0" w:line="184"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3" w:name="page84"/>
    <w:bookmarkEnd w:id="83"/>
    <w:p>
      <w:pPr>
        <w:jc w:val="both"/>
        <w:ind w:firstLine="1505"/>
        <w:spacing w:after="0" w:line="235"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At the time the Registration Statement was or will be originally declared effective, and at the time the Company’s most recent Annual Report on Form 20-F was filed with the Commission, the Company met or will meet the then applicable requirements for the use of Form F-3 under the Securities Act, including, but not limited to, General Instruction I.B.1 of Form F-3.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I.B.5 of Form F-3) with the Commission at least 12 calendar months previously reflecting its status as an entity that is not a shell company.</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The information provided to the Agents by the Company, its counsel, and its officers and directors for purposes of the Agents’ compliance with applicable FINRA rules in connection with the offering of the Shares is true, complete, and correct and compliant with FINRA’s rules.</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Defaults</w:t>
      </w:r>
      <w:r>
        <w:rPr>
          <w:rFonts w:ascii="Times New Roman" w:cs="Times New Roman" w:eastAsia="Times New Roman" w:hAnsi="Times New Roman"/>
          <w:sz w:val="22"/>
          <w:szCs w:val="22"/>
          <w:color w:val="auto"/>
        </w:rPr>
        <w:t>.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20-F,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Market Activities</w:t>
      </w:r>
      <w:r>
        <w:rPr>
          <w:rFonts w:ascii="Times New Roman" w:cs="Times New Roman" w:eastAsia="Times New Roman" w:hAnsi="Times New Roman"/>
          <w:sz w:val="22"/>
          <w:szCs w:val="22"/>
          <w:color w:val="auto"/>
        </w:rPr>
        <w:t>. Neither the Company, nor any of the Subsidiaries, nor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Broker/Dealer Relationships</w:t>
      </w:r>
      <w:r>
        <w:rPr>
          <w:rFonts w:ascii="Times New Roman" w:cs="Times New Roman" w:eastAsia="Times New Roman" w:hAnsi="Times New Roman"/>
          <w:sz w:val="22"/>
          <w:szCs w:val="22"/>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80" w:lineRule="exact"/>
        <w:rPr>
          <w:sz w:val="20"/>
          <w:szCs w:val="20"/>
          <w:color w:val="auto"/>
        </w:rPr>
      </w:pPr>
    </w:p>
    <w:p>
      <w:pPr>
        <w:ind w:right="20" w:firstLine="1505"/>
        <w:spacing w:after="0" w:line="258"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The Company has not relied upon the Agents or legal counsel for the Agents for any legal, tax or accounting advice in connection with the offering and sale of the Placement Shares.</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penalty or assessment which has been or might be asserted or threatened against it which would have a Material Adverse Effect.</w:t>
      </w:r>
    </w:p>
    <w:p>
      <w:pPr>
        <w:spacing w:after="0" w:line="218" w:lineRule="exact"/>
        <w:rPr>
          <w:sz w:val="20"/>
          <w:szCs w:val="20"/>
          <w:color w:val="auto"/>
        </w:rPr>
      </w:pPr>
    </w:p>
    <w:p>
      <w:pPr>
        <w:jc w:val="both"/>
        <w:ind w:firstLine="1505"/>
        <w:spacing w:after="0" w:line="232"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Real and Personal Property</w:t>
      </w:r>
      <w:r>
        <w:rPr>
          <w:rFonts w:ascii="Times New Roman" w:cs="Times New Roman" w:eastAsia="Times New Roman" w:hAnsi="Times New Roman"/>
          <w:sz w:val="22"/>
          <w:szCs w:val="22"/>
          <w:color w:val="auto"/>
        </w:rPr>
        <w:t>. Except as set forth in the Registration Statement or the Prospectus, the Company and its Subsidiaries have good and marketable title in fee simple to all items of real property owned by them, good and valid title to all personal property described in the Registration Statement or Prospectus as being owned by them,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spacing w:after="0" w:line="18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5" w:name="page86"/>
    <w:bookmarkEnd w:id="85"/>
    <w:p>
      <w:pPr>
        <w:jc w:val="both"/>
        <w:spacing w:after="0" w:line="247" w:lineRule="exact"/>
        <w:rPr>
          <w:sz w:val="20"/>
          <w:szCs w:val="20"/>
          <w:color w:val="auto"/>
        </w:rPr>
      </w:pPr>
      <w:r>
        <w:rPr>
          <w:rFonts w:ascii="Times New Roman" w:cs="Times New Roman" w:eastAsia="Times New Roman" w:hAnsi="Times New Roman"/>
          <w:sz w:val="22"/>
          <w:szCs w:val="22"/>
          <w:color w:val="auto"/>
        </w:rPr>
        <w:t>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15 and 15d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20-F or current report on Form 6-K containing unaudited interim financial statements, as the case may be, is being prepared. The Company’s certifying officers have evaluated the effectiveness of the Company’s disclosure controls and procedures as of a date within 90 days prior to the filing date of the Form 20-F for the fiscal year most recently ended (such date,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Evaluation Date</w:t>
      </w:r>
      <w:r>
        <w:rPr>
          <w:rFonts w:ascii="Times New Roman" w:cs="Times New Roman" w:eastAsia="Times New Roman" w:hAnsi="Times New Roman"/>
          <w:sz w:val="22"/>
          <w:szCs w:val="22"/>
          <w:color w:val="auto"/>
        </w:rPr>
        <w:t>”). The Company presented in its Form 20-F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under the Securities Act) or, to the Company’s knowledge, in other factors that could significantly affect the Company’s internal controls.</w:t>
      </w:r>
    </w:p>
    <w:p>
      <w:pPr>
        <w:spacing w:after="0" w:line="177" w:lineRule="exact"/>
        <w:rPr>
          <w:sz w:val="20"/>
          <w:szCs w:val="20"/>
          <w:color w:val="auto"/>
        </w:rPr>
      </w:pPr>
    </w:p>
    <w:p>
      <w:pPr>
        <w:jc w:val="both"/>
        <w:ind w:firstLine="1505"/>
        <w:spacing w:after="0" w:line="235"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Finder’s Fees</w:t>
      </w:r>
      <w:r>
        <w:rPr>
          <w:rFonts w:ascii="Times New Roman" w:cs="Times New Roman" w:eastAsia="Times New Roman" w:hAnsi="Times New Roman"/>
          <w:sz w:val="22"/>
          <w:szCs w:val="22"/>
          <w:color w:val="auto"/>
        </w:rPr>
        <w:t>. Neither the Company nor any of the Subsidiaries has incurred any liability for any finder’s fees, brokerage commissions or similar payments in connection with the transactions herein contemplated, except as may otherwise exist with respect to the Agents pursuant to this Agreement.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Disputes</w:t>
      </w:r>
      <w:r>
        <w:rPr>
          <w:rFonts w:ascii="Times New Roman" w:cs="Times New Roman" w:eastAsia="Times New Roman" w:hAnsi="Times New Roman"/>
          <w:sz w:val="22"/>
          <w:szCs w:val="22"/>
          <w:color w:val="auto"/>
        </w:rPr>
        <w:t>. No labor disturbance by or dispute with employees of the Company or any of its Subsidiaries exists or, to the knowledge of the Company, is threatened which would result in a Material Adverse Effect.</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Neither the Company nor any of the Subsidiaries is or, after giving effect to the offering and sale of the Placement Shares, will be an “investment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6" w:name="page87"/>
    <w:bookmarkEnd w:id="86"/>
    <w:p>
      <w:pPr>
        <w:spacing w:after="0" w:line="258" w:lineRule="auto"/>
        <w:rPr>
          <w:sz w:val="20"/>
          <w:szCs w:val="20"/>
          <w:color w:val="auto"/>
        </w:rPr>
      </w:pPr>
      <w:r>
        <w:rPr>
          <w:rFonts w:ascii="Times New Roman" w:cs="Times New Roman" w:eastAsia="Times New Roman" w:hAnsi="Times New Roman"/>
          <w:sz w:val="22"/>
          <w:szCs w:val="22"/>
          <w:color w:val="auto"/>
        </w:rPr>
        <w:t>company” or an entity “controlled” by an “investment company,” as such terms are defined in the Investment Company Act of 1940, as amended (the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505"/>
        <w:spacing w:after="0" w:line="235" w:lineRule="auto"/>
        <w:tabs>
          <w:tab w:leader="none" w:pos="20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Operations</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22"/>
          <w:szCs w:val="22"/>
          <w:b w:val="1"/>
          <w:bCs w:val="1"/>
          <w:u w:val="single" w:color="auto"/>
          <w:color w:val="auto"/>
        </w:rPr>
        <w:t>Money Laundering Laws</w:t>
      </w:r>
      <w:r>
        <w:rPr>
          <w:rFonts w:ascii="Times New Roman" w:cs="Times New Roman" w:eastAsia="Times New Roman" w:hAnsi="Times New Roman"/>
          <w:sz w:val="22"/>
          <w:szCs w:val="22"/>
          <w:color w:val="auto"/>
        </w:rPr>
        <w:t>”); and no action, suit or proceeding by or before any Governmental Authority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22"/>
          <w:szCs w:val="22"/>
          <w:color w:val="auto"/>
        </w:rPr>
      </w:pPr>
    </w:p>
    <w:p>
      <w:pPr>
        <w:jc w:val="both"/>
        <w:ind w:firstLine="1505"/>
        <w:spacing w:after="0" w:line="250" w:lineRule="exact"/>
        <w:tabs>
          <w:tab w:leader="none" w:pos="20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Off-Balance Sheet Arrangements</w:t>
      </w:r>
      <w:r>
        <w:rPr>
          <w:rFonts w:ascii="Times New Roman" w:cs="Times New Roman" w:eastAsia="Times New Roman" w:hAnsi="Times New Roman"/>
          <w:sz w:val="22"/>
          <w:szCs w:val="22"/>
          <w:color w:val="auto"/>
        </w:rPr>
        <w:t>. There are no transactions, arrangements and other relationships between and/or among the Company, and/or any of its affiliates and any unconsolidated entity, including, but not limited to, any structured finance, special purpose or limited purpose entity (each, an “</w:t>
      </w:r>
      <w:r>
        <w:rPr>
          <w:rFonts w:ascii="Times New Roman" w:cs="Times New Roman" w:eastAsia="Times New Roman" w:hAnsi="Times New Roman"/>
          <w:sz w:val="22"/>
          <w:szCs w:val="22"/>
          <w:b w:val="1"/>
          <w:bCs w:val="1"/>
          <w:u w:val="single" w:color="auto"/>
          <w:color w:val="auto"/>
        </w:rPr>
        <w:t>Off-Balance Sheet Transaction</w:t>
      </w:r>
      <w:r>
        <w:rPr>
          <w:rFonts w:ascii="Times New Roman" w:cs="Times New Roman" w:eastAsia="Times New Roman" w:hAnsi="Times New Roman"/>
          <w:sz w:val="22"/>
          <w:szCs w:val="22"/>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8056; 34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45321; FR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61), required to be described in the Prospectus which have not been described as required.</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Underwriter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21"/>
          <w:szCs w:val="21"/>
          <w:b w:val="1"/>
          <w:bCs w:val="1"/>
          <w:u w:val="single" w:color="auto"/>
          <w:color w:val="auto"/>
        </w:rPr>
        <w:t>ERISA</w:t>
      </w:r>
      <w:r>
        <w:rPr>
          <w:rFonts w:ascii="Times New Roman" w:cs="Times New Roman" w:eastAsia="Times New Roman" w:hAnsi="Times New Roman"/>
          <w:sz w:val="21"/>
          <w:szCs w:val="21"/>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77" w:lineRule="exact"/>
        <w:rPr>
          <w:rFonts w:ascii="Times New Roman" w:cs="Times New Roman" w:eastAsia="Times New Roman" w:hAnsi="Times New Roman"/>
          <w:sz w:val="21"/>
          <w:szCs w:val="21"/>
          <w:color w:val="auto"/>
        </w:rPr>
      </w:pPr>
    </w:p>
    <w:p>
      <w:pPr>
        <w:jc w:val="both"/>
        <w:ind w:firstLine="1505"/>
        <w:spacing w:after="0" w:line="261" w:lineRule="auto"/>
        <w:tabs>
          <w:tab w:leader="none" w:pos="203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Forward-Looking Statements</w:t>
      </w:r>
      <w:r>
        <w:rPr>
          <w:rFonts w:ascii="Times New Roman" w:cs="Times New Roman" w:eastAsia="Times New Roman" w:hAnsi="Times New Roman"/>
          <w:sz w:val="21"/>
          <w:szCs w:val="21"/>
          <w:color w:val="auto"/>
        </w:rPr>
        <w:t>. No forward-looking statement (within the meaning of Section 27A of the Securities Act and Section 21E of the Exchange Act) (a “</w:t>
      </w:r>
      <w:r>
        <w:rPr>
          <w:rFonts w:ascii="Times New Roman" w:cs="Times New Roman" w:eastAsia="Times New Roman" w:hAnsi="Times New Roman"/>
          <w:sz w:val="21"/>
          <w:szCs w:val="21"/>
          <w:b w:val="1"/>
          <w:bCs w:val="1"/>
          <w:u w:val="single" w:color="auto"/>
          <w:color w:val="auto"/>
        </w:rPr>
        <w:t>Forward-Looking Statement</w:t>
      </w:r>
      <w:r>
        <w:rPr>
          <w:rFonts w:ascii="Times New Roman" w:cs="Times New Roman" w:eastAsia="Times New Roman" w:hAnsi="Times New Roman"/>
          <w:sz w:val="21"/>
          <w:szCs w:val="21"/>
          <w:color w:val="auto"/>
        </w:rPr>
        <w:t>”) contained in the Registration Statement and the Prospectus has been made or reaffirmed without a reasonable basis or has been disclosed other than in good faith.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7" w:name="page88"/>
    <w:bookmarkEnd w:id="87"/>
    <w:p>
      <w:pPr>
        <w:jc w:val="both"/>
        <w:ind w:firstLine="1505"/>
        <w:spacing w:after="0" w:line="239" w:lineRule="auto"/>
        <w:tabs>
          <w:tab w:leader="none" w:pos="203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Purchases</w:t>
      </w:r>
      <w:r>
        <w:rPr>
          <w:rFonts w:ascii="Times New Roman" w:cs="Times New Roman" w:eastAsia="Times New Roman" w:hAnsi="Times New Roman"/>
          <w:sz w:val="22"/>
          <w:szCs w:val="22"/>
          <w:color w:val="auto"/>
        </w:rPr>
        <w:t xml:space="preserve">. The Company acknowledges and agrees that the Agents have informed the Company that the Agents may, to the extent permitted under the Securities Act and the Exchange Act, purchase and sell Ordinary Shares for its own account while this Agreement is in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not be deemed to have authorized or consented to any such purchases or sales by the Agents.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Rules</w:t>
      </w:r>
      <w:r>
        <w:rPr>
          <w:rFonts w:ascii="Times New Roman" w:cs="Times New Roman" w:eastAsia="Times New Roman" w:hAnsi="Times New Roman"/>
          <w:sz w:val="22"/>
          <w:szCs w:val="22"/>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each of its Subsidiaries carry, or are covered by, insurance in such amounts and covering such risks as the Company and each of its Subsidiaries reasonably believe are adequate for the conduct of their business.</w:t>
      </w:r>
    </w:p>
    <w:p>
      <w:pPr>
        <w:spacing w:after="0" w:line="173" w:lineRule="exact"/>
        <w:rPr>
          <w:rFonts w:ascii="Times New Roman" w:cs="Times New Roman" w:eastAsia="Times New Roman" w:hAnsi="Times New Roman"/>
          <w:sz w:val="22"/>
          <w:szCs w:val="22"/>
          <w:color w:val="auto"/>
        </w:rPr>
      </w:pPr>
    </w:p>
    <w:p>
      <w:pPr>
        <w:jc w:val="both"/>
        <w:ind w:firstLine="1505"/>
        <w:spacing w:after="0" w:line="242" w:lineRule="auto"/>
        <w:tabs>
          <w:tab w:leader="none" w:pos="203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Improper Practices</w:t>
      </w:r>
      <w:r>
        <w:rPr>
          <w:rFonts w:ascii="Times New Roman" w:cs="Times New Roman" w:eastAsia="Times New Roman" w:hAnsi="Times New Roman"/>
          <w:sz w:val="21"/>
          <w:szCs w:val="21"/>
          <w:color w:val="auto"/>
        </w:rPr>
        <w:t>. (i) Neither the Company nor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Ordinary Shares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w:t>
      </w:r>
    </w:p>
    <w:p>
      <w:pPr>
        <w:spacing w:after="0" w:line="15" w:lineRule="exact"/>
        <w:rPr>
          <w:rFonts w:ascii="Times New Roman" w:cs="Times New Roman" w:eastAsia="Times New Roman" w:hAnsi="Times New Roman"/>
          <w:sz w:val="21"/>
          <w:szCs w:val="21"/>
          <w:color w:val="auto"/>
        </w:rPr>
      </w:pPr>
    </w:p>
    <w:p>
      <w:pPr>
        <w:jc w:val="both"/>
        <w:ind w:firstLine="8"/>
        <w:spacing w:after="0" w:line="232" w:lineRule="auto"/>
        <w:tabs>
          <w:tab w:leader="none" w:pos="37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 w:cs="Times New Roman" w:eastAsia="Times New Roman" w:hAnsi="Times New Roman"/>
          <w:sz w:val="22"/>
          <w:szCs w:val="22"/>
          <w:b w:val="1"/>
          <w:bCs w:val="1"/>
          <w:u w:val="single" w:color="auto"/>
          <w:color w:val="auto"/>
        </w:rPr>
        <w:t>Anti-Corruption Laws</w:t>
      </w:r>
      <w:r>
        <w:rPr>
          <w:rFonts w:ascii="Times New Roman" w:cs="Times New Roman" w:eastAsia="Times New Roman" w:hAnsi="Times New Roman"/>
          <w:sz w:val="22"/>
          <w:szCs w:val="22"/>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8" w:name="page89"/>
    <w:bookmarkEnd w:id="88"/>
    <w:p>
      <w:pPr>
        <w:spacing w:after="0" w:line="258" w:lineRule="auto"/>
        <w:rPr>
          <w:sz w:val="20"/>
          <w:szCs w:val="20"/>
          <w:color w:val="auto"/>
        </w:rPr>
      </w:pPr>
      <w:r>
        <w:rPr>
          <w:rFonts w:ascii="Times New Roman" w:cs="Times New Roman" w:eastAsia="Times New Roman" w:hAnsi="Times New Roman"/>
          <w:sz w:val="22"/>
          <w:szCs w:val="22"/>
          <w:color w:val="auto"/>
        </w:rPr>
        <w:t>advantage; or (C) made any payment of funds of the Company or any Subsidiary or received or retained any funds in violation of any Anti-Corruption Laws.</w:t>
      </w:r>
    </w:p>
    <w:p>
      <w:pPr>
        <w:spacing w:after="0" w:line="158" w:lineRule="exact"/>
        <w:rPr>
          <w:sz w:val="20"/>
          <w:szCs w:val="20"/>
          <w:color w:val="auto"/>
        </w:rPr>
      </w:pPr>
    </w:p>
    <w:p>
      <w:pPr>
        <w:jc w:val="both"/>
        <w:ind w:firstLine="1505"/>
        <w:spacing w:after="0" w:line="244"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Under the Securities Act</w:t>
      </w:r>
      <w:r>
        <w:rPr>
          <w:rFonts w:ascii="Times New Roman" w:cs="Times New Roman" w:eastAsia="Times New Roman" w:hAnsi="Times New Roman"/>
          <w:sz w:val="22"/>
          <w:szCs w:val="22"/>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 in an Issuer Free Writing Prospectus</w:t>
      </w:r>
      <w:r>
        <w:rPr>
          <w:rFonts w:ascii="Times New Roman" w:cs="Times New Roman" w:eastAsia="Times New Roman" w:hAnsi="Times New Roman"/>
          <w:sz w:val="22"/>
          <w:szCs w:val="22"/>
          <w:color w:val="auto"/>
        </w:rPr>
        <w:t xml:space="preserve">. Each Issuer Free Writing Prospectus, as of its issue date and as of each Applicable Time (as defined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Agents specifically for use therein.</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215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(i) The Company represents that, neither the Company nor any of its Subsidiaries (collectively, the “</w:t>
      </w:r>
      <w:r>
        <w:rPr>
          <w:rFonts w:ascii="Times New Roman" w:cs="Times New Roman" w:eastAsia="Times New Roman" w:hAnsi="Times New Roman"/>
          <w:sz w:val="22"/>
          <w:szCs w:val="22"/>
          <w:b w:val="1"/>
          <w:bCs w:val="1"/>
          <w:u w:val="single" w:color="auto"/>
          <w:color w:val="auto"/>
        </w:rPr>
        <w:t>Entity</w:t>
      </w:r>
      <w:r>
        <w:rPr>
          <w:rFonts w:ascii="Times New Roman" w:cs="Times New Roman" w:eastAsia="Times New Roman" w:hAnsi="Times New Roman"/>
          <w:sz w:val="22"/>
          <w:szCs w:val="22"/>
          <w:color w:val="auto"/>
        </w:rPr>
        <w:t>”) or any director, officer, employee, agent, affiliate or representative of the Entity, is a government, individual, or entity (in this paragraph (vv),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that is, or is owned or controlled by a Person that is:</w:t>
      </w:r>
    </w:p>
    <w:p>
      <w:pPr>
        <w:spacing w:after="0" w:line="173" w:lineRule="exact"/>
        <w:rPr>
          <w:rFonts w:ascii="Times New Roman" w:cs="Times New Roman" w:eastAsia="Times New Roman" w:hAnsi="Times New Roman"/>
          <w:sz w:val="22"/>
          <w:szCs w:val="22"/>
          <w:color w:val="auto"/>
        </w:rPr>
      </w:pPr>
    </w:p>
    <w:p>
      <w:pPr>
        <w:jc w:val="both"/>
        <w:ind w:left="1500" w:firstLine="754"/>
        <w:spacing w:after="0" w:line="238" w:lineRule="auto"/>
        <w:tabs>
          <w:tab w:leader="none" w:pos="266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the U.S. Department of Treasury’s Office of Foreign Assets Control (“</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22"/>
          <w:szCs w:val="22"/>
          <w:b w:val="1"/>
          <w:bCs w:val="1"/>
          <w:u w:val="single" w:color="auto"/>
          <w:color w:val="auto"/>
        </w:rPr>
        <w:t>Sanctions</w:t>
      </w:r>
      <w:r>
        <w:rPr>
          <w:rFonts w:ascii="Times New Roman" w:cs="Times New Roman" w:eastAsia="Times New Roman" w:hAnsi="Times New Roman"/>
          <w:sz w:val="22"/>
          <w:szCs w:val="22"/>
          <w:color w:val="auto"/>
        </w:rPr>
        <w:t>”), nor</w:t>
      </w:r>
    </w:p>
    <w:p>
      <w:pPr>
        <w:spacing w:after="0" w:line="176"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6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that broadly prohibit dealings with that country or territory (including, without limitation, Cuba, Iran, North Korea, Syria, the so-called Donetsk People’s Republic, the so-called Luhansk People’s Republic and the Crimea Region of the Ukraine) (the “</w:t>
      </w:r>
      <w:r>
        <w:rPr>
          <w:rFonts w:ascii="Times New Roman" w:cs="Times New Roman" w:eastAsia="Times New Roman" w:hAnsi="Times New Roman"/>
          <w:sz w:val="22"/>
          <w:szCs w:val="22"/>
          <w:b w:val="1"/>
          <w:bCs w:val="1"/>
          <w:color w:val="auto"/>
        </w:rPr>
        <w:t>Sanctioned Countries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9" w:name="page90"/>
    <w:bookmarkEnd w:id="89"/>
    <w:p>
      <w:pPr>
        <w:ind w:left="260" w:right="20" w:firstLine="929"/>
        <w:spacing w:after="0" w:line="258" w:lineRule="auto"/>
        <w:tabs>
          <w:tab w:leader="none" w:pos="158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represents and covenants that it will not, directly or indirectly, use the proceeds of the offering, or lend, contribute or otherwise make available such proceeds to any subsidiary, joint venture partner or other Person:</w:t>
      </w:r>
    </w:p>
    <w:p>
      <w:pPr>
        <w:spacing w:after="0" w:line="158" w:lineRule="exact"/>
        <w:rPr>
          <w:rFonts w:ascii="Times New Roman" w:cs="Times New Roman" w:eastAsia="Times New Roman" w:hAnsi="Times New Roman"/>
          <w:sz w:val="22"/>
          <w:szCs w:val="22"/>
          <w:color w:val="auto"/>
        </w:rPr>
      </w:pPr>
    </w:p>
    <w:p>
      <w:pPr>
        <w:ind w:left="1500" w:firstLine="754"/>
        <w:spacing w:after="0" w:line="258" w:lineRule="auto"/>
        <w:tabs>
          <w:tab w:leader="none" w:pos="2681"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Person or in any country or territory that, at the time of such funding or facilitation, is the subject of Sanctions or is a Sanctioned Country; or</w:t>
      </w:r>
    </w:p>
    <w:p>
      <w:pPr>
        <w:spacing w:after="0" w:line="158" w:lineRule="exact"/>
        <w:rPr>
          <w:rFonts w:ascii="Times New Roman" w:cs="Times New Roman" w:eastAsia="Times New Roman" w:hAnsi="Times New Roman"/>
          <w:sz w:val="22"/>
          <w:szCs w:val="22"/>
          <w:color w:val="auto"/>
        </w:rPr>
      </w:pPr>
    </w:p>
    <w:p>
      <w:pPr>
        <w:ind w:left="1500" w:firstLine="754"/>
        <w:spacing w:after="0" w:line="258" w:lineRule="auto"/>
        <w:tabs>
          <w:tab w:leader="none" w:pos="2645"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Person (including any Person participating in the offering, whether as underwriter, advisor, investor or otherwise).</w:t>
      </w:r>
    </w:p>
    <w:p>
      <w:pPr>
        <w:spacing w:after="0" w:line="158" w:lineRule="exact"/>
        <w:rPr>
          <w:rFonts w:ascii="Times New Roman" w:cs="Times New Roman" w:eastAsia="Times New Roman" w:hAnsi="Times New Roman"/>
          <w:sz w:val="22"/>
          <w:szCs w:val="22"/>
          <w:color w:val="auto"/>
        </w:rPr>
      </w:pPr>
    </w:p>
    <w:p>
      <w:pPr>
        <w:jc w:val="both"/>
        <w:ind w:left="260" w:firstLine="929"/>
        <w:spacing w:after="0" w:line="239" w:lineRule="auto"/>
        <w:tabs>
          <w:tab w:leader="none" w:pos="16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represents and covenants that, except as detailed in the Registration Statement and the Prospectus, for the past 5 years, it has not engaged in, is not now engaging in, and will not engage in, any dealings or transactions with any Person, or in any country or territory, that at the time of the dealing or transaction is or was the subject of Sanctions or is or was a Sanctioned Country.</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Transfer Taxes</w:t>
      </w:r>
      <w:r>
        <w:rPr>
          <w:rFonts w:ascii="Times New Roman" w:cs="Times New Roman" w:eastAsia="Times New Roman" w:hAnsi="Times New Roman"/>
          <w:sz w:val="22"/>
          <w:szCs w:val="22"/>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each of its Subsidiaries are in compliance with all applicable laws, regulations and statutes (including all environmental laws and regulations) in the jurisdictions in which it carries on business; the Company has not received a notice of non-compliance, nor knows of, nor has reasonable grounds to know of, any facts that could give rise to a notice of non-compliance with any such laws, regulations and statutes, and is not aware of any pending change to any applicable law or regulation; in each case that would materially adversely affect the business of the Company or the business or legal environment under which the Company operates.</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The statistical, demographic and market-related data included in the Registration Statement and Prospectus are based on or derived from sources that the Company believes to be reliable and accurate or represent the Company’s good faith estimates that are made on the basis of data derived from such sources.</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Cybersecurity</w:t>
      </w:r>
      <w:r>
        <w:rPr>
          <w:rFonts w:ascii="Times New Roman" w:cs="Times New Roman" w:eastAsia="Times New Roman" w:hAnsi="Times New Roman"/>
          <w:sz w:val="22"/>
          <w:szCs w:val="22"/>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2"/>
          <w:szCs w:val="22"/>
          <w:b w:val="1"/>
          <w:bCs w:val="1"/>
          <w:u w:val="single" w:color="auto"/>
          <w:color w:val="auto"/>
        </w:rPr>
        <w:t>IT Systems</w:t>
      </w:r>
      <w:r>
        <w:rPr>
          <w:rFonts w:ascii="Times New Roman" w:cs="Times New Roman" w:eastAsia="Times New Roman" w:hAnsi="Times New Roman"/>
          <w:sz w:val="22"/>
          <w:szCs w:val="22"/>
          <w:color w:val="auto"/>
        </w:rPr>
        <w:t>”) are adequate for, and operate and perform in all material respects as required in connection with the operation of the business of the Company as currently conducted.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Times New Roman" w:cs="Times New Roman" w:eastAsia="Times New Roman" w:hAnsi="Times New Roman"/>
          <w:sz w:val="22"/>
          <w:szCs w:val="22"/>
          <w:b w:val="1"/>
          <w:bCs w:val="1"/>
          <w:u w:val="single" w:color="auto"/>
          <w:color w:val="auto"/>
        </w:rPr>
        <w:t>Confidential Data</w:t>
      </w:r>
      <w:r>
        <w:rPr>
          <w:rFonts w:ascii="Times New Roman" w:cs="Times New Roman" w:eastAsia="Times New Roman" w:hAnsi="Times New Roman"/>
          <w:sz w:val="22"/>
          <w:szCs w:val="22"/>
          <w:color w:val="auto"/>
        </w:rPr>
        <w:t>”) used in connection with their businesses. “Personal Data” means (i) a natural person’s name, street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0" w:name="page91"/>
    <w:bookmarkEnd w:id="90"/>
    <w:p>
      <w:pPr>
        <w:jc w:val="both"/>
        <w:spacing w:after="0" w:line="233" w:lineRule="auto"/>
        <w:rPr>
          <w:sz w:val="20"/>
          <w:szCs w:val="20"/>
          <w:color w:val="auto"/>
        </w:rPr>
      </w:pPr>
      <w:r>
        <w:rPr>
          <w:rFonts w:ascii="Times New Roman" w:cs="Times New Roman" w:eastAsia="Times New Roman" w:hAnsi="Times New Roman"/>
          <w:sz w:val="22"/>
          <w:szCs w:val="22"/>
          <w:color w:val="auto"/>
        </w:rPr>
        <w:t>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2"/>
          <w:szCs w:val="22"/>
          <w:b w:val="1"/>
          <w:bCs w:val="1"/>
          <w:u w:val="single" w:color="auto"/>
          <w:color w:val="auto"/>
        </w:rPr>
        <w:t>HIPAA</w:t>
      </w:r>
      <w:r>
        <w:rPr>
          <w:rFonts w:ascii="Times New Roman" w:cs="Times New Roman" w:eastAsia="Times New Roman" w:hAnsi="Times New Roman"/>
          <w:sz w:val="22"/>
          <w:szCs w:val="22"/>
          <w:color w:val="auto"/>
        </w:rPr>
        <w:t>”); (v) any “personal information” as defined by the California Consumer Privacy Act (“</w:t>
      </w:r>
      <w:r>
        <w:rPr>
          <w:rFonts w:ascii="Times New Roman" w:cs="Times New Roman" w:eastAsia="Times New Roman" w:hAnsi="Times New Roman"/>
          <w:sz w:val="22"/>
          <w:szCs w:val="22"/>
          <w:b w:val="1"/>
          <w:bCs w:val="1"/>
          <w:u w:val="single" w:color="auto"/>
          <w:color w:val="auto"/>
        </w:rPr>
        <w:t>CCPA</w:t>
      </w:r>
      <w:r>
        <w:rPr>
          <w:rFonts w:ascii="Times New Roman" w:cs="Times New Roman" w:eastAsia="Times New Roman" w:hAnsi="Times New Roman"/>
          <w:sz w:val="22"/>
          <w:szCs w:val="22"/>
          <w:color w:val="auto"/>
        </w:rPr>
        <w:t>”); and (vi)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by the Company or its subsidiaries,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177" w:lineRule="exact"/>
        <w:rPr>
          <w:sz w:val="20"/>
          <w:szCs w:val="20"/>
          <w:color w:val="auto"/>
        </w:rPr>
      </w:pPr>
    </w:p>
    <w:p>
      <w:pPr>
        <w:jc w:val="both"/>
        <w:ind w:firstLine="1505"/>
        <w:spacing w:after="0" w:line="233"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Data Privacy Laws</w:t>
      </w:r>
      <w:r>
        <w:rPr>
          <w:rFonts w:ascii="Times New Roman" w:cs="Times New Roman" w:eastAsia="Times New Roman" w:hAnsi="Times New Roman"/>
          <w:sz w:val="22"/>
          <w:szCs w:val="22"/>
          <w:color w:val="auto"/>
        </w:rPr>
        <w:t>. The Company and its subsidiaries are, and at all prior times were, in material compliance with all applicable state and federal data privacy and security laws and regulations, including without limitation HIPAA, CCPA, and the European Union General Data Protection Regulation (“</w:t>
      </w:r>
      <w:r>
        <w:rPr>
          <w:rFonts w:ascii="Times New Roman" w:cs="Times New Roman" w:eastAsia="Times New Roman" w:hAnsi="Times New Roman"/>
          <w:sz w:val="22"/>
          <w:szCs w:val="22"/>
          <w:b w:val="1"/>
          <w:bCs w:val="1"/>
          <w:u w:val="single" w:color="auto"/>
          <w:color w:val="auto"/>
        </w:rPr>
        <w:t>GDPR</w:t>
      </w:r>
      <w:r>
        <w:rPr>
          <w:rFonts w:ascii="Times New Roman" w:cs="Times New Roman" w:eastAsia="Times New Roman" w:hAnsi="Times New Roman"/>
          <w:sz w:val="22"/>
          <w:szCs w:val="22"/>
          <w:color w:val="auto"/>
        </w:rPr>
        <w:t>”) (EU 2016/679) (collectively, the “</w:t>
      </w:r>
      <w:r>
        <w:rPr>
          <w:rFonts w:ascii="Times New Roman" w:cs="Times New Roman" w:eastAsia="Times New Roman" w:hAnsi="Times New Roman"/>
          <w:sz w:val="22"/>
          <w:szCs w:val="22"/>
          <w:b w:val="1"/>
          <w:bCs w:val="1"/>
          <w:u w:val="single" w:color="auto"/>
          <w:color w:val="auto"/>
        </w:rPr>
        <w:t>Privacy Laws</w:t>
      </w:r>
      <w:r>
        <w:rPr>
          <w:rFonts w:ascii="Times New Roman" w:cs="Times New Roman" w:eastAsia="Times New Roman" w:hAnsi="Times New Roman"/>
          <w:sz w:val="22"/>
          <w:szCs w:val="22"/>
          <w:color w:val="auto"/>
        </w:rPr>
        <w:t>”). To ensure compliance with the Privacy Laws, the Company has in place, complies with, and takes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22"/>
          <w:szCs w:val="22"/>
          <w:b w:val="1"/>
          <w:bCs w:val="1"/>
          <w:u w:val="single" w:color="auto"/>
          <w:color w:val="auto"/>
        </w:rPr>
        <w:t>Policies</w:t>
      </w:r>
      <w:r>
        <w:rPr>
          <w:rFonts w:ascii="Times New Roman" w:cs="Times New Roman" w:eastAsia="Times New Roman" w:hAnsi="Times New Roman"/>
          <w:sz w:val="22"/>
          <w:szCs w:val="22"/>
          <w:color w:val="auto"/>
        </w:rPr>
        <w:t>”). The Company has at all times made all disclosures to users or customers required by applicable laws and regulatory rules or requirements, and none of such disclosures made or contained in any Policy have been materially inaccurate or in violation of any applicable laws and regulatory rules or requirements in any material respect. The Company further certifies that except as would not, individually or in the aggregate, be reasonably expected to have a Material Adverse Effect,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From the time of the initial filing of the Company’s first registration statement with the Commission through the date hereof, the Company has been and is an “emerging growth company,” as defined in Section 2(a) of the Securities Act (an “</w:t>
      </w:r>
      <w:r>
        <w:rPr>
          <w:rFonts w:ascii="Times New Roman" w:cs="Times New Roman" w:eastAsia="Times New Roman" w:hAnsi="Times New Roman"/>
          <w:sz w:val="22"/>
          <w:szCs w:val="22"/>
          <w:b w:val="1"/>
          <w:bCs w:val="1"/>
          <w:u w:val="single" w:color="auto"/>
          <w:color w:val="auto"/>
        </w:rPr>
        <w:t>Emerging Growth Company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-635000</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1" w:name="page92"/>
    <w:bookmarkEnd w:id="91"/>
    <w:p>
      <w:pPr>
        <w:ind w:left="1500"/>
        <w:spacing w:after="0"/>
        <w:rPr>
          <w:sz w:val="20"/>
          <w:szCs w:val="20"/>
          <w:color w:val="auto"/>
        </w:rPr>
      </w:pPr>
      <w:r>
        <w:rPr>
          <w:rFonts w:ascii="Times New Roman" w:cs="Times New Roman" w:eastAsia="Times New Roman" w:hAnsi="Times New Roman"/>
          <w:sz w:val="22"/>
          <w:szCs w:val="22"/>
          <w:color w:val="auto"/>
        </w:rPr>
        <w:t xml:space="preserve">(ccc) </w:t>
      </w:r>
      <w:r>
        <w:rPr>
          <w:rFonts w:ascii="Times New Roman" w:cs="Times New Roman" w:eastAsia="Times New Roman" w:hAnsi="Times New Roman"/>
          <w:sz w:val="22"/>
          <w:szCs w:val="22"/>
          <w:u w:val="single" w:color="auto"/>
          <w:color w:val="auto"/>
        </w:rPr>
        <w:t>Foreign Private Issuer</w:t>
      </w:r>
      <w:r>
        <w:rPr>
          <w:rFonts w:ascii="Times New Roman" w:cs="Times New Roman" w:eastAsia="Times New Roman" w:hAnsi="Times New Roman"/>
          <w:sz w:val="22"/>
          <w:szCs w:val="22"/>
          <w:color w:val="auto"/>
        </w:rPr>
        <w:t>. The Company is a “foreign private issuer” within the meaning of Rule 405 under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Act.</w:t>
      </w:r>
    </w:p>
    <w:p>
      <w:pPr>
        <w:spacing w:after="0" w:line="178" w:lineRule="exact"/>
        <w:rPr>
          <w:sz w:val="20"/>
          <w:szCs w:val="20"/>
          <w:color w:val="auto"/>
        </w:rPr>
      </w:pPr>
    </w:p>
    <w:p>
      <w:pPr>
        <w:jc w:val="both"/>
        <w:ind w:firstLine="1505"/>
        <w:spacing w:after="0" w:line="238"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PFIC Status</w:t>
      </w:r>
      <w:r>
        <w:rPr>
          <w:rFonts w:ascii="Times New Roman" w:cs="Times New Roman" w:eastAsia="Times New Roman" w:hAnsi="Times New Roman"/>
          <w:sz w:val="22"/>
          <w:szCs w:val="22"/>
          <w:color w:val="auto"/>
        </w:rPr>
        <w:t>. The Company was not a “passive foreign investment company” (“</w:t>
      </w:r>
      <w:r>
        <w:rPr>
          <w:rFonts w:ascii="Times New Roman" w:cs="Times New Roman" w:eastAsia="Times New Roman" w:hAnsi="Times New Roman"/>
          <w:sz w:val="22"/>
          <w:szCs w:val="22"/>
          <w:b w:val="1"/>
          <w:bCs w:val="1"/>
          <w:u w:val="single" w:color="auto"/>
          <w:color w:val="auto"/>
        </w:rPr>
        <w:t>PFIC</w:t>
      </w:r>
      <w:r>
        <w:rPr>
          <w:rFonts w:ascii="Times New Roman" w:cs="Times New Roman" w:eastAsia="Times New Roman" w:hAnsi="Times New Roman"/>
          <w:sz w:val="22"/>
          <w:szCs w:val="22"/>
          <w:color w:val="auto"/>
        </w:rPr>
        <w:t>”) as defined in Section 1297 of the U.S. Internal Revenue Code of 1986, as amended, for the taxable year ended December 31, 2024 and, based on certain estimates of the Company’s gross income and the value of its assets, the intended use of proceeds from the offering and sale of the Ordinary Shares and the nature of the Company’s business, the Company does not expect to be classified as a PFIC for the taxable year ending December 31, 2025.</w:t>
      </w:r>
    </w:p>
    <w:p>
      <w:pPr>
        <w:spacing w:after="0" w:line="176"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CFC Status</w:t>
      </w:r>
      <w:r>
        <w:rPr>
          <w:rFonts w:ascii="Times New Roman" w:cs="Times New Roman" w:eastAsia="Times New Roman" w:hAnsi="Times New Roman"/>
          <w:sz w:val="22"/>
          <w:szCs w:val="22"/>
          <w:color w:val="auto"/>
        </w:rPr>
        <w:t>. The Company was not a “controlled foreign corporation” (“</w:t>
      </w:r>
      <w:r>
        <w:rPr>
          <w:rFonts w:ascii="Times New Roman" w:cs="Times New Roman" w:eastAsia="Times New Roman" w:hAnsi="Times New Roman"/>
          <w:sz w:val="22"/>
          <w:szCs w:val="22"/>
          <w:b w:val="1"/>
          <w:bCs w:val="1"/>
          <w:u w:val="single" w:color="auto"/>
          <w:color w:val="auto"/>
        </w:rPr>
        <w:t>CFC</w:t>
      </w:r>
      <w:r>
        <w:rPr>
          <w:rFonts w:ascii="Times New Roman" w:cs="Times New Roman" w:eastAsia="Times New Roman" w:hAnsi="Times New Roman"/>
          <w:sz w:val="22"/>
          <w:szCs w:val="22"/>
          <w:color w:val="auto"/>
        </w:rPr>
        <w:t>”) as defined in the U.S. Internal Revenue Code of 1986, as amended, for the taxable year ended December 31, 2024 and, based on the Company’s expectations with respect to its shareholders, the Company does not expect to be classified as a CFC for the taxable year ending December 31, 2025.</w:t>
      </w:r>
    </w:p>
    <w:p>
      <w:pPr>
        <w:spacing w:after="0" w:line="17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Immunity from Jurisdiction</w:t>
      </w:r>
      <w:r>
        <w:rPr>
          <w:rFonts w:ascii="Times New Roman" w:cs="Times New Roman" w:eastAsia="Times New Roman" w:hAnsi="Times New Roman"/>
          <w:sz w:val="22"/>
          <w:szCs w:val="22"/>
          <w:color w:val="auto"/>
        </w:rPr>
        <w:t>. Neither the Company nor the Subsidiary nor any of their properties or assets has any immunity from the jurisdiction of any court or from any legal process (whether through service or notice, attachment prior to judgment, attachment in aid of execution or otherwise) under the laws of the State of New York.</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Company has the power to submit, and pursuant to Section 18 of this Agreement, has legally, validly and irrevocably submitted, to the personal jurisdiction of each U.S. federal court or state court located in the Borough of Manhattan, the City and County of New York, New York, U.S.A.</w:t>
      </w:r>
    </w:p>
    <w:p>
      <w:pPr>
        <w:spacing w:after="0" w:line="173"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73" w:lineRule="exact"/>
        <w:rPr>
          <w:sz w:val="20"/>
          <w:szCs w:val="20"/>
          <w:color w:val="auto"/>
        </w:rPr>
      </w:pPr>
    </w:p>
    <w:p>
      <w:pPr>
        <w:ind w:left="1020" w:hanging="263"/>
        <w:spacing w:after="0"/>
        <w:tabs>
          <w:tab w:leader="none" w:pos="102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each Agent that:</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Amendments</w:t>
      </w:r>
      <w:r>
        <w:rPr>
          <w:rFonts w:ascii="Times New Roman" w:cs="Times New Roman" w:eastAsia="Times New Roman" w:hAnsi="Times New Roman"/>
          <w:sz w:val="22"/>
          <w:szCs w:val="22"/>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failure of the Agents to make such request shall not relieve the Company of any obligation or liability hereunder, or affect the Agents’ right to rely on the representations and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2" w:name="page93"/>
    <w:bookmarkEnd w:id="92"/>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warranties made by the Company in this Agreement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Agents within a reasonable period of time before the filing and the Agents have not objected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failure of the Agents to make such objection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based on the Company’s reasonable opinion or reasonable objections, shall be made exclusively by the Company).</w:t>
      </w:r>
    </w:p>
    <w:p>
      <w:pPr>
        <w:spacing w:after="0" w:line="182" w:lineRule="exact"/>
        <w:rPr>
          <w:sz w:val="20"/>
          <w:szCs w:val="20"/>
          <w:color w:val="auto"/>
        </w:rPr>
      </w:pPr>
    </w:p>
    <w:p>
      <w:pPr>
        <w:jc w:val="both"/>
        <w:ind w:firstLine="1505"/>
        <w:spacing w:after="0" w:line="234"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During any period in which a Prospectus relating to the Placement Shares is required to be delivered by the Agents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Agents promptly of all such filings. If during such period any event occurs as a result of which the Prospectus as then amended or supplemented would include an untrue statement of 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3" w:name="page94"/>
    <w:bookmarkEnd w:id="93"/>
    <w:p>
      <w:pPr>
        <w:jc w:val="both"/>
        <w:spacing w:after="0" w:line="238" w:lineRule="auto"/>
        <w:rPr>
          <w:sz w:val="20"/>
          <w:szCs w:val="20"/>
          <w:color w:val="auto"/>
        </w:rPr>
      </w:pPr>
      <w:r>
        <w:rPr>
          <w:rFonts w:ascii="Times New Roman" w:cs="Times New Roman" w:eastAsia="Times New Roman" w:hAnsi="Times New Roman"/>
          <w:sz w:val="22"/>
          <w:szCs w:val="22"/>
          <w:color w:val="auto"/>
        </w:rPr>
        <w:t>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77" w:lineRule="exact"/>
        <w:rPr>
          <w:sz w:val="20"/>
          <w:szCs w:val="20"/>
          <w:color w:val="auto"/>
        </w:rPr>
      </w:pPr>
    </w:p>
    <w:p>
      <w:pPr>
        <w:ind w:firstLine="1505"/>
        <w:spacing w:after="0" w:line="258"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Prior to the date of the first Placement Notice, the Company will use its reasonable best efforts to cause the Placement Shares to be listed on the Exchange.</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furnish any document (other than the Prospectus) to the Agents to the extent such document is available on EDGAR.</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 entitled “Use of Proceeds.”</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Without the prior written consent of the Agents, the Company will not, directly or indirectly, offer to sell,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during the period beginning on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Trading Day immediately prior to the date on which any Placement Notice is delivered to Agents hereunder and ending on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prior to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immediately following the termination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4" w:name="page95"/>
    <w:bookmarkEnd w:id="94"/>
    <w:p>
      <w:pPr>
        <w:jc w:val="both"/>
        <w:spacing w:after="0" w:line="235" w:lineRule="auto"/>
        <w:rPr>
          <w:sz w:val="20"/>
          <w:szCs w:val="20"/>
          <w:color w:val="auto"/>
        </w:rPr>
      </w:pPr>
      <w:r>
        <w:rPr>
          <w:rFonts w:ascii="Times New Roman" w:cs="Times New Roman" w:eastAsia="Times New Roman" w:hAnsi="Times New Roman"/>
          <w:sz w:val="22"/>
          <w:szCs w:val="22"/>
          <w:color w:val="auto"/>
        </w:rPr>
        <w:t>restrictions will not be required in connection with the Company’s issuance or sale of (i) Ordinary Shares, options to purchase Ordinary Shares or Ordinary Shares issuable upon the exercise of options, pursuant to any employee or director stock option or benefits plan, stock ownership plan or dividend reinvestment plan (but not Ordinary Shares subject to a waiver to exceed plan limits in its dividend reinvestment plan) of the Company whether now in effect or hereafter implemented, (ii) Ordinary Shares issuable upon conversion of securities or the exercise of warrants, options or other rights in effect or outstanding, and disclosed in filings by the Company available on EDGAR or otherwise in writing to the Agents and (iii) Ordinary Shares or securities convertible into or exchangeable for Ordinary Shares as consideration for mergers, acquisitions, other business combinations or strategic alliances occurring after the date of this Agreement which are not issued for capital raising purposes.</w:t>
      </w:r>
    </w:p>
    <w:p>
      <w:pPr>
        <w:spacing w:after="0" w:line="178" w:lineRule="exact"/>
        <w:rPr>
          <w:sz w:val="20"/>
          <w:szCs w:val="20"/>
          <w:color w:val="auto"/>
        </w:rPr>
      </w:pPr>
    </w:p>
    <w:p>
      <w:pPr>
        <w:jc w:val="both"/>
        <w:ind w:firstLine="1505"/>
        <w:spacing w:after="0" w:line="239" w:lineRule="auto"/>
        <w:tabs>
          <w:tab w:leader="none" w:pos="20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The Company will cooperate with any reasonable due diligence review conducted by the Agents or their respective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80"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Filings Relating to Placement of Placement Shares</w:t>
      </w:r>
      <w:r>
        <w:rPr>
          <w:rFonts w:ascii="Times New Roman" w:cs="Times New Roman" w:eastAsia="Times New Roman" w:hAnsi="Times New Roman"/>
          <w:sz w:val="21"/>
          <w:szCs w:val="21"/>
          <w:color w:val="auto"/>
        </w:rPr>
        <w:t>. The Company shall disclose, in its semi-annual reports on Form 6-K and in its annual report on Form 20-F to be filed by the Company with the Commission from time to time, the number of the Placement Shares sold through the Agents under this Agreement, and the net proceeds to the Company from the sale of the Placement Shares pursuant to this Agreement during the relevant quarter or, in the case of an Annual Report on Form 20-F,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21"/>
          <w:szCs w:val="21"/>
          <w:b w:val="1"/>
          <w:bCs w:val="1"/>
          <w:u w:val="single" w:color="auto"/>
          <w:color w:val="auto"/>
        </w:rPr>
        <w:t>Filing Date</w:t>
      </w:r>
      <w:r>
        <w:rPr>
          <w:rFonts w:ascii="Times New Roman" w:cs="Times New Roman" w:eastAsia="Times New Roman" w:hAnsi="Times New Roman"/>
          <w:sz w:val="21"/>
          <w:szCs w:val="21"/>
          <w:color w:val="auto"/>
        </w:rPr>
        <w:t>”), which prospectus supplement will set forth, within the relevant period, the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77"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 Dates; Certificate</w:t>
      </w:r>
      <w:r>
        <w:rPr>
          <w:rFonts w:ascii="Times New Roman" w:cs="Times New Roman" w:eastAsia="Times New Roman" w:hAnsi="Times New Roman"/>
          <w:sz w:val="21"/>
          <w:szCs w:val="21"/>
          <w:color w:val="auto"/>
        </w:rPr>
        <w:t>. (1) Prior to the date of the first Placement Notice and (2) each time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1"/>
          <w:szCs w:val="21"/>
          <w:color w:val="auto"/>
        </w:rPr>
      </w:pPr>
    </w:p>
    <w:p>
      <w:pPr>
        <w:jc w:val="both"/>
        <w:ind w:left="760" w:hanging="3"/>
        <w:spacing w:after="0" w:line="261" w:lineRule="auto"/>
        <w:tabs>
          <w:tab w:leader="none" w:pos="103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5" w:name="page96"/>
    <w:bookmarkEnd w:id="95"/>
    <w:p>
      <w:pPr>
        <w:ind w:left="760"/>
        <w:spacing w:after="0" w:line="258" w:lineRule="auto"/>
        <w:rPr>
          <w:sz w:val="20"/>
          <w:szCs w:val="20"/>
          <w:color w:val="auto"/>
        </w:rPr>
      </w:pPr>
      <w:r>
        <w:rPr>
          <w:rFonts w:ascii="Times New Roman" w:cs="Times New Roman" w:eastAsia="Times New Roman" w:hAnsi="Times New Roman"/>
          <w:sz w:val="22"/>
          <w:szCs w:val="22"/>
          <w:color w:val="auto"/>
        </w:rPr>
        <w:t>of incorporation of documents by reference into the Registration Statement or the Prospectus relating to the Placement Shares;</w:t>
      </w:r>
    </w:p>
    <w:p>
      <w:pPr>
        <w:spacing w:after="0" w:line="158" w:lineRule="exact"/>
        <w:rPr>
          <w:sz w:val="20"/>
          <w:szCs w:val="20"/>
          <w:color w:val="auto"/>
        </w:rPr>
      </w:pPr>
    </w:p>
    <w:p>
      <w:pPr>
        <w:ind w:left="760" w:hanging="3"/>
        <w:spacing w:after="0" w:line="258" w:lineRule="auto"/>
        <w:tabs>
          <w:tab w:leader="none" w:pos="111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 annual report on Form 20-F under the Exchange Act (including any Form 20F/A containing amended financial information or a material amendment to the previously filed Form 20-F);</w:t>
      </w:r>
    </w:p>
    <w:p>
      <w:pPr>
        <w:spacing w:after="0" w:line="158" w:lineRule="exact"/>
        <w:rPr>
          <w:rFonts w:ascii="Times New Roman" w:cs="Times New Roman" w:eastAsia="Times New Roman" w:hAnsi="Times New Roman"/>
          <w:sz w:val="22"/>
          <w:szCs w:val="22"/>
          <w:color w:val="auto"/>
        </w:rPr>
      </w:pPr>
    </w:p>
    <w:p>
      <w:pPr>
        <w:ind w:left="760" w:hanging="3"/>
        <w:spacing w:after="0" w:line="258" w:lineRule="auto"/>
        <w:tabs>
          <w:tab w:leader="none" w:pos="116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 current report on Form 6-K containing unaudited quarterly or semi-annual financial statements under the Exchange Act; or</w:t>
      </w:r>
    </w:p>
    <w:p>
      <w:pPr>
        <w:spacing w:after="0" w:line="158" w:lineRule="exact"/>
        <w:rPr>
          <w:rFonts w:ascii="Times New Roman" w:cs="Times New Roman" w:eastAsia="Times New Roman" w:hAnsi="Times New Roman"/>
          <w:sz w:val="22"/>
          <w:szCs w:val="22"/>
          <w:color w:val="auto"/>
        </w:rPr>
      </w:pPr>
    </w:p>
    <w:p>
      <w:pPr>
        <w:ind w:left="760" w:hanging="3"/>
        <w:spacing w:after="0" w:line="258" w:lineRule="auto"/>
        <w:tabs>
          <w:tab w:leader="none" w:pos="11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 current report on Form 6-K containing amended financial information under the Exchange Act (each date of filing of one or more of the documents referred to in clauses (i) through (iv) shall be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2"/>
          <w:szCs w:val="22"/>
          <w:color w:val="auto"/>
        </w:rPr>
        <w:t>the Company shall furnish the Agents (but in the case of clause (iv) above only if the Agents reasonably determine that the information contained in such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K is material) with a certificate dated the Representation Date, in the form and substance satisfactory to the Agents and their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shall be waived for any Representation Date occurring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Agents with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dated as of the date that the instructions for the sale of Placement Shares are issued.</w:t>
      </w:r>
    </w:p>
    <w:p>
      <w:pPr>
        <w:spacing w:after="0" w:line="186" w:lineRule="exact"/>
        <w:rPr>
          <w:sz w:val="20"/>
          <w:szCs w:val="20"/>
          <w:color w:val="auto"/>
        </w:rPr>
      </w:pPr>
    </w:p>
    <w:p>
      <w:pPr>
        <w:jc w:val="both"/>
        <w:ind w:firstLine="1505"/>
        <w:spacing w:after="0" w:line="233"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for which no waiver is applicable and excluding the date of this Agreement, the Company shall cause to be furnished to the Agents a written opinion and negative assurance letter of DLA Piper LLP (“</w:t>
      </w:r>
      <w:r>
        <w:rPr>
          <w:rFonts w:ascii="Times New Roman" w:cs="Times New Roman" w:eastAsia="Times New Roman" w:hAnsi="Times New Roman"/>
          <w:sz w:val="22"/>
          <w:szCs w:val="22"/>
          <w:b w:val="1"/>
          <w:bCs w:val="1"/>
          <w:u w:val="single" w:color="auto"/>
          <w:color w:val="auto"/>
        </w:rPr>
        <w:t>Company US Counsel</w:t>
      </w:r>
      <w:r>
        <w:rPr>
          <w:rFonts w:ascii="Times New Roman" w:cs="Times New Roman" w:eastAsia="Times New Roman" w:hAnsi="Times New Roman"/>
          <w:sz w:val="22"/>
          <w:szCs w:val="22"/>
          <w:color w:val="auto"/>
        </w:rPr>
        <w:t>”) and a written opinion of Taylor Wessing LLP (“</w:t>
      </w:r>
      <w:r>
        <w:rPr>
          <w:rFonts w:ascii="Times New Roman" w:cs="Times New Roman" w:eastAsia="Times New Roman" w:hAnsi="Times New Roman"/>
          <w:sz w:val="22"/>
          <w:szCs w:val="22"/>
          <w:b w:val="1"/>
          <w:bCs w:val="1"/>
          <w:u w:val="single" w:color="auto"/>
          <w:color w:val="auto"/>
        </w:rPr>
        <w:t>Company UK Counsel</w:t>
      </w:r>
      <w:r>
        <w:rPr>
          <w:rFonts w:ascii="Times New Roman" w:cs="Times New Roman" w:eastAsia="Times New Roman" w:hAnsi="Times New Roman"/>
          <w:sz w:val="22"/>
          <w:szCs w:val="22"/>
          <w:color w:val="auto"/>
        </w:rPr>
        <w:t>”; and together with Company US Counsel, “</w:t>
      </w:r>
      <w:r>
        <w:rPr>
          <w:rFonts w:ascii="Times New Roman" w:cs="Times New Roman" w:eastAsia="Times New Roman" w:hAnsi="Times New Roman"/>
          <w:sz w:val="22"/>
          <w:szCs w:val="22"/>
          <w:b w:val="1"/>
          <w:bCs w:val="1"/>
          <w:u w:val="single" w:color="auto"/>
          <w:color w:val="auto"/>
        </w:rPr>
        <w:t>Company Counsel</w:t>
      </w:r>
      <w:r>
        <w:rPr>
          <w:rFonts w:ascii="Times New Roman" w:cs="Times New Roman" w:eastAsia="Times New Roman" w:hAnsi="Times New Roman"/>
          <w:sz w:val="22"/>
          <w:szCs w:val="22"/>
          <w:color w:val="auto"/>
        </w:rPr>
        <w:t xml:space="preserve">”), or other counsel satisfactory to the Agents, in form and substance satisfactory to the Agents and their counsel, substantially similar to the form previously provided to the Agents and their counsel, modified, as necessary, to relate to the Registration Statement and the Prospectus as then amended or supplemented;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lieu of such opinions and negative assurance letters for subsequent periodic filings under the Exchange Act, counsel may furnish the Agents with a letter (a “</w:t>
      </w:r>
      <w:r>
        <w:rPr>
          <w:rFonts w:ascii="Times New Roman" w:cs="Times New Roman" w:eastAsia="Times New Roman" w:hAnsi="Times New Roman"/>
          <w:sz w:val="22"/>
          <w:szCs w:val="22"/>
          <w:b w:val="1"/>
          <w:bCs w:val="1"/>
          <w:u w:val="single" w:color="auto"/>
          <w:color w:val="auto"/>
        </w:rPr>
        <w:t>Reliance Letter</w:t>
      </w:r>
      <w:r>
        <w:rPr>
          <w:rFonts w:ascii="Times New Roman" w:cs="Times New Roman" w:eastAsia="Times New Roman" w:hAnsi="Times New Roman"/>
          <w:sz w:val="22"/>
          <w:szCs w:val="22"/>
          <w:color w:val="auto"/>
        </w:rPr>
        <w:t xml:space="preserve">”) to the effect that the Agents may rely on a prior opinion and negative assurance letter delivered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to the same extent as if it were dated the date of such letter (except that statements in such prior opinion and negative assurance letter shall be deemed to relate to the Registration Statement and the Prospectus as amended or supplemented as of the date of the Reliance Letter).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6" w:name="page97"/>
    <w:bookmarkEnd w:id="96"/>
    <w:p>
      <w:pPr>
        <w:jc w:val="both"/>
        <w:ind w:firstLine="1505"/>
        <w:spacing w:after="0" w:line="233"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for which no waiver is applicable and excluding the date of this Agreement, the Company shall cause its independent registered public accounting firm to furnish the Agents letters (the “</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color w:val="auto"/>
        </w:rPr>
        <w:t xml:space="preserve">”), dated the date the Comfort Letter is delivered, which shall meet the requirements set forth in this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requested by the Agents, the Company shall cause a Comfort Letter to be furnished to the Agents within ten (10) Trading Days of the date of occurrence of any material transaction or event requiring the filing of a Current Report on Form 6-K containing financial information (including the restatement of the Company’s financial statements). The Comfort Letter from the Company’s independent registered public accounting firm shall be in a form and substance satisfactory to the Agents, (i) confirming that they are an independent registered public accounting firm within the meaning of the Securities Act and the Public Company Accounting Oversight Board (“</w:t>
      </w:r>
      <w:r>
        <w:rPr>
          <w:rFonts w:ascii="Times New Roman" w:cs="Times New Roman" w:eastAsia="Times New Roman" w:hAnsi="Times New Roman"/>
          <w:sz w:val="22"/>
          <w:szCs w:val="22"/>
          <w:b w:val="1"/>
          <w:bCs w:val="1"/>
          <w:u w:val="single" w:color="auto"/>
          <w:color w:val="auto"/>
        </w:rPr>
        <w:t>PCAOB</w:t>
      </w:r>
      <w:r>
        <w:rPr>
          <w:rFonts w:ascii="Times New Roman" w:cs="Times New Roman" w:eastAsia="Times New Roman" w:hAnsi="Times New Roman"/>
          <w:sz w:val="22"/>
          <w:szCs w:val="22"/>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22"/>
          <w:szCs w:val="22"/>
          <w:b w:val="1"/>
          <w:bCs w:val="1"/>
          <w:u w:val="single" w:color="auto"/>
          <w:color w:val="auto"/>
        </w:rPr>
        <w:t>Initial Comfort Letter</w:t>
      </w:r>
      <w:r>
        <w:rPr>
          <w:rFonts w:ascii="Times New Roman" w:cs="Times New Roman" w:eastAsia="Times New Roman" w:hAnsi="Times New Roman"/>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 Compliance with Regulation M</w:t>
      </w:r>
      <w:r>
        <w:rPr>
          <w:rFonts w:ascii="Times New Roman" w:cs="Times New Roman" w:eastAsia="Times New Roman" w:hAnsi="Times New Roman"/>
          <w:sz w:val="22"/>
          <w:szCs w:val="22"/>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Ordinary Shares or (ii) sell, bid for, or purchase Ordinary Shares in violation of Regulation M, or pay anyone any compensation for soliciting purchases of the Placement Shares other than the Agents.</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2"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Sky and Other Qualifications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obligated to file any general consent to service of process or to qualify as a foreign corporation or as a dealer in securities in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7" w:name="page98"/>
    <w:bookmarkEnd w:id="97"/>
    <w:p>
      <w:pPr>
        <w:jc w:val="both"/>
        <w:spacing w:after="0" w:line="238" w:lineRule="auto"/>
        <w:rPr>
          <w:sz w:val="20"/>
          <w:szCs w:val="20"/>
          <w:color w:val="auto"/>
        </w:rPr>
      </w:pPr>
      <w:r>
        <w:rPr>
          <w:rFonts w:ascii="Times New Roman" w:cs="Times New Roman" w:eastAsia="Times New Roman" w:hAnsi="Times New Roman"/>
          <w:sz w:val="22"/>
          <w:szCs w:val="22"/>
          <w:color w:val="auto"/>
        </w:rPr>
        <w:t>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77" w:lineRule="exact"/>
        <w:rPr>
          <w:sz w:val="20"/>
          <w:szCs w:val="20"/>
          <w:color w:val="auto"/>
        </w:rPr>
      </w:pPr>
    </w:p>
    <w:p>
      <w:pPr>
        <w:jc w:val="both"/>
        <w:ind w:firstLine="1505"/>
        <w:spacing w:after="0" w:line="232"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8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 Further Documentation</w:t>
      </w:r>
      <w:r>
        <w:rPr>
          <w:rFonts w:ascii="Times New Roman" w:cs="Times New Roman" w:eastAsia="Times New Roman" w:hAnsi="Times New Roman"/>
          <w:sz w:val="22"/>
          <w:szCs w:val="22"/>
          <w:color w:val="auto"/>
        </w:rPr>
        <w:t>. Prior to the date of the first Placement Notice, the Company shall deliver to the Agents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Agents such further information, certificates and documents as the Agents may reasonably request.</w:t>
      </w:r>
    </w:p>
    <w:p>
      <w:pPr>
        <w:spacing w:after="0" w:line="17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The Company will promptly notify the Agents if the Company ceases to be an Emerging Growth Company at any time during the term of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8" w:name="page99"/>
    <w:bookmarkEnd w:id="98"/>
    <w:p>
      <w:pPr>
        <w:jc w:val="both"/>
        <w:ind w:firstLine="757"/>
        <w:spacing w:after="0" w:line="244" w:lineRule="auto"/>
        <w:tabs>
          <w:tab w:leader="none" w:pos="101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Expenses</w:t>
      </w:r>
      <w:r>
        <w:rPr>
          <w:rFonts w:ascii="Times New Roman" w:cs="Times New Roman" w:eastAsia="Times New Roman" w:hAnsi="Times New Roman"/>
          <w:sz w:val="21"/>
          <w:szCs w:val="21"/>
          <w:color w:val="auto"/>
        </w:rPr>
        <w:t>.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w:t>
      </w:r>
    </w:p>
    <w:p>
      <w:pPr>
        <w:spacing w:after="0" w:line="3" w:lineRule="exact"/>
        <w:rPr>
          <w:rFonts w:ascii="Times New Roman" w:cs="Times New Roman" w:eastAsia="Times New Roman" w:hAnsi="Times New Roman"/>
          <w:sz w:val="21"/>
          <w:szCs w:val="21"/>
          <w:color w:val="auto"/>
        </w:rPr>
      </w:pPr>
    </w:p>
    <w:p>
      <w:pPr>
        <w:jc w:val="both"/>
        <w:ind w:firstLine="8"/>
        <w:spacing w:after="0" w:line="242" w:lineRule="auto"/>
        <w:tabs>
          <w:tab w:leader="none" w:pos="30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fees and expenses of Agents including but not limited to the fees and expenses of the counsel to the Agents, payable upon the execution of this Agreement, (a) in an amount not to exceed $75,000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 xml:space="preserve"> for which no waiver is applicable and excluding the date of this Agreement, and (c) in an amount not to exceed $40,000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21"/>
          <w:szCs w:val="21"/>
          <w:u w:val="single" w:color="auto"/>
          <w:color w:val="auto"/>
        </w:rPr>
        <w:t>Section 7(r)</w:t>
      </w:r>
      <w:r>
        <w:rPr>
          <w:rFonts w:ascii="Times New Roman" w:cs="Times New Roman" w:eastAsia="Times New Roman" w:hAnsi="Times New Roman"/>
          <w:sz w:val="21"/>
          <w:szCs w:val="21"/>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Ordinary Shares,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The Company agrees to pay the fees and expenses of counsel to the Agents set forth in clause (v) above by wire transfer of immediately available funds directly to such counsel upon presentation of an invoice containing the requisite payment information prepared by such counsel.</w:t>
      </w:r>
    </w:p>
    <w:p>
      <w:pPr>
        <w:spacing w:after="0" w:line="184" w:lineRule="exact"/>
        <w:rPr>
          <w:rFonts w:ascii="Times New Roman" w:cs="Times New Roman" w:eastAsia="Times New Roman" w:hAnsi="Times New Roman"/>
          <w:sz w:val="21"/>
          <w:szCs w:val="21"/>
          <w:color w:val="auto"/>
        </w:rPr>
      </w:pPr>
    </w:p>
    <w:p>
      <w:pPr>
        <w:jc w:val="both"/>
        <w:ind w:firstLine="757"/>
        <w:spacing w:after="0" w:line="238" w:lineRule="auto"/>
        <w:tabs>
          <w:tab w:leader="none" w:pos="101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Agents’ Obligations</w:t>
      </w:r>
      <w:r>
        <w:rPr>
          <w:rFonts w:ascii="Times New Roman" w:cs="Times New Roman" w:eastAsia="Times New Roman" w:hAnsi="Times New Roman"/>
          <w:sz w:val="22"/>
          <w:szCs w:val="22"/>
          <w:color w:val="auto"/>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it in its reasonable judgment, and to the continuing satisfaction (or waiver by the Agents in their sole discretion) of the following additional conditions:</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have become effective and shall be available for the (i) resale of all Placement Shares issued to the Agents and not yet sold by the Agents and (ii) sale of all Placement Shares contemplated to be issued by any Placement Notice.</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of any request for additional information from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9" w:name="page100"/>
    <w:bookmarkEnd w:id="99"/>
    <w:p>
      <w:pPr>
        <w:jc w:val="both"/>
        <w:spacing w:after="0" w:line="233" w:lineRule="auto"/>
        <w:rPr>
          <w:sz w:val="20"/>
          <w:szCs w:val="20"/>
          <w:color w:val="auto"/>
        </w:rPr>
      </w:pPr>
      <w:r>
        <w:rPr>
          <w:rFonts w:ascii="Times New Roman" w:cs="Times New Roman" w:eastAsia="Times New Roman" w:hAnsi="Times New Roman"/>
          <w:sz w:val="22"/>
          <w:szCs w:val="22"/>
          <w:color w:val="auto"/>
        </w:rPr>
        <w:t>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2" w:lineRule="exact"/>
        <w:rPr>
          <w:sz w:val="20"/>
          <w:szCs w:val="20"/>
          <w:color w:val="auto"/>
        </w:rPr>
      </w:pPr>
    </w:p>
    <w:p>
      <w:pPr>
        <w:jc w:val="both"/>
        <w:ind w:firstLine="1505"/>
        <w:spacing w:after="0" w:line="239"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xml:space="preserve">. The Agents shall have received the opinions and negative assurance letters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such delivery of such opinions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The Agents shall have received the Comfort Letter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Date Certificate</w:t>
      </w:r>
      <w:r>
        <w:rPr>
          <w:rFonts w:ascii="Times New Roman" w:cs="Times New Roman" w:eastAsia="Times New Roman" w:hAnsi="Times New Roman"/>
          <w:sz w:val="22"/>
          <w:szCs w:val="22"/>
          <w:color w:val="auto"/>
        </w:rPr>
        <w:t xml:space="preserve">. The Agents shall have received the certificate required to be delivered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0" w:name="page101"/>
    <w:bookmarkEnd w:id="100"/>
    <w:p>
      <w:pPr>
        <w:ind w:firstLine="1505"/>
        <w:spacing w:after="0" w:line="258"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xml:space="preserve">. The Agent shall have received the certificate required to be delivered pursuant to </w:t>
      </w:r>
      <w:r>
        <w:rPr>
          <w:rFonts w:ascii="Times New Roman" w:cs="Times New Roman" w:eastAsia="Times New Roman" w:hAnsi="Times New Roman"/>
          <w:sz w:val="22"/>
          <w:szCs w:val="22"/>
          <w:u w:val="single" w:color="auto"/>
          <w:color w:val="auto"/>
        </w:rPr>
        <w:t>Section 7(t)</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Ordinary Shares shall not have been suspended on the Exchange and the Ordinary Shares shall not have been delisted from the Exchange.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w:t>
      </w:r>
      <w:r>
        <w:rPr>
          <w:rFonts w:ascii="Times New Roman" w:cs="Times New Roman" w:eastAsia="Times New Roman" w:hAnsi="Times New Roman"/>
          <w:sz w:val="22"/>
          <w:szCs w:val="22"/>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If applicable, FINRA shall have raised no objection to the terms of this offering and the amount of compensation allowable or payable to the Agents as described in the Prospectus.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the Agents to terminate this Agreement pursuant to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Indemnification</w:t>
      </w:r>
      <w:r>
        <w:rPr>
          <w:rFonts w:ascii="Times New Roman" w:cs="Times New Roman" w:eastAsia="Times New Roman" w:hAnsi="Times New Roman"/>
          <w:sz w:val="22"/>
          <w:szCs w:val="22"/>
          <w:color w:val="auto"/>
        </w:rPr>
        <w:t>. The Company agrees to indemnify and hold harmless each Agent, its affiliates and their respective partners, members, directors, officers, employees and agents and each person, if any, who controls such Agent or any such affiliate within the meaning of Section 15 of the Securities Act or Section 20 of the Exchange Act as follows:</w:t>
      </w:r>
    </w:p>
    <w:p>
      <w:pPr>
        <w:spacing w:after="0" w:line="180"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1" w:name="page102"/>
    <w:bookmarkEnd w:id="101"/>
    <w:p>
      <w:pPr>
        <w:jc w:val="both"/>
        <w:ind w:firstLine="2254"/>
        <w:spacing w:after="0" w:line="238" w:lineRule="auto"/>
        <w:tabs>
          <w:tab w:leader="none" w:pos="254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below) any such settlement is effected with the written consent of the Company, which consent shall not unreasonably be delayed or withheld; and</w:t>
      </w:r>
    </w:p>
    <w:p>
      <w:pPr>
        <w:spacing w:after="0" w:line="177"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(iii)against any and all expense whatsoever,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this indemnity agreement shall not apply to any loss, liability, claim, damage or expense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arising out of any untrue statement or omission or alleged untrue statement or omission made solely in reliance upon and in conformity with the Agents Information (as defined below).</w:t>
      </w:r>
    </w:p>
    <w:p>
      <w:pPr>
        <w:spacing w:after="0" w:line="171" w:lineRule="exact"/>
        <w:rPr>
          <w:sz w:val="20"/>
          <w:szCs w:val="20"/>
          <w:color w:val="auto"/>
        </w:rPr>
      </w:pPr>
    </w:p>
    <w:p>
      <w:pPr>
        <w:jc w:val="both"/>
        <w:ind w:firstLine="1505"/>
        <w:spacing w:after="0" w:line="245" w:lineRule="auto"/>
        <w:tabs>
          <w:tab w:leader="none" w:pos="203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Agents Indemnification</w:t>
      </w:r>
      <w:r>
        <w:rPr>
          <w:rFonts w:ascii="Times New Roman" w:cs="Times New Roman" w:eastAsia="Times New Roman" w:hAnsi="Times New Roman"/>
          <w:sz w:val="21"/>
          <w:szCs w:val="21"/>
          <w:color w:val="auto"/>
        </w:rPr>
        <w:t xml:space="preserve">. Each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any Prospectus Supplement or any Issuer Free Writing Prospectus (or any amendment or supplement thereto) are the statements set forth in the third sentence of the seventh paragraph under the caption “Plan of Distribution” in the Prospectus (the “</w:t>
      </w:r>
      <w:r>
        <w:rPr>
          <w:rFonts w:ascii="Times New Roman" w:cs="Times New Roman" w:eastAsia="Times New Roman" w:hAnsi="Times New Roman"/>
          <w:sz w:val="21"/>
          <w:szCs w:val="21"/>
          <w:b w:val="1"/>
          <w:bCs w:val="1"/>
          <w:u w:val="single" w:color="auto"/>
          <w:color w:val="auto"/>
        </w:rPr>
        <w:t>Agents Information</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1505"/>
        <w:spacing w:after="0" w:line="234" w:lineRule="auto"/>
        <w:tabs>
          <w:tab w:leader="none" w:pos="20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Any party that proposes to assert the right to be indemnified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and (ii) any liability that it may have to any indemnified party under the foregoing provision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2" w:name="page103"/>
    <w:bookmarkEnd w:id="102"/>
    <w:p>
      <w:pPr>
        <w:jc w:val="both"/>
        <w:spacing w:after="0" w:line="244" w:lineRule="auto"/>
        <w:rPr>
          <w:sz w:val="20"/>
          <w:szCs w:val="20"/>
          <w:color w:val="auto"/>
        </w:rPr>
      </w:pPr>
      <w:r>
        <w:rPr>
          <w:rFonts w:ascii="Times New Roman" w:cs="Times New Roman" w:eastAsia="Times New Roman" w:hAnsi="Times New Roman"/>
          <w:sz w:val="21"/>
          <w:szCs w:val="21"/>
          <w:color w:val="auto"/>
        </w:rPr>
        <w:t>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w:t>
      </w:r>
    </w:p>
    <w:p>
      <w:pPr>
        <w:spacing w:after="0" w:line="6" w:lineRule="exact"/>
        <w:rPr>
          <w:sz w:val="20"/>
          <w:szCs w:val="20"/>
          <w:color w:val="auto"/>
        </w:rPr>
      </w:pPr>
    </w:p>
    <w:p>
      <w:pPr>
        <w:jc w:val="both"/>
        <w:ind w:firstLine="8"/>
        <w:spacing w:after="0" w:line="242" w:lineRule="auto"/>
        <w:tabs>
          <w:tab w:leader="none" w:pos="317"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actually incurred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actually incurred of more than one separate firm (plus, if applicable, local counsel) admitted to practice in such jurisdiction at any one time for all such indemnified party or parties. All such fees, disbursements and other charges will be reimbursed by the indemnifying party promptly as they are incurred and documented.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78"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Without Consent if Failure to Reimburse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22"/>
          <w:szCs w:val="22"/>
          <w:u w:val="single" w:color="auto"/>
          <w:color w:val="auto"/>
        </w:rPr>
        <w:t>Section 10(a)(ii)</w:t>
      </w:r>
      <w:r>
        <w:rPr>
          <w:rFonts w:ascii="Times New Roman" w:cs="Times New Roman" w:eastAsia="Times New Roman" w:hAnsi="Times New Roman"/>
          <w:sz w:val="22"/>
          <w:szCs w:val="22"/>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3" w:name="page104"/>
    <w:bookmarkEnd w:id="103"/>
    <w:p>
      <w:pPr>
        <w:jc w:val="both"/>
        <w:ind w:firstLine="1505"/>
        <w:spacing w:after="0" w:line="242" w:lineRule="auto"/>
        <w:tabs>
          <w:tab w:leader="none" w:pos="203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shall be deemed to include, for the purpose of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xml:space="preserve"> hereof. Notwithstanding the foregoing provisions of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an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21"/>
          <w:szCs w:val="21"/>
          <w:u w:val="single" w:color="auto"/>
          <w:color w:val="auto"/>
        </w:rPr>
        <w:t>Section 11(f)</w:t>
      </w:r>
      <w:r>
        <w:rPr>
          <w:rFonts w:ascii="Times New Roman" w:cs="Times New Roman" w:eastAsia="Times New Roman" w:hAnsi="Times New Roman"/>
          <w:sz w:val="21"/>
          <w:szCs w:val="21"/>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any person who controls a party to this Agreement within the meaning of the Securities Act, any affiliates of an Agent and any officers, directors, partners, employees or agents of an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1"/>
          <w:szCs w:val="21"/>
          <w:u w:val="single" w:color="auto"/>
          <w:color w:val="auto"/>
        </w:rPr>
        <w:t>Section 10(e)</w:t>
      </w:r>
      <w:r>
        <w:rPr>
          <w:rFonts w:ascii="Times New Roman" w:cs="Times New Roman" w:eastAsia="Times New Roman" w:hAnsi="Times New Roman"/>
          <w:sz w:val="21"/>
          <w:szCs w:val="21"/>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xml:space="preserve"> hereof, no party will be liable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4" w:name="page105"/>
    <w:bookmarkEnd w:id="10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hereof. The Agents’ respective obligations to contribute pursuant to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are several in proportion to the respective number of Placement Shares they have sold hereunder, and not joint.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2" w:lineRule="auto"/>
        <w:tabs>
          <w:tab w:leader="none" w:pos="20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Agent may terminate this Agreement with respect to itself,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Ordinary Shares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such Agent shall provide the required notice as specified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(Notices). For the avoidance of doubt, the termination by one Agent of its rights and obligations under this Agreement pursuant to this Section 12(a) shall not affect the rights and obligations of the other Agents under the Agreement.</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by giving ten (10) days’ notice as hereinafter specified to terminate this Agreement with respect to one or more Agents in its sole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5" w:name="page106"/>
    <w:bookmarkEnd w:id="10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shall remain in full force and effect notwithstanding such termination. For the avoidance of doubt, the termination by the Company of this Agreement with respect to one Agent pursuant to this Section 12(b) shall not affect the rights and obligations of the other Agents under this Agreement.</w:t>
      </w:r>
    </w:p>
    <w:p>
      <w:pPr>
        <w:spacing w:after="0" w:line="177" w:lineRule="exact"/>
        <w:rPr>
          <w:sz w:val="20"/>
          <w:szCs w:val="20"/>
          <w:color w:val="auto"/>
        </w:rPr>
      </w:pPr>
    </w:p>
    <w:p>
      <w:pPr>
        <w:jc w:val="both"/>
        <w:ind w:firstLine="1505"/>
        <w:spacing w:after="0" w:line="236"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shall remain in full force and effect notwithstanding such termination. For the avoidance of doubt, the termination by one Agent of its rights and obligations under this Agreement pursuant to this Section 12(c) shall not affect the rights and obligations of the other Agents under this Agreement.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shall remain in full force and effect unless terminated pursuant to </w:t>
      </w:r>
      <w:r>
        <w:rPr>
          <w:rFonts w:ascii="Times New Roman" w:cs="Times New Roman" w:eastAsia="Times New Roman" w:hAnsi="Times New Roman"/>
          <w:sz w:val="21"/>
          <w:szCs w:val="21"/>
          <w:u w:val="single" w:color="auto"/>
          <w:color w:val="auto"/>
        </w:rPr>
        <w:t>Sections 12(a)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or</w:t>
      </w:r>
    </w:p>
    <w:p>
      <w:pPr>
        <w:spacing w:after="0" w:line="25" w:lineRule="exact"/>
        <w:rPr>
          <w:rFonts w:ascii="Times New Roman" w:cs="Times New Roman" w:eastAsia="Times New Roman" w:hAnsi="Times New Roman"/>
          <w:sz w:val="21"/>
          <w:szCs w:val="21"/>
          <w:color w:val="auto"/>
        </w:rPr>
      </w:pPr>
    </w:p>
    <w:p>
      <w:pPr>
        <w:jc w:val="both"/>
        <w:ind w:firstLine="8"/>
        <w:spacing w:after="0" w:line="235" w:lineRule="auto"/>
        <w:tabs>
          <w:tab w:leader="none" w:pos="311" w:val="left"/>
        </w:tabs>
        <w:numPr>
          <w:ilvl w:val="0"/>
          <w:numId w:val="1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above or otherwise by mutual agreement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shall remain in full force and effect.</w:t>
      </w:r>
    </w:p>
    <w:p>
      <w:pPr>
        <w:spacing w:after="0" w:line="177"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termination shall not be effective until the close of business on the date of receipt of such notice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Agents or the Company, as the case may be. If such termination shall occur prior to the Settlement Date for any sale of Placement Shares, such Placement Shares shall settle in accordance with the provisions of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110 East 59th Street</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Capital Markets</w:t>
      </w: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Cantor Fitzgerald &amp; Co.</w:t>
      </w:r>
    </w:p>
    <w:p>
      <w:pPr>
        <w:ind w:left="1500"/>
        <w:spacing w:after="0" w:line="230" w:lineRule="auto"/>
        <w:rPr>
          <w:sz w:val="20"/>
          <w:szCs w:val="20"/>
          <w:color w:val="auto"/>
        </w:rPr>
      </w:pPr>
      <w:r>
        <w:rPr>
          <w:rFonts w:ascii="Times New Roman" w:cs="Times New Roman" w:eastAsia="Times New Roman" w:hAnsi="Times New Roman"/>
          <w:sz w:val="22"/>
          <w:szCs w:val="22"/>
          <w:color w:val="auto"/>
        </w:rPr>
        <w:t>110 East 59th Street</w:t>
      </w:r>
    </w:p>
    <w:p>
      <w:pPr>
        <w:ind w:left="1500"/>
        <w:spacing w:after="0" w:line="231" w:lineRule="auto"/>
        <w:rPr>
          <w:sz w:val="20"/>
          <w:szCs w:val="20"/>
          <w:color w:val="auto"/>
        </w:rPr>
      </w:pPr>
      <w:r>
        <w:rPr>
          <w:rFonts w:ascii="Times New Roman" w:cs="Times New Roman" w:eastAsia="Times New Roman" w:hAnsi="Times New Roman"/>
          <w:sz w:val="22"/>
          <w:szCs w:val="22"/>
          <w:color w:val="auto"/>
        </w:rPr>
        <w:t>New York, NY 10022</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General Counsel</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Roth Capital Partners, LLC</w:t>
      </w:r>
    </w:p>
    <w:p>
      <w:pPr>
        <w:ind w:left="1500"/>
        <w:spacing w:after="0" w:line="230" w:lineRule="auto"/>
        <w:rPr>
          <w:sz w:val="20"/>
          <w:szCs w:val="20"/>
          <w:color w:val="auto"/>
        </w:rPr>
      </w:pPr>
      <w:r>
        <w:rPr>
          <w:rFonts w:ascii="Times New Roman" w:cs="Times New Roman" w:eastAsia="Times New Roman" w:hAnsi="Times New Roman"/>
          <w:sz w:val="22"/>
          <w:szCs w:val="22"/>
          <w:color w:val="auto"/>
        </w:rPr>
        <w:t>888 San Clemente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Newport Beach, CA 92660</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6" w:name="page107"/>
    <w:bookmarkEnd w:id="106"/>
    <w:p>
      <w:pPr>
        <w:ind w:left="1500"/>
        <w:spacing w:after="0"/>
        <w:rPr>
          <w:sz w:val="20"/>
          <w:szCs w:val="20"/>
          <w:color w:val="auto"/>
        </w:rPr>
      </w:pPr>
      <w:r>
        <w:rPr>
          <w:rFonts w:ascii="Times New Roman" w:cs="Times New Roman" w:eastAsia="Times New Roman" w:hAnsi="Times New Roman"/>
          <w:sz w:val="22"/>
          <w:szCs w:val="22"/>
          <w:color w:val="auto"/>
        </w:rPr>
        <w:t>Fax No.:</w:t>
      </w:r>
    </w:p>
    <w:p>
      <w:pPr>
        <w:spacing w:after="0" w:line="14"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Managing Director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Northland Securities, Inc.</w:t>
      </w:r>
    </w:p>
    <w:p>
      <w:pPr>
        <w:ind w:left="1500"/>
        <w:spacing w:after="0" w:line="230" w:lineRule="auto"/>
        <w:rPr>
          <w:sz w:val="20"/>
          <w:szCs w:val="20"/>
          <w:color w:val="auto"/>
        </w:rPr>
      </w:pPr>
      <w:r>
        <w:rPr>
          <w:rFonts w:ascii="Times New Roman" w:cs="Times New Roman" w:eastAsia="Times New Roman" w:hAnsi="Times New Roman"/>
          <w:sz w:val="22"/>
          <w:szCs w:val="22"/>
          <w:color w:val="auto"/>
        </w:rPr>
        <w:t>150 South Fifth Street, Suite 3300</w:t>
      </w:r>
    </w:p>
    <w:p>
      <w:pPr>
        <w:ind w:left="1500"/>
        <w:spacing w:after="0" w:line="231" w:lineRule="auto"/>
        <w:rPr>
          <w:sz w:val="20"/>
          <w:szCs w:val="20"/>
          <w:color w:val="auto"/>
        </w:rPr>
      </w:pPr>
      <w:r>
        <w:rPr>
          <w:rFonts w:ascii="Times New Roman" w:cs="Times New Roman" w:eastAsia="Times New Roman" w:hAnsi="Times New Roman"/>
          <w:sz w:val="22"/>
          <w:szCs w:val="22"/>
          <w:color w:val="auto"/>
        </w:rPr>
        <w:t>Minneapolis, MN 55402</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Jeff Peterson</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Maxim Group LLC</w:t>
      </w:r>
    </w:p>
    <w:p>
      <w:pPr>
        <w:ind w:left="1500"/>
        <w:spacing w:after="0" w:line="184" w:lineRule="auto"/>
        <w:rPr>
          <w:sz w:val="20"/>
          <w:szCs w:val="20"/>
          <w:color w:val="auto"/>
        </w:rPr>
      </w:pPr>
      <w:r>
        <w:rPr>
          <w:rFonts w:ascii="Times New Roman" w:cs="Times New Roman" w:eastAsia="Times New Roman" w:hAnsi="Times New Roman"/>
          <w:sz w:val="22"/>
          <w:szCs w:val="22"/>
          <w:color w:val="auto"/>
        </w:rPr>
        <w:t>300 Park Avenue,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New York 10022</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Clifford A. Teller, Co-President</w:t>
      </w:r>
    </w:p>
    <w:p>
      <w:pPr>
        <w:ind w:left="1500"/>
        <w:spacing w:after="0" w:line="230" w:lineRule="auto"/>
        <w:rPr>
          <w:sz w:val="20"/>
          <w:szCs w:val="20"/>
          <w:color w:val="auto"/>
        </w:rPr>
      </w:pPr>
      <w:r>
        <w:rPr>
          <w:rFonts w:ascii="Times New Roman" w:cs="Times New Roman" w:eastAsia="Times New Roman" w:hAnsi="Times New Roman"/>
          <w:sz w:val="22"/>
          <w:szCs w:val="22"/>
          <w:color w:val="auto"/>
        </w:rPr>
        <w:t>Fax:</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A.G.P./Alliance Global Partners</w:t>
      </w:r>
    </w:p>
    <w:p>
      <w:pPr>
        <w:ind w:left="1500"/>
        <w:spacing w:after="0" w:line="184" w:lineRule="auto"/>
        <w:rPr>
          <w:sz w:val="20"/>
          <w:szCs w:val="20"/>
          <w:color w:val="auto"/>
        </w:rPr>
      </w:pPr>
      <w:r>
        <w:rPr>
          <w:rFonts w:ascii="Times New Roman" w:cs="Times New Roman" w:eastAsia="Times New Roman" w:hAnsi="Times New Roman"/>
          <w:sz w:val="22"/>
          <w:szCs w:val="22"/>
          <w:color w:val="auto"/>
        </w:rPr>
        <w:t>590 Madison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Tom Higgins</w:t>
      </w: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Duane Morris LLP</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 Vanderbilt</w:t>
      </w:r>
    </w:p>
    <w:p>
      <w:pPr>
        <w:ind w:left="1500"/>
        <w:spacing w:after="0" w:line="184" w:lineRule="auto"/>
        <w:rPr>
          <w:sz w:val="20"/>
          <w:szCs w:val="20"/>
          <w:color w:val="auto"/>
        </w:rPr>
      </w:pPr>
      <w:r>
        <w:rPr>
          <w:rFonts w:ascii="Times New Roman" w:cs="Times New Roman" w:eastAsia="Times New Roman" w:hAnsi="Times New Roman"/>
          <w:sz w:val="22"/>
          <w:szCs w:val="22"/>
          <w:color w:val="auto"/>
        </w:rPr>
        <w:t>335 Madison Avenue,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10017</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James T. Seery</w:t>
      </w:r>
    </w:p>
    <w:p>
      <w:pPr>
        <w:ind w:left="1500"/>
        <w:spacing w:after="0" w:line="230" w:lineRule="auto"/>
        <w:rPr>
          <w:sz w:val="20"/>
          <w:szCs w:val="20"/>
          <w:color w:val="auto"/>
        </w:rPr>
      </w:pPr>
      <w:r>
        <w:rPr>
          <w:rFonts w:ascii="Times New Roman" w:cs="Times New Roman" w:eastAsia="Times New Roman" w:hAnsi="Times New Roman"/>
          <w:sz w:val="22"/>
          <w:szCs w:val="22"/>
          <w:color w:val="auto"/>
        </w:rPr>
        <w:t>Telephone: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if to the Company, shall be delivered to:</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Rezolve AI plc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 Sackville Street,</w:t>
      </w:r>
    </w:p>
    <w:p>
      <w:pPr>
        <w:ind w:left="1500"/>
        <w:spacing w:after="0" w:line="230" w:lineRule="auto"/>
        <w:rPr>
          <w:sz w:val="20"/>
          <w:szCs w:val="20"/>
          <w:color w:val="auto"/>
        </w:rPr>
      </w:pPr>
      <w:r>
        <w:rPr>
          <w:rFonts w:ascii="Times New Roman" w:cs="Times New Roman" w:eastAsia="Times New Roman" w:hAnsi="Times New Roman"/>
          <w:sz w:val="22"/>
          <w:szCs w:val="22"/>
          <w:color w:val="auto"/>
        </w:rPr>
        <w:t>London, W1S 3DN</w:t>
      </w:r>
    </w:p>
    <w:p>
      <w:pPr>
        <w:ind w:left="1500"/>
        <w:spacing w:after="0" w:line="231" w:lineRule="auto"/>
        <w:rPr>
          <w:sz w:val="20"/>
          <w:szCs w:val="20"/>
          <w:color w:val="auto"/>
        </w:rPr>
      </w:pPr>
      <w:r>
        <w:rPr>
          <w:rFonts w:ascii="Times New Roman" w:cs="Times New Roman" w:eastAsia="Times New Roman" w:hAnsi="Times New Roman"/>
          <w:sz w:val="22"/>
          <w:szCs w:val="22"/>
          <w:color w:val="auto"/>
        </w:rPr>
        <w:t>United Kingdom</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Arthur Yao</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DLA Piper LLP</w:t>
      </w:r>
    </w:p>
    <w:p>
      <w:pPr>
        <w:spacing w:after="0" w:line="260"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73" w:right="1440" w:bottom="1440" w:gutter="0" w:footer="0" w:header="0"/>
        </w:sectPr>
      </w:pPr>
    </w:p>
    <w:bookmarkStart w:id="107" w:name="page108"/>
    <w:bookmarkEnd w:id="107"/>
    <w:p>
      <w:pPr>
        <w:ind w:left="1500"/>
        <w:spacing w:after="0"/>
        <w:rPr>
          <w:sz w:val="20"/>
          <w:szCs w:val="20"/>
          <w:color w:val="auto"/>
        </w:rPr>
      </w:pPr>
      <w:r>
        <w:rPr>
          <w:rFonts w:ascii="Times New Roman" w:cs="Times New Roman" w:eastAsia="Times New Roman" w:hAnsi="Times New Roman"/>
          <w:sz w:val="22"/>
          <w:szCs w:val="22"/>
          <w:color w:val="auto"/>
        </w:rPr>
        <w:t>1201 W Peachtree St NE #2800</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Atlanta, GA 30309</w:t>
      </w:r>
    </w:p>
    <w:p>
      <w:pPr>
        <w:ind w:left="1500"/>
        <w:spacing w:after="0" w:line="230" w:lineRule="auto"/>
        <w:rPr>
          <w:sz w:val="20"/>
          <w:szCs w:val="20"/>
          <w:color w:val="auto"/>
        </w:rPr>
      </w:pPr>
      <w:r>
        <w:rPr>
          <w:rFonts w:ascii="Times New Roman" w:cs="Times New Roman" w:eastAsia="Times New Roman" w:hAnsi="Times New Roman"/>
          <w:sz w:val="22"/>
          <w:szCs w:val="22"/>
          <w:color w:val="auto"/>
        </w:rPr>
        <w:t>(404) 736-7800</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Gerry Williams and Penny J. Minna</w:t>
      </w: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Taylor Wessing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21 Sackville Street</w:t>
      </w:r>
    </w:p>
    <w:p>
      <w:pPr>
        <w:ind w:left="1500"/>
        <w:spacing w:after="0" w:line="230" w:lineRule="auto"/>
        <w:rPr>
          <w:sz w:val="20"/>
          <w:szCs w:val="20"/>
          <w:color w:val="auto"/>
        </w:rPr>
      </w:pPr>
      <w:r>
        <w:rPr>
          <w:rFonts w:ascii="Times New Roman" w:cs="Times New Roman" w:eastAsia="Times New Roman" w:hAnsi="Times New Roman"/>
          <w:sz w:val="22"/>
          <w:szCs w:val="22"/>
          <w:color w:val="auto"/>
        </w:rPr>
        <w:t>London, EC4A 3TW, United Kingdom</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Robert Fenner and Paul Thorpe</w:t>
      </w:r>
    </w:p>
    <w:p>
      <w:pPr>
        <w:ind w:left="1500"/>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shall mean any day on which the Exchange and commercial banks in the City of New York are open for business.</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An electronic communication (“</w:t>
      </w:r>
      <w:r>
        <w:rPr>
          <w:rFonts w:ascii="Times New Roman" w:cs="Times New Roman" w:eastAsia="Times New Roman" w:hAnsi="Times New Roman"/>
          <w:sz w:val="22"/>
          <w:szCs w:val="22"/>
          <w:b w:val="1"/>
          <w:bCs w:val="1"/>
          <w:u w:val="single" w:color="auto"/>
          <w:color w:val="auto"/>
        </w:rPr>
        <w:t>Electronic Notice</w:t>
      </w:r>
      <w:r>
        <w:rPr>
          <w:rFonts w:ascii="Times New Roman" w:cs="Times New Roman" w:eastAsia="Times New Roman" w:hAnsi="Times New Roman"/>
          <w:sz w:val="22"/>
          <w:szCs w:val="22"/>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22"/>
          <w:szCs w:val="22"/>
          <w:b w:val="1"/>
          <w:bCs w:val="1"/>
          <w:u w:val="single" w:color="auto"/>
          <w:color w:val="auto"/>
        </w:rPr>
        <w:t>Nonelectronic Notic</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which shall be sent to the requesting party within ten (10) days of receipt of the written request for Nonelectronic Notice.</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each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Agents may assign its rights and obligations hereunder to an affiliate thereof without obtaining the Company’s consent.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Adjustments for Stock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8" w:name="page109"/>
    <w:bookmarkEnd w:id="108"/>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Entire Agreement; Amendment; Severability; Waiver</w:t>
      </w:r>
      <w:r>
        <w:rPr>
          <w:rFonts w:ascii="Times New Roman" w:cs="Times New Roman" w:eastAsia="Times New Roman" w:hAnsi="Times New Roman"/>
          <w:sz w:val="22"/>
          <w:szCs w:val="22"/>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each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u w:val="single" w:color="auto"/>
          <w:color w:val="auto"/>
        </w:rPr>
        <w:t>GOVERNING LAW AND TIME; WAIVER OF JURY TRIAL</w:t>
      </w:r>
      <w:r>
        <w:rPr>
          <w:rFonts w:ascii="Times New Roman" w:cs="Times New Roman" w:eastAsia="Times New Roman" w:hAnsi="Times New Roman"/>
          <w:sz w:val="22"/>
          <w:szCs w:val="22"/>
          <w:b w:val="1"/>
          <w:bCs w:val="1"/>
          <w:color w:val="auto"/>
        </w:rPr>
        <w:t>. THIS AGREEMENT SHALL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u w:val="single" w:color="auto"/>
          <w:color w:val="auto"/>
        </w:rPr>
        <w:t>CONSENT TO JURISDICTION</w:t>
      </w:r>
      <w:r>
        <w:rPr>
          <w:rFonts w:ascii="Times New Roman" w:cs="Times New Roman" w:eastAsia="Times New Roman" w:hAnsi="Times New Roman"/>
          <w:sz w:val="22"/>
          <w:szCs w:val="22"/>
          <w:b w:val="1"/>
          <w:bCs w:val="1"/>
          <w:color w:val="auto"/>
        </w:rPr>
        <w:t>. EACH PARTY HEREBY IRREVOCABLY SUBMITS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9" w:name="page110"/>
    <w:bookmarkEnd w:id="109"/>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Appointment of Agent for Service</w:t>
      </w:r>
      <w:r>
        <w:rPr>
          <w:rFonts w:ascii="Times New Roman" w:cs="Times New Roman" w:eastAsia="Times New Roman" w:hAnsi="Times New Roman"/>
          <w:sz w:val="22"/>
          <w:szCs w:val="22"/>
          <w:color w:val="auto"/>
        </w:rPr>
        <w:t>. The Company hereby irrevocably appoints Cogency Global Inc., 122 East 42nd Street, 18th Floor, New York, N.Y. 10016 as its agent for service of process in any suit, action or proceeding described in Section 18 and agrees that service of process in any suit,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-32385</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22.</w:t>
      </w:r>
      <w:r>
        <w:rPr>
          <w:rFonts w:ascii="Times New Roman" w:cs="Times New Roman" w:eastAsia="Times New Roman" w:hAnsi="Times New Roman"/>
          <w:sz w:val="21"/>
          <w:szCs w:val="21"/>
          <w:u w:val="single" w:color="auto"/>
          <w:color w:val="auto"/>
        </w:rPr>
        <w:t>Permitted Free Writing Prospectuses</w:t>
      </w:r>
      <w:r>
        <w:rPr>
          <w:rFonts w:ascii="Times New Roman" w:cs="Times New Roman" w:eastAsia="Times New Roman" w:hAnsi="Times New Roman"/>
          <w:sz w:val="21"/>
          <w:szCs w:val="21"/>
          <w:color w:val="auto"/>
        </w:rPr>
        <w:t xml:space="preserve">. The Company represents, warrants and agrees that, unless it obtains the prior written consent of the Agents, and each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21"/>
          <w:szCs w:val="21"/>
          <w:u w:val="single" w:color="auto"/>
          <w:color w:val="auto"/>
        </w:rPr>
        <w:t>Exhibit 21</w:t>
      </w:r>
      <w:r>
        <w:rPr>
          <w:rFonts w:ascii="Times New Roman" w:cs="Times New Roman" w:eastAsia="Times New Roman" w:hAnsi="Times New Roman"/>
          <w:sz w:val="21"/>
          <w:szCs w:val="21"/>
          <w:color w:val="auto"/>
        </w:rPr>
        <w:t xml:space="preserve"> hereto are Permitted Free Writing Prospectuses.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color w:val="auto"/>
        </w:rPr>
        <w:t>. The Company acknowledges and agrees that:</w:t>
      </w:r>
    </w:p>
    <w:p>
      <w:pPr>
        <w:spacing w:after="0" w:line="206" w:lineRule="exact"/>
        <w:rPr>
          <w:sz w:val="20"/>
          <w:szCs w:val="20"/>
          <w:color w:val="auto"/>
        </w:rPr>
      </w:pPr>
    </w:p>
    <w:p>
      <w:pPr>
        <w:jc w:val="both"/>
        <w:ind w:firstLine="1505"/>
        <w:spacing w:after="0" w:line="239"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22"/>
          <w:szCs w:val="22"/>
          <w:color w:val="auto"/>
        </w:rPr>
        <w:t>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173" w:lineRule="exact"/>
        <w:rPr>
          <w:sz w:val="20"/>
          <w:szCs w:val="20"/>
          <w:color w:val="auto"/>
        </w:rPr>
      </w:pPr>
    </w:p>
    <w:p>
      <w:pPr>
        <w:ind w:firstLine="1505"/>
        <w:spacing w:after="0" w:line="258"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capable of evaluating and understanding, and understands and accepts, the terms, risks and conditions of the transactions contemplated by this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Agents nor their respective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aware that each Agent and its affiliates are engaged in a broad range of transactions which may involve interests that differ from those of the Company and such Agent and its affiliates have no obligation to disclose such interests and transactions to the Company by virtue of any fiduciary, advisory or agency relationship or otherwise;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waives, to the fullest extent permitted by law, any claims it may have against an Agent or its affiliates for breach of fiduciary duty or alleged breach of fiduciary duty in connection with the sale of Placement Shares under this Agreement and agrees that such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terms have the respective meanings set forth below:</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Time</w:t>
      </w:r>
      <w:r>
        <w:rPr>
          <w:rFonts w:ascii="Times New Roman" w:cs="Times New Roman" w:eastAsia="Times New Roman" w:hAnsi="Times New Roman"/>
          <w:sz w:val="22"/>
          <w:szCs w:val="22"/>
          <w:color w:val="auto"/>
        </w:rPr>
        <w:t>” means (i) each Representation Date, (ii) the time of each sale of any Placement Shares pursuant to this Agreement and (iii) each Settlement Date.</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Issuer Free Writing Prospectus</w:t>
      </w:r>
      <w:r>
        <w:rPr>
          <w:rFonts w:ascii="Times New Roman" w:cs="Times New Roman" w:eastAsia="Times New Roman" w:hAnsi="Times New Roman"/>
          <w:sz w:val="21"/>
          <w:szCs w:val="21"/>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6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Personal Data</w:t>
      </w:r>
      <w:r>
        <w:rPr>
          <w:rFonts w:ascii="Times New Roman" w:cs="Times New Roman" w:eastAsia="Times New Roman" w:hAnsi="Times New Roman"/>
          <w:sz w:val="22"/>
          <w:szCs w:val="22"/>
          <w:color w:val="auto"/>
        </w:rPr>
        <w:t>” means (i) a natural person’s name, street address, telephone number, e-mail address, photograph, social security number or tax identification number, driver’s license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11" w:name="page112"/>
    <w:bookmarkEnd w:id="111"/>
    <w:p>
      <w:pPr>
        <w:jc w:val="both"/>
        <w:spacing w:after="0" w:line="235" w:lineRule="auto"/>
        <w:rPr>
          <w:sz w:val="20"/>
          <w:szCs w:val="20"/>
          <w:color w:val="auto"/>
        </w:rPr>
      </w:pPr>
      <w:r>
        <w:rPr>
          <w:rFonts w:ascii="Times New Roman" w:cs="Times New Roman" w:eastAsia="Times New Roman" w:hAnsi="Times New Roman"/>
          <w:sz w:val="22"/>
          <w:szCs w:val="22"/>
          <w:color w:val="auto"/>
        </w:rPr>
        <w:t>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2"/>
          <w:szCs w:val="22"/>
          <w:b w:val="1"/>
          <w:bCs w:val="1"/>
          <w:u w:val="single" w:color="auto"/>
          <w:color w:val="auto"/>
        </w:rPr>
        <w:t>HIPAA</w:t>
      </w:r>
      <w:r>
        <w:rPr>
          <w:rFonts w:ascii="Times New Roman" w:cs="Times New Roman" w:eastAsia="Times New Roman" w:hAnsi="Times New Roman"/>
          <w:sz w:val="22"/>
          <w:szCs w:val="22"/>
          <w:color w:val="auto"/>
        </w:rPr>
        <w:t>”); (v) any “personal information” as defined by the California Consumer Privacy Act (“</w:t>
      </w:r>
      <w:r>
        <w:rPr>
          <w:rFonts w:ascii="Times New Roman" w:cs="Times New Roman" w:eastAsia="Times New Roman" w:hAnsi="Times New Roman"/>
          <w:sz w:val="22"/>
          <w:szCs w:val="22"/>
          <w:b w:val="1"/>
          <w:bCs w:val="1"/>
          <w:u w:val="single" w:color="auto"/>
          <w:color w:val="auto"/>
        </w:rPr>
        <w:t>CCPA</w:t>
      </w:r>
      <w:r>
        <w:rPr>
          <w:rFonts w:ascii="Times New Roman" w:cs="Times New Roman" w:eastAsia="Times New Roman" w:hAnsi="Times New Roman"/>
          <w:sz w:val="22"/>
          <w:szCs w:val="22"/>
          <w:color w:val="auto"/>
        </w:rPr>
        <w:t>”); and (vi) any other piece of information that allows the identification of such natural person, or his or her family, or permits the collection or analysis of any data related to an identified person’s health or sexual orientation.</w:t>
      </w:r>
    </w:p>
    <w:p>
      <w:pPr>
        <w:spacing w:after="0" w:line="179" w:lineRule="exact"/>
        <w:rPr>
          <w:sz w:val="20"/>
          <w:szCs w:val="20"/>
          <w:color w:val="auto"/>
        </w:rPr>
      </w:pPr>
    </w:p>
    <w:p>
      <w:pPr>
        <w:ind w:right="200" w:firstLine="80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Rule 164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172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405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415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430B</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Rule 433</w:t>
      </w:r>
      <w:r>
        <w:rPr>
          <w:rFonts w:ascii="Times New Roman" w:cs="Times New Roman" w:eastAsia="Times New Roman" w:hAnsi="Times New Roman"/>
          <w:sz w:val="22"/>
          <w:szCs w:val="22"/>
          <w:color w:val="auto"/>
        </w:rPr>
        <w:t>” refer to such rules under the Securities Act Regulations.</w:t>
      </w:r>
    </w:p>
    <w:p>
      <w:pPr>
        <w:spacing w:after="0" w:line="15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12" w:name="page113"/>
    <w:bookmarkEnd w:id="112"/>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each Agent, please so indicate in the space provided below for that purpose, whereupon this letter shall constitute a binding agreement between the Company and each Agent.</w:t>
      </w:r>
    </w:p>
    <w:p>
      <w:pPr>
        <w:spacing w:after="0" w:line="17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0"/>
        <w:spacing w:after="0"/>
        <w:tabs>
          <w:tab w:leader="none" w:pos="6040" w:val="left"/>
        </w:tabs>
        <w:rPr>
          <w:sz w:val="20"/>
          <w:szCs w:val="20"/>
          <w:color w:val="auto"/>
        </w:rPr>
      </w:pPr>
      <w:r>
        <w:rPr>
          <w:rFonts w:ascii="Times New Roman" w:cs="Times New Roman" w:eastAsia="Times New Roman" w:hAnsi="Times New Roman"/>
          <w:sz w:val="22"/>
          <w:szCs w:val="22"/>
          <w:color w:val="auto"/>
        </w:rPr>
        <w:t>By:</w:t>
        <w:tab/>
        <w:t>/s/ Arthur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10795</wp:posOffset>
            </wp:positionV>
            <wp:extent cx="32918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22"/>
          <w:szCs w:val="22"/>
          <w:color w:val="auto"/>
        </w:rPr>
        <w:t>Name: Arthur Yao</w:t>
      </w:r>
    </w:p>
    <w:p>
      <w:pPr>
        <w:ind w:left="6060"/>
        <w:spacing w:after="0"/>
        <w:rPr>
          <w:sz w:val="20"/>
          <w:szCs w:val="20"/>
          <w:color w:val="auto"/>
        </w:rPr>
      </w:pPr>
      <w:r>
        <w:rPr>
          <w:rFonts w:ascii="Times New Roman" w:cs="Times New Roman" w:eastAsia="Times New Roman" w:hAnsi="Times New Roman"/>
          <w:sz w:val="22"/>
          <w:szCs w:val="22"/>
          <w:color w:val="auto"/>
        </w:rPr>
        <w:t>Title: Chief Operating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w:t>
      </w:r>
      <w:r>
        <w:rPr>
          <w:rFonts w:ascii="Times New Roman" w:cs="Times New Roman" w:eastAsia="Times New Roman" w:hAnsi="Times New Roman"/>
          <w:sz w:val="18"/>
          <w:szCs w:val="18"/>
          <w:color w:val="auto"/>
        </w:rPr>
        <w: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ind w:left="3560"/>
        <w:spacing w:after="0"/>
        <w:rPr>
          <w:sz w:val="20"/>
          <w:szCs w:val="20"/>
          <w:color w:val="auto"/>
        </w:rPr>
      </w:pPr>
      <w:r>
        <w:rPr>
          <w:rFonts w:ascii="Times New Roman" w:cs="Times New Roman" w:eastAsia="Times New Roman" w:hAnsi="Times New Roman"/>
          <w:sz w:val="22"/>
          <w:szCs w:val="22"/>
          <w:color w:val="auto"/>
        </w:rPr>
        <w:t>ACCEPTED as of the date first-above written:</w:t>
      </w:r>
    </w:p>
    <w:p>
      <w:pPr>
        <w:spacing w:after="0" w:line="200" w:lineRule="exact"/>
        <w:rPr>
          <w:sz w:val="20"/>
          <w:szCs w:val="20"/>
          <w:color w:val="auto"/>
        </w:rPr>
      </w:pPr>
    </w:p>
    <w:p>
      <w:pPr>
        <w:spacing w:after="0" w:line="24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CANTOR FITZGERALD &amp; CO.</w:t>
      </w:r>
    </w:p>
    <w:p>
      <w:pPr>
        <w:spacing w:after="0" w:line="372" w:lineRule="exact"/>
        <w:rPr>
          <w:sz w:val="20"/>
          <w:szCs w:val="20"/>
          <w:color w:val="auto"/>
        </w:rPr>
      </w:pPr>
    </w:p>
    <w:p>
      <w:pPr>
        <w:ind w:left="4280"/>
        <w:spacing w:after="0"/>
        <w:tabs>
          <w:tab w:leader="none" w:pos="4920" w:val="left"/>
        </w:tabs>
        <w:rPr>
          <w:sz w:val="20"/>
          <w:szCs w:val="20"/>
          <w:color w:val="auto"/>
        </w:rPr>
      </w:pPr>
      <w:r>
        <w:rPr>
          <w:rFonts w:ascii="Times New Roman" w:cs="Times New Roman" w:eastAsia="Times New Roman" w:hAnsi="Times New Roman"/>
          <w:sz w:val="22"/>
          <w:szCs w:val="22"/>
          <w:color w:val="auto"/>
        </w:rPr>
        <w:t>By:</w:t>
        <w:tab/>
        <w:t>/s/ Sameer Vasudev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10795</wp:posOffset>
            </wp:positionV>
            <wp:extent cx="32829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Sameer Vasudev</w:t>
      </w:r>
    </w:p>
    <w:p>
      <w:pPr>
        <w:ind w:left="49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4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ROTH CAPITAL PARTNERS, LLC</w:t>
      </w:r>
    </w:p>
    <w:p>
      <w:pPr>
        <w:spacing w:after="0" w:line="372" w:lineRule="exact"/>
        <w:rPr>
          <w:sz w:val="20"/>
          <w:szCs w:val="20"/>
          <w:color w:val="auto"/>
        </w:rPr>
      </w:pPr>
    </w:p>
    <w:tbl>
      <w:tblPr>
        <w:tblLayout w:type="fixed"/>
        <w:tblInd w:w="4180" w:type="dxa"/>
        <w:tblCellMar>
          <w:top w:w="0" w:type="dxa"/>
          <w:left w:w="0" w:type="dxa"/>
          <w:bottom w:w="0" w:type="dxa"/>
          <w:right w:w="0" w:type="dxa"/>
        </w:tblCellMar>
      </w:tblPr>
      <w:tr>
        <w:trPr>
          <w:trHeight w:val="270"/>
        </w:trPr>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By:</w:t>
            </w:r>
          </w:p>
        </w:tc>
        <w:tc>
          <w:tcPr>
            <w:tcW w:w="1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Aaron Gurewitz</w:t>
            </w:r>
          </w:p>
        </w:tc>
      </w:tr>
      <w:tr>
        <w:trPr>
          <w:trHeight w:val="209"/>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auto"/>
              </w:rPr>
              <w:t>Name: Aaron Gurewitz</w:t>
            </w:r>
          </w:p>
        </w:tc>
      </w:tr>
      <w:tr>
        <w:trPr>
          <w:trHeight w:val="243"/>
        </w:trPr>
        <w:tc>
          <w:tcPr>
            <w:tcW w:w="640" w:type="dxa"/>
            <w:vAlign w:val="bottom"/>
          </w:tcPr>
          <w:p>
            <w:pPr>
              <w:spacing w:after="0"/>
              <w:rPr>
                <w:sz w:val="21"/>
                <w:szCs w:val="21"/>
                <w:color w:val="auto"/>
              </w:rPr>
            </w:pPr>
          </w:p>
        </w:tc>
        <w:tc>
          <w:tcPr>
            <w:tcW w:w="53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Title: Co-Chief Executive Officer and Head of Investment</w:t>
            </w:r>
          </w:p>
        </w:tc>
      </w:tr>
      <w:tr>
        <w:trPr>
          <w:trHeight w:val="282"/>
        </w:trPr>
        <w:tc>
          <w:tcPr>
            <w:tcW w:w="640" w:type="dxa"/>
            <w:vAlign w:val="bottom"/>
          </w:tcPr>
          <w:p>
            <w:pPr>
              <w:spacing w:after="0"/>
              <w:rPr>
                <w:sz w:val="24"/>
                <w:szCs w:val="24"/>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Banking</w:t>
            </w:r>
          </w:p>
        </w:tc>
      </w:tr>
      <w:tr>
        <w:trPr>
          <w:trHeight w:val="729"/>
        </w:trPr>
        <w:tc>
          <w:tcPr>
            <w:tcW w:w="59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NORTHLAND SECURITIES, INC.</w:t>
            </w:r>
          </w:p>
        </w:tc>
      </w:tr>
      <w:tr>
        <w:trPr>
          <w:trHeight w:val="609"/>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/s/ Jeff Peterson</w:t>
            </w:r>
          </w:p>
        </w:tc>
      </w:tr>
      <w:tr>
        <w:trPr>
          <w:trHeight w:val="209"/>
        </w:trPr>
        <w:tc>
          <w:tcPr>
            <w:tcW w:w="640" w:type="dxa"/>
            <w:vAlign w:val="bottom"/>
          </w:tcPr>
          <w:p>
            <w:pPr>
              <w:spacing w:after="0"/>
              <w:rPr>
                <w:sz w:val="18"/>
                <w:szCs w:val="18"/>
                <w:color w:val="auto"/>
              </w:rPr>
            </w:pPr>
          </w:p>
        </w:tc>
        <w:tc>
          <w:tcPr>
            <w:tcW w:w="5300" w:type="dxa"/>
            <w:vAlign w:val="bottom"/>
            <w:gridSpan w:val="3"/>
          </w:tcPr>
          <w:p>
            <w:pPr>
              <w:spacing w:after="0" w:line="209" w:lineRule="exact"/>
              <w:rPr>
                <w:sz w:val="20"/>
                <w:szCs w:val="20"/>
                <w:color w:val="auto"/>
              </w:rPr>
            </w:pPr>
            <w:r>
              <w:rPr>
                <w:rFonts w:ascii="Times New Roman" w:cs="Times New Roman" w:eastAsia="Times New Roman" w:hAnsi="Times New Roman"/>
                <w:sz w:val="22"/>
                <w:szCs w:val="22"/>
                <w:color w:val="auto"/>
              </w:rPr>
              <w:t>Name: Jeff Peterson</w:t>
            </w:r>
          </w:p>
        </w:tc>
      </w:tr>
      <w:tr>
        <w:trPr>
          <w:trHeight w:val="282"/>
        </w:trPr>
        <w:tc>
          <w:tcPr>
            <w:tcW w:w="64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Managing Director</w:t>
            </w:r>
          </w:p>
        </w:tc>
      </w:tr>
      <w:tr>
        <w:trPr>
          <w:trHeight w:val="729"/>
        </w:trPr>
        <w:tc>
          <w:tcPr>
            <w:tcW w:w="59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MAXIM GROUP LLC</w:t>
            </w:r>
          </w:p>
        </w:tc>
      </w:tr>
      <w:tr>
        <w:trPr>
          <w:trHeight w:val="609"/>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Larry Glassberg</w:t>
            </w:r>
          </w:p>
        </w:tc>
      </w:tr>
      <w:tr>
        <w:trPr>
          <w:trHeight w:val="209"/>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Larry Glassberg</w:t>
            </w:r>
          </w:p>
        </w:tc>
      </w:tr>
      <w:tr>
        <w:trPr>
          <w:trHeight w:val="282"/>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 Co-Head of Investment Banking</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A.G.P./ALLIANCE GLOBAL PARTNERS</w:t>
      </w:r>
    </w:p>
    <w:p>
      <w:pPr>
        <w:spacing w:after="0" w:line="372" w:lineRule="exact"/>
        <w:rPr>
          <w:sz w:val="20"/>
          <w:szCs w:val="20"/>
          <w:color w:val="auto"/>
        </w:rPr>
      </w:pPr>
    </w:p>
    <w:p>
      <w:pPr>
        <w:ind w:left="4180"/>
        <w:spacing w:after="0"/>
        <w:tabs>
          <w:tab w:leader="none" w:pos="4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Thomas J.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10795</wp:posOffset>
            </wp:positionV>
            <wp:extent cx="33089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22"/>
          <w:szCs w:val="22"/>
          <w:color w:val="auto"/>
        </w:rPr>
        <w:t>Name: Thomas J. Higgins</w:t>
      </w:r>
    </w:p>
    <w:p>
      <w:pPr>
        <w:ind w:left="49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563880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14" w:name="page115"/>
    <w:bookmarkEnd w:id="114"/>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Placement Notice</w:t>
      </w: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2"/>
          <w:szCs w:val="22"/>
          <w:color w:val="auto"/>
        </w:rPr>
        <w:t>Rezolve AI plc</w:t>
      </w:r>
    </w:p>
    <w:p>
      <w:pPr>
        <w:spacing w:after="0" w:line="206" w:lineRule="exact"/>
        <w:rPr>
          <w:sz w:val="20"/>
          <w:szCs w:val="20"/>
          <w:color w:val="auto"/>
        </w:rPr>
      </w:pPr>
    </w:p>
    <w:p>
      <w:pPr>
        <w:ind w:left="2260" w:right="1080" w:hanging="1496"/>
        <w:spacing w:after="0" w:line="258" w:lineRule="auto"/>
        <w:rPr>
          <w:sz w:val="20"/>
          <w:szCs w:val="20"/>
          <w:color w:val="auto"/>
        </w:rPr>
      </w:pPr>
      <w:r>
        <w:rPr>
          <w:rFonts w:ascii="Times New Roman" w:cs="Times New Roman" w:eastAsia="Times New Roman" w:hAnsi="Times New Roman"/>
          <w:sz w:val="22"/>
          <w:szCs w:val="22"/>
          <w:color w:val="auto"/>
        </w:rPr>
        <w:t>To: [Cantor Fitzgerald &amp; Co.][Roth Capital Partners, LLC][Northland Securities, Inc.][Maxim Group LLC] [A.G.P./Alliance Global Partners]</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Subject:  Placement Notice</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1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5"/>
              </w:rPr>
              <w:t>[•], 20[•]</w:t>
            </w: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ind w:firstLine="749"/>
        <w:spacing w:after="0" w:line="226"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Controlled Equity Offering</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22"/>
          <w:szCs w:val="22"/>
          <w:color w:val="auto"/>
        </w:rPr>
        <w:t xml:space="preserve"> Sales Agreement by and among Rezolve AI plc, a limited company incorporated under the laws of England and Wales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Cantor Fitzgerald &amp; Co., Roth Capital Partners, LLC, Northland Securities, Inc., Maxim Group LLC and A.G.P./Alliance Global Partners (the “</w:t>
      </w:r>
      <w:r>
        <w:rPr>
          <w:rFonts w:ascii="Times New Roman" w:cs="Times New Roman" w:eastAsia="Times New Roman" w:hAnsi="Times New Roman"/>
          <w:sz w:val="22"/>
          <w:szCs w:val="22"/>
          <w:b w:val="1"/>
          <w:bCs w:val="1"/>
          <w:u w:val="single" w:color="auto"/>
          <w:color w:val="auto"/>
        </w:rPr>
        <w:t>Agents</w:t>
      </w:r>
      <w:r>
        <w:rPr>
          <w:rFonts w:ascii="Times New Roman" w:cs="Times New Roman" w:eastAsia="Times New Roman" w:hAnsi="Times New Roman"/>
          <w:sz w:val="22"/>
          <w:szCs w:val="22"/>
          <w:color w:val="auto"/>
        </w:rPr>
        <w:t>”), dated November 28, 2025, the Company hereby requests that [</w:t>
      </w:r>
      <w:r>
        <w:rPr>
          <w:rFonts w:ascii="Times New Roman" w:cs="Times New Roman" w:eastAsia="Times New Roman" w:hAnsi="Times New Roman"/>
          <w:sz w:val="22"/>
          <w:szCs w:val="22"/>
          <w:i w:val="1"/>
          <w:iCs w:val="1"/>
          <w:color w:val="auto"/>
        </w:rPr>
        <w:t>Identify Designated Agent</w:t>
      </w:r>
      <w:r>
        <w:rPr>
          <w:rFonts w:ascii="Times New Roman" w:cs="Times New Roman" w:eastAsia="Times New Roman" w:hAnsi="Times New Roman"/>
          <w:sz w:val="22"/>
          <w:szCs w:val="22"/>
          <w:color w:val="auto"/>
        </w:rPr>
        <w:t>] sell up to [•] of the Company’s ordinary shares, nominal value £0.0001 per share, at a minimum market price of $[•] per share, during the time period beginning [month, day, time] and ending [month, day,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Company shall pay to the Designated Agent in cash, upon each sale of Placement Shares pursuant to this Agreement, an amount equal to up to 3.0% of the aggregate gross proceeds from each sale of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6" w:name="page117"/>
    <w:bookmarkEnd w:id="116"/>
    <w:p>
      <w:pPr>
        <w:ind w:left="4940"/>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Notice Parties</w:t>
      </w: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Daniel Wagner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Arthur Yao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Cantor Fitzgerald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Sameer Vasudev</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copies to: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Roth Capital Partners,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Lou Ellis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Nazan Akdeniz</w:t>
      </w: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Northland Securities,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Peterson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Levine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Maxim Group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Bill Vitale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Sayegh</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A.G.P.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Alex Yelensky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17" w:name="page118"/>
    <w:bookmarkEnd w:id="117"/>
    <w:p>
      <w:pPr>
        <w:ind w:left="4940"/>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Subsidiaries</w:t>
      </w: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Incorporated by reference to Exhibit 8.1 of the Company’s most recently filed Form 20-F,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Representation Date Certificate Pursuant to Section 7(l)</w:t>
      </w:r>
    </w:p>
    <w:p>
      <w:pPr>
        <w:spacing w:after="0" w:line="210"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The undersigned, the duly qualified and elected [•], of Rezolve AI plc, a limited company incorporated under the laws of England and Wales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does hereby certify in such capacity and on behalf of the Company,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7(l)</w:t>
      </w:r>
      <w:r>
        <w:rPr>
          <w:rFonts w:ascii="Times New Roman" w:cs="Times New Roman" w:eastAsia="Times New Roman" w:hAnsi="Times New Roman"/>
          <w:sz w:val="22"/>
          <w:szCs w:val="22"/>
          <w:color w:val="auto"/>
        </w:rPr>
        <w:t xml:space="preserve"> of the Controlled Equity Offering</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22"/>
          <w:szCs w:val="22"/>
          <w:color w:val="auto"/>
        </w:rPr>
        <w:t xml:space="preserve"> Sales Agreement, dated November 28, 2025 (the “</w:t>
      </w:r>
      <w:r>
        <w:rPr>
          <w:rFonts w:ascii="Times New Roman" w:cs="Times New Roman" w:eastAsia="Times New Roman" w:hAnsi="Times New Roman"/>
          <w:sz w:val="22"/>
          <w:szCs w:val="22"/>
          <w:u w:val="single" w:color="auto"/>
          <w:color w:val="auto"/>
        </w:rPr>
        <w:t>Sales Agreement</w:t>
      </w:r>
      <w:r>
        <w:rPr>
          <w:rFonts w:ascii="Times New Roman" w:cs="Times New Roman" w:eastAsia="Times New Roman" w:hAnsi="Times New Roman"/>
          <w:sz w:val="22"/>
          <w:szCs w:val="22"/>
          <w:color w:val="auto"/>
        </w:rPr>
        <w:t>”), by and among the Company and Cantor Fitzgerald &amp; Co., Roth Capital Partners, LLC, Northland Securities, Inc., Maxim Group LLC and A.G.P./Alliance Global Partners that to the best of the knowledge of the undersigned:</w:t>
      </w:r>
    </w:p>
    <w:p>
      <w:pPr>
        <w:spacing w:after="0" w:line="177" w:lineRule="exact"/>
        <w:rPr>
          <w:sz w:val="20"/>
          <w:szCs w:val="20"/>
          <w:color w:val="auto"/>
        </w:rPr>
      </w:pPr>
    </w:p>
    <w:p>
      <w:pPr>
        <w:ind w:right="180" w:firstLine="517"/>
        <w:spacing w:after="0" w:line="238" w:lineRule="auto"/>
        <w:tabs>
          <w:tab w:leader="none" w:pos="76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representations and warranties also shall be qualified by the disclosure included or incorporated by reference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the Registration Statement and Prospectus; and</w:t>
      </w:r>
    </w:p>
    <w:p>
      <w:pPr>
        <w:spacing w:after="0" w:line="122" w:lineRule="exact"/>
        <w:rPr>
          <w:rFonts w:ascii="Times New Roman" w:cs="Times New Roman" w:eastAsia="Times New Roman" w:hAnsi="Times New Roman"/>
          <w:sz w:val="22"/>
          <w:szCs w:val="22"/>
          <w:color w:val="auto"/>
        </w:rPr>
      </w:pPr>
    </w:p>
    <w:p>
      <w:pPr>
        <w:ind w:right="500" w:firstLine="517"/>
        <w:spacing w:after="0" w:line="258" w:lineRule="auto"/>
        <w:tabs>
          <w:tab w:leader="none" w:pos="82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Capitalized terms used herein without definition shall have the meanings given to such terms in the Sales Agreement.</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REZOLVE AI PLC</w:t>
      </w: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9" w:name="page120"/>
    <w:bookmarkEnd w:id="119"/>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21</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Permitted Free Writing Prospectus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1472565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9" w:right="1440" w:bottom="1440" w:gutter="0" w:footer="0" w:header="0"/>
        </w:sectPr>
      </w:pPr>
    </w:p>
    <w:bookmarkStart w:id="120" w:name="page121"/>
    <w:bookmarkEnd w:id="120"/>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this Registration Statement on Form F-3 of our report dated April 23, 2025, except for Note 17, as to which the date is September 9, 2025, with respects to our audits of the consolidated financial statements of Rezolve AI plc, as of and for the years ended December 31, 2024 and 2023. We also consent to the reference to our firm under the heading “Experts” appearing therein.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November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We consent to the incorporation by reference in this Registration Statement on form F-3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Chartered Professional Accountants Licensed Public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Accountants Toronto, Canada</w:t>
      </w:r>
    </w:p>
    <w:p>
      <w:pPr>
        <w:ind w:left="20"/>
        <w:spacing w:after="0"/>
        <w:rPr>
          <w:sz w:val="20"/>
          <w:szCs w:val="20"/>
          <w:color w:val="auto"/>
        </w:rPr>
      </w:pPr>
      <w:r>
        <w:rPr>
          <w:rFonts w:ascii="Arial" w:cs="Arial" w:eastAsia="Arial" w:hAnsi="Arial"/>
          <w:sz w:val="18"/>
          <w:szCs w:val="18"/>
          <w:color w:val="auto"/>
        </w:rPr>
        <w:t>November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216535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22" w:name="page123"/>
    <w:bookmarkEnd w:id="122"/>
    <w:p>
      <w:pPr>
        <w:ind w:left="10260"/>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Table 1: Newly Registered Securities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980" w:type="dxa"/>
            <w:vAlign w:val="bottom"/>
            <w:tcBorders>
              <w:left w:val="single" w:sz="8" w:color="auto"/>
              <w:right w:val="single" w:sz="8" w:color="auto"/>
            </w:tcBorders>
          </w:tcPr>
          <w:p>
            <w:pPr>
              <w:spacing w:after="0"/>
              <w:rPr>
                <w:sz w:val="24"/>
                <w:szCs w:val="24"/>
                <w:color w:val="auto"/>
              </w:rPr>
            </w:pPr>
          </w:p>
        </w:tc>
        <w:tc>
          <w:tcPr>
            <w:tcW w:w="1480" w:type="dxa"/>
            <w:vAlign w:val="bottom"/>
            <w:vMerge w:val="restart"/>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w:t>
            </w:r>
          </w:p>
        </w:tc>
        <w:tc>
          <w:tcPr>
            <w:tcW w:w="1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30"/>
        </w:trPr>
        <w:tc>
          <w:tcPr>
            <w:tcW w:w="980" w:type="dxa"/>
            <w:vAlign w:val="bottom"/>
            <w:tcBorders>
              <w:left w:val="single" w:sz="8" w:color="auto"/>
              <w:right w:val="single" w:sz="8" w:color="auto"/>
            </w:tcBorders>
          </w:tcPr>
          <w:p>
            <w:pPr>
              <w:spacing w:after="0"/>
              <w:rPr>
                <w:sz w:val="11"/>
                <w:szCs w:val="11"/>
                <w:color w:val="auto"/>
              </w:rPr>
            </w:pPr>
          </w:p>
        </w:tc>
        <w:tc>
          <w:tcPr>
            <w:tcW w:w="148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Instruction</w:t>
            </w:r>
          </w:p>
        </w:tc>
        <w:tc>
          <w:tcPr>
            <w:tcW w:w="104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gridSpan w:val="2"/>
            <w:vMerge w:val="continue"/>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gridSpan w:val="2"/>
            <w:vMerge w:val="continue"/>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14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Equity</w:t>
            </w:r>
          </w:p>
        </w:tc>
        <w:tc>
          <w:tcPr>
            <w:tcW w:w="24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Ordinary Shares</w:t>
            </w:r>
          </w:p>
        </w:tc>
        <w:tc>
          <w:tcPr>
            <w:tcW w:w="260" w:type="dxa"/>
            <w:vAlign w:val="bottom"/>
          </w:tcPr>
          <w:p>
            <w:pPr>
              <w:spacing w:after="0"/>
              <w:rPr>
                <w:sz w:val="21"/>
                <w:szCs w:val="21"/>
                <w:color w:val="auto"/>
              </w:rPr>
            </w:pPr>
          </w:p>
        </w:tc>
        <w:tc>
          <w:tcPr>
            <w:tcW w:w="8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457(c)</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200,000,000</w:t>
            </w:r>
          </w:p>
        </w:tc>
        <w:tc>
          <w:tcPr>
            <w:tcW w:w="1120" w:type="dxa"/>
            <w:vAlign w:val="bottom"/>
            <w:tcBorders>
              <w:right w:val="single" w:sz="8" w:color="auto"/>
            </w:tcBorders>
            <w:gridSpan w:val="2"/>
          </w:tcPr>
          <w:p>
            <w:pPr>
              <w:jc w:val="center"/>
              <w:ind w:right="260"/>
              <w:spacing w:after="0" w:line="250" w:lineRule="exact"/>
              <w:rPr>
                <w:sz w:val="20"/>
                <w:szCs w:val="20"/>
                <w:color w:val="auto"/>
              </w:rPr>
            </w:pPr>
            <w:r>
              <w:rPr>
                <w:rFonts w:ascii="Times New Roman" w:cs="Times New Roman" w:eastAsia="Times New Roman" w:hAnsi="Times New Roman"/>
                <w:sz w:val="18"/>
                <w:szCs w:val="18"/>
                <w:color w:val="auto"/>
              </w:rPr>
              <w:t>$2.995</w:t>
            </w:r>
            <w:r>
              <w:rPr>
                <w:rFonts w:ascii="Times New Roman" w:cs="Times New Roman" w:eastAsia="Times New Roman" w:hAnsi="Times New Roman"/>
                <w:sz w:val="24"/>
                <w:szCs w:val="24"/>
                <w:color w:val="auto"/>
                <w:vertAlign w:val="superscript"/>
              </w:rPr>
              <w:t>(1)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$599,000,000.0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$82,721.90</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Paid</w:t>
            </w: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0</w:t>
            </w:r>
          </w:p>
        </w:tc>
        <w:tc>
          <w:tcPr>
            <w:tcW w:w="9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1480" w:type="dxa"/>
            <w:vAlign w:val="bottom"/>
            <w:vMerge w:val="restart"/>
          </w:tcPr>
          <w:p>
            <w:pPr>
              <w:jc w:val="center"/>
              <w:ind w:left="9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gridSpan w:val="2"/>
            <w:vMerge w:val="restart"/>
          </w:tcPr>
          <w:p>
            <w:pPr>
              <w:jc w:val="right"/>
              <w:ind w:right="47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07"/>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148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80" w:type="dxa"/>
            <w:vAlign w:val="bottom"/>
            <w:tcBorders>
              <w:left w:val="single" w:sz="8" w:color="auto"/>
              <w:right w:val="single" w:sz="8" w:color="auto"/>
            </w:tcBorders>
          </w:tcPr>
          <w:p>
            <w:pPr>
              <w:spacing w:after="0"/>
              <w:rPr>
                <w:sz w:val="22"/>
                <w:szCs w:val="22"/>
                <w:color w:val="auto"/>
              </w:rPr>
            </w:pPr>
          </w:p>
        </w:tc>
        <w:tc>
          <w:tcPr>
            <w:tcW w:w="1480" w:type="dxa"/>
            <w:vAlign w:val="bottom"/>
          </w:tcPr>
          <w:p>
            <w:pPr>
              <w:spacing w:after="0"/>
              <w:rPr>
                <w:sz w:val="22"/>
                <w:szCs w:val="22"/>
                <w:color w:val="auto"/>
              </w:rPr>
            </w:pPr>
          </w:p>
        </w:tc>
        <w:tc>
          <w:tcPr>
            <w:tcW w:w="2680" w:type="dxa"/>
            <w:vAlign w:val="bottom"/>
            <w:gridSpan w:val="4"/>
          </w:tcPr>
          <w:p>
            <w:pPr>
              <w:jc w:val="center"/>
              <w:ind w:right="430"/>
              <w:spacing w:after="0"/>
              <w:rPr>
                <w:sz w:val="20"/>
                <w:szCs w:val="20"/>
                <w:color w:val="auto"/>
              </w:rPr>
            </w:pPr>
            <w:r>
              <w:rPr>
                <w:rFonts w:ascii="Times New Roman" w:cs="Times New Roman" w:eastAsia="Times New Roman" w:hAnsi="Times New Roman"/>
                <w:sz w:val="18"/>
                <w:szCs w:val="18"/>
                <w:color w:val="auto"/>
              </w:rPr>
              <w:t>Total Offering Amounts</w:t>
            </w:r>
          </w:p>
        </w:tc>
        <w:tc>
          <w:tcPr>
            <w:tcW w:w="104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$599,000,000.0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$82,721.90</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0</w:t>
            </w:r>
          </w:p>
        </w:tc>
        <w:tc>
          <w:tcPr>
            <w:tcW w:w="9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41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67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rPr>
              <w:t>Net Fee Due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$82,721.90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80" w:right="40" w:hanging="372"/>
        <w:spacing w:after="0" w:line="247" w:lineRule="auto"/>
        <w:tabs>
          <w:tab w:leader="none" w:pos="3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Pursuant to Rule 416(a) under the Securities Act of 1933, as amended (the “Securities Act”), Rezolve AI plc (the “Company”) is also registering an indeterminable number of additional securities as may be issued to prevent dilution resulting from stock splits, stock dividends or similar transactions.</w:t>
      </w:r>
    </w:p>
    <w:p>
      <w:pPr>
        <w:ind w:left="380" w:right="20" w:hanging="372"/>
        <w:spacing w:after="0" w:line="249" w:lineRule="auto"/>
        <w:tabs>
          <w:tab w:leader="none" w:pos="42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Estimated solely for the purpose of the calculation of the registration fee pursuant to Rule 457(c) under the Securities Act, based on the average of the high and the low prices as reported on the Nasdaq Stock Market LLC on November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1"/>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lowerRoman"/>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2"/>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lowerRoman"/>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1)"/>
      <w:numFmt w:val="lowerLetter"/>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1."/>
      <w:numFmt w:val="decimal"/>
      <w:start w:val="2"/>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3"/>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decimal"/>
      <w:start w:val="3"/>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1)"/>
      <w:numFmt w:val="lowerLetter"/>
      <w:start w:val="6"/>
    </w:lvl>
    <w:lvl w:ilvl="1">
      <w:lvlJc w:val="left"/>
      <w:lvlText w:val="(%2)"/>
      <w:numFmt w:val="lowerLetter"/>
      <w:start w:val="9"/>
    </w:lvl>
  </w:abstractNum>
  <w:abstractNum w:abstractNumId="49">
    <w:nsid w:val="11447B73"/>
    <w:multiLevelType w:val="hybridMultilevel"/>
    <w:lvl w:ilvl="0">
      <w:lvlJc w:val="left"/>
      <w:lvlText w:val="(%1)"/>
      <w:numFmt w:val="lowerLetter"/>
      <w:start w:val="15"/>
    </w:lvl>
    <w:lvl w:ilvl="1">
      <w:lvlJc w:val="left"/>
      <w:lvlText w:val="(%2)"/>
      <w:numFmt w:val="lowerRoman"/>
      <w:start w:val="3"/>
    </w:lvl>
    <w:lvl w:ilvl="2">
      <w:lvlJc w:val="left"/>
      <w:lvlText w:val="(%3)"/>
      <w:numFmt w:val="lowerRoman"/>
      <w:start w:val="1"/>
    </w:lvl>
  </w:abstractNum>
  <w:abstractNum w:abstractNumId="50">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6"/>
    </w:lvl>
  </w:abstractNum>
  <w:abstractNum w:abstractNumId="51">
    <w:nsid w:val="A0382C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lvl w:ilvl="3">
      <w:lvlJc w:val="left"/>
      <w:lvlText w:val="%4"/>
      <w:numFmt w:val="lowerRoman"/>
      <w:start w:val="1"/>
    </w:lvl>
  </w:abstractNum>
  <w:abstractNum w:abstractNumId="52">
    <w:nsid w:val="8F2B15E"/>
    <w:multiLevelType w:val="hybridMultilevel"/>
    <w:lvl w:ilvl="0">
      <w:lvlJc w:val="left"/>
      <w:lvlText w:val="(%1)"/>
      <w:numFmt w:val="lowerLetter"/>
      <w:start w:val="22"/>
    </w:lvl>
    <w:lvl w:ilvl="1">
      <w:lvlJc w:val="left"/>
      <w:lvlText w:val="(%2)"/>
      <w:numFmt w:val="lowerLetter"/>
      <w:start w:val="24"/>
    </w:lvl>
    <w:lvl w:ilvl="2">
      <w:lvlJc w:val="left"/>
      <w:lvlText w:val="%3"/>
      <w:numFmt w:val="lowerRoman"/>
      <w:start w:val="1"/>
    </w:lvl>
    <w:lvl w:ilvl="3">
      <w:lvlJc w:val="left"/>
      <w:lvlText w:val="%4"/>
      <w:numFmt w:val="lowerRoman"/>
      <w:start w:val="1"/>
    </w:lvl>
  </w:abstractNum>
  <w:abstractNum w:abstractNumId="53">
    <w:nsid w:val="1A32234B"/>
    <w:multiLevelType w:val="hybridMultilevel"/>
    <w:lvl w:ilvl="0">
      <w:lvlJc w:val="left"/>
      <w:lvlText w:val="(%1)"/>
      <w:numFmt w:val="lowerLetter"/>
      <w:start w:val="27"/>
    </w:lvl>
  </w:abstractNum>
  <w:abstractNum w:abstractNumId="54">
    <w:nsid w:val="3B0FD379"/>
    <w:multiLevelType w:val="hybridMultilevel"/>
    <w:lvl w:ilvl="0">
      <w:lvlJc w:val="left"/>
      <w:lvlText w:val="%1"/>
      <w:numFmt w:val="decimal"/>
      <w:start w:val="1"/>
    </w:lvl>
    <w:lvl w:ilvl="1">
      <w:lvlJc w:val="left"/>
      <w:lvlText w:val="(%2)"/>
      <w:numFmt w:val="lowerLetter"/>
      <w:start w:val="30"/>
    </w:lvl>
  </w:abstractNum>
  <w:abstractNum w:abstractNumId="55">
    <w:nsid w:val="68EB2F63"/>
    <w:multiLevelType w:val="hybridMultilevel"/>
    <w:lvl w:ilvl="0">
      <w:lvlJc w:val="left"/>
      <w:lvlText w:val="%1."/>
      <w:numFmt w:val="decimal"/>
      <w:start w:val="4"/>
    </w:lvl>
    <w:lvl w:ilvl="1">
      <w:lvlJc w:val="left"/>
      <w:lvlText w:val="%2"/>
      <w:numFmt w:val="lowerLetter"/>
      <w:start w:val="1"/>
    </w:lvl>
  </w:abstractNum>
  <w:abstractNum w:abstractNumId="56">
    <w:nsid w:val="4962813B"/>
    <w:multiLevelType w:val="hybridMultilevel"/>
    <w:lvl w:ilvl="0">
      <w:lvlJc w:val="left"/>
      <w:lvlText w:val="%1."/>
      <w:numFmt w:val="decimal"/>
      <w:start w:val="6"/>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1"/>
      <w:numFmt w:val="lowerRoman"/>
      <w:start w:val="1"/>
    </w:lvl>
    <w:lvl w:ilvl="1">
      <w:lvlJc w:val="left"/>
      <w:lvlText w:val="%2."/>
      <w:numFmt w:val="decimal"/>
      <w:start w:val="2"/>
    </w:lvl>
  </w:abstractNum>
  <w:abstractNum w:abstractNumId="59">
    <w:nsid w:val="14330624"/>
    <w:multiLevelType w:val="hybridMultilevel"/>
    <w:lvl w:ilvl="0">
      <w:lvlJc w:val="left"/>
      <w:lvlText w:val="(%1)"/>
      <w:numFmt w:val="lowerRoman"/>
      <w:start w:val="3"/>
    </w:lvl>
    <w:lvl w:ilvl="1">
      <w:lvlJc w:val="left"/>
      <w:lvlText w:val="%2."/>
      <w:numFmt w:val="decimal"/>
      <w:start w:val="3"/>
    </w:lvl>
  </w:abstractNum>
  <w:abstractNum w:abstractNumId="60">
    <w:nsid w:val="7FFFCA11"/>
    <w:multiLevelType w:val="hybridMultilevel"/>
    <w:lvl w:ilvl="0">
      <w:lvlJc w:val="left"/>
      <w:lvlText w:val="%1."/>
      <w:numFmt w:val="decimal"/>
      <w:start w:val="4"/>
    </w:lvl>
    <w:lvl w:ilvl="1">
      <w:lvlJc w:val="left"/>
      <w:lvlText w:val="(%2)"/>
      <w:numFmt w:val="lowerLetter"/>
      <w:start w:val="1"/>
    </w:lvl>
  </w:abstractNum>
  <w:abstractNum w:abstractNumId="61">
    <w:nsid w:val="1A27709E"/>
    <w:multiLevelType w:val="hybridMultilevel"/>
    <w:lvl w:ilvl="0">
      <w:lvlJc w:val="left"/>
      <w:lvlText w:val="(%1)"/>
      <w:numFmt w:val="lowerLetter"/>
      <w:start w:val="3"/>
    </w:lvl>
  </w:abstractNum>
  <w:abstractNum w:abstractNumId="62">
    <w:nsid w:val="71EA1109"/>
    <w:multiLevelType w:val="hybridMultilevel"/>
    <w:lvl w:ilvl="0">
      <w:lvlJc w:val="left"/>
      <w:lvlText w:val="%1."/>
      <w:numFmt w:val="decimal"/>
      <w:start w:val="6"/>
    </w:lvl>
    <w:lvl w:ilvl="1">
      <w:lvlJc w:val="left"/>
      <w:lvlText w:val="(%2)"/>
      <w:numFmt w:val="lowerLetter"/>
      <w:start w:val="1"/>
    </w:lvl>
  </w:abstractNum>
  <w:abstractNum w:abstractNumId="63">
    <w:nsid w:val="100F59DC"/>
    <w:multiLevelType w:val="hybridMultilevel"/>
    <w:lvl w:ilvl="0">
      <w:lvlJc w:val="left"/>
      <w:lvlText w:val="(%1)"/>
      <w:numFmt w:val="lowerLetter"/>
      <w:start w:val="3"/>
    </w:lvl>
  </w:abstractNum>
  <w:abstractNum w:abstractNumId="64">
    <w:nsid w:val="7FB7E0AA"/>
    <w:multiLevelType w:val="hybridMultilevel"/>
    <w:lvl w:ilvl="0">
      <w:lvlJc w:val="left"/>
      <w:lvlText w:val="(%1)"/>
      <w:numFmt w:val="lowerLetter"/>
      <w:start w:val="5"/>
    </w:lvl>
  </w:abstractNum>
  <w:abstractNum w:abstractNumId="65">
    <w:nsid w:val="6EB5BD4"/>
    <w:multiLevelType w:val="hybridMultilevel"/>
    <w:lvl w:ilvl="0">
      <w:lvlJc w:val="left"/>
      <w:lvlText w:val="(%1)"/>
      <w:numFmt w:val="lowerLetter"/>
      <w:start w:val="10"/>
    </w:lvl>
  </w:abstractNum>
  <w:abstractNum w:abstractNumId="66">
    <w:nsid w:val="6F6DD9AC"/>
    <w:multiLevelType w:val="hybridMultilevel"/>
    <w:lvl w:ilvl="0">
      <w:lvlJc w:val="left"/>
      <w:lvlText w:val="(%1)"/>
      <w:numFmt w:val="lowerLetter"/>
      <w:start w:val="13"/>
    </w:lvl>
  </w:abstractNum>
  <w:abstractNum w:abstractNumId="67">
    <w:nsid w:val="94211F2"/>
    <w:multiLevelType w:val="hybridMultilevel"/>
    <w:lvl w:ilvl="0">
      <w:lvlJc w:val="left"/>
      <w:lvlText w:val="(%1)"/>
      <w:numFmt w:val="lowerLetter"/>
      <w:start w:val="9"/>
    </w:lvl>
    <w:lvl w:ilvl="1">
      <w:lvlJc w:val="left"/>
      <w:lvlText w:val="(%2)"/>
      <w:numFmt w:val="lowerLetter"/>
      <w:start w:val="18"/>
    </w:lvl>
  </w:abstractNum>
  <w:abstractNum w:abstractNumId="68">
    <w:nsid w:val="885E1B"/>
    <w:multiLevelType w:val="hybridMultilevel"/>
    <w:lvl w:ilvl="0">
      <w:lvlJc w:val="left"/>
      <w:lvlText w:val="(%1)"/>
      <w:numFmt w:val="lowerLetter"/>
      <w:start w:val="22"/>
    </w:lvl>
  </w:abstractNum>
  <w:abstractNum w:abstractNumId="69">
    <w:nsid w:val="76272110"/>
    <w:multiLevelType w:val="hybridMultilevel"/>
    <w:lvl w:ilvl="0">
      <w:lvlJc w:val="left"/>
      <w:lvlText w:val="(%1)"/>
      <w:numFmt w:val="lowerLetter"/>
      <w:start w:val="27"/>
    </w:lvl>
  </w:abstractNum>
  <w:abstractNum w:abstractNumId="70">
    <w:nsid w:val="4C04A8AF"/>
    <w:multiLevelType w:val="hybridMultilevel"/>
    <w:lvl w:ilvl="0">
      <w:lvlJc w:val="left"/>
      <w:lvlText w:val="(%1)"/>
      <w:numFmt w:val="lowerLetter"/>
      <w:start w:val="29"/>
    </w:lvl>
  </w:abstractNum>
  <w:abstractNum w:abstractNumId="71">
    <w:nsid w:val="1716703B"/>
    <w:multiLevelType w:val="hybridMultilevel"/>
    <w:lvl w:ilvl="0">
      <w:lvlJc w:val="left"/>
      <w:lvlText w:val="(%1)"/>
      <w:numFmt w:val="lowerLetter"/>
      <w:start w:val="32"/>
    </w:lvl>
  </w:abstractNum>
  <w:abstractNum w:abstractNumId="72">
    <w:nsid w:val="14E17E33"/>
    <w:multiLevelType w:val="hybridMultilevel"/>
    <w:lvl w:ilvl="0">
      <w:lvlJc w:val="left"/>
      <w:lvlText w:val="(%1)"/>
      <w:numFmt w:val="lowerLetter"/>
      <w:start w:val="36"/>
    </w:lvl>
  </w:abstractNum>
  <w:abstractNum w:abstractNumId="73">
    <w:nsid w:val="3222E7CD"/>
    <w:multiLevelType w:val="hybridMultilevel"/>
    <w:lvl w:ilvl="0">
      <w:lvlJc w:val="left"/>
      <w:lvlText w:val="%1"/>
      <w:numFmt w:val="lowerRoman"/>
      <w:start w:val="1"/>
    </w:lvl>
    <w:lvl w:ilvl="1">
      <w:lvlJc w:val="left"/>
      <w:lvlText w:val="(%2)"/>
      <w:numFmt w:val="lowerLetter"/>
      <w:start w:val="41"/>
    </w:lvl>
  </w:abstractNum>
  <w:abstractNum w:abstractNumId="74">
    <w:nsid w:val="74DE0EE3"/>
    <w:multiLevelType w:val="hybridMultilevel"/>
    <w:lvl w:ilvl="0">
      <w:lvlJc w:val="left"/>
      <w:lvlText w:val="(%1)"/>
      <w:numFmt w:val="lowerRoman"/>
      <w:start w:val="6"/>
    </w:lvl>
    <w:lvl w:ilvl="1">
      <w:lvlJc w:val="left"/>
      <w:lvlText w:val="%2"/>
      <w:numFmt w:val="lowerLetter"/>
      <w:start w:val="1"/>
    </w:lvl>
  </w:abstractNum>
  <w:abstractNum w:abstractNumId="75">
    <w:nsid w:val="68EBC550"/>
    <w:multiLevelType w:val="hybridMultilevel"/>
    <w:lvl w:ilvl="0">
      <w:lvlJc w:val="left"/>
      <w:lvlText w:val="(%1)"/>
      <w:numFmt w:val="lowerLetter"/>
      <w:start w:val="45"/>
    </w:lvl>
    <w:lvl w:ilvl="1">
      <w:lvlJc w:val="left"/>
      <w:lvlText w:val="(%2)"/>
      <w:numFmt w:val="upperLetter"/>
      <w:start w:val="1"/>
    </w:lvl>
  </w:abstractNum>
  <w:abstractNum w:abstractNumId="76">
    <w:nsid w:val="2DF6D648"/>
    <w:multiLevelType w:val="hybridMultilevel"/>
    <w:lvl w:ilvl="0">
      <w:lvlJc w:val="left"/>
      <w:lvlText w:val="(%1)"/>
      <w:numFmt w:val="lowerRoman"/>
      <w:start w:val="2"/>
    </w:lvl>
    <w:lvl w:ilvl="1">
      <w:lvlJc w:val="left"/>
      <w:lvlText w:val="(%2)"/>
      <w:numFmt w:val="lowerLetter"/>
      <w:start w:val="49"/>
    </w:lvl>
    <w:lvl w:ilvl="2">
      <w:lvlJc w:val="left"/>
      <w:lvlText w:val="(%3)"/>
      <w:numFmt w:val="upperLetter"/>
      <w:start w:val="1"/>
    </w:lvl>
  </w:abstractNum>
  <w:abstractNum w:abstractNumId="77">
    <w:nsid w:val="46B7D447"/>
    <w:multiLevelType w:val="hybridMultilevel"/>
    <w:lvl w:ilvl="0">
      <w:lvlJc w:val="left"/>
      <w:lvlText w:val="(%1)"/>
      <w:numFmt w:val="lowerLetter"/>
      <w:start w:val="53"/>
    </w:lvl>
  </w:abstractNum>
  <w:abstractNum w:abstractNumId="78">
    <w:nsid w:val="4A2AC315"/>
    <w:multiLevelType w:val="hybridMultilevel"/>
    <w:lvl w:ilvl="0">
      <w:lvlJc w:val="left"/>
      <w:lvlText w:val="(%1)"/>
      <w:numFmt w:val="lowerLetter"/>
      <w:start w:val="56"/>
    </w:lvl>
  </w:abstractNum>
  <w:abstractNum w:abstractNumId="79">
    <w:nsid w:val="39EE015C"/>
    <w:multiLevelType w:val="hybridMultilevel"/>
    <w:lvl w:ilvl="0">
      <w:lvlJc w:val="left"/>
      <w:lvlText w:val="%1."/>
      <w:numFmt w:val="decimal"/>
      <w:start w:val="7"/>
    </w:lvl>
    <w:lvl w:ilvl="1">
      <w:lvlJc w:val="left"/>
      <w:lvlText w:val="(%2)"/>
      <w:numFmt w:val="lowerLetter"/>
      <w:start w:val="1"/>
    </w:lvl>
  </w:abstractNum>
  <w:abstractNum w:abstractNumId="80">
    <w:nsid w:val="57FC4FBB"/>
    <w:multiLevelType w:val="hybridMultilevel"/>
    <w:lvl w:ilvl="0">
      <w:lvlJc w:val="left"/>
      <w:lvlText w:val="(%1)"/>
      <w:numFmt w:val="lowerLetter"/>
      <w:start w:val="2"/>
    </w:lvl>
  </w:abstractNum>
  <w:abstractNum w:abstractNumId="81">
    <w:nsid w:val="CC1016F"/>
    <w:multiLevelType w:val="hybridMultilevel"/>
    <w:lvl w:ilvl="0">
      <w:lvlJc w:val="left"/>
      <w:lvlText w:val="(%1)"/>
      <w:numFmt w:val="lowerLetter"/>
      <w:start w:val="4"/>
    </w:lvl>
  </w:abstractNum>
  <w:abstractNum w:abstractNumId="82">
    <w:nsid w:val="43F18422"/>
    <w:multiLevelType w:val="hybridMultilevel"/>
    <w:lvl w:ilvl="0">
      <w:lvlJc w:val="left"/>
      <w:lvlText w:val="%1"/>
      <w:numFmt w:val="lowerLetter"/>
      <w:start w:val="1"/>
    </w:lvl>
    <w:lvl w:ilvl="1">
      <w:lvlJc w:val="left"/>
      <w:lvlText w:val="(%2)"/>
      <w:numFmt w:val="lowerLetter"/>
      <w:start w:val="9"/>
    </w:lvl>
  </w:abstractNum>
  <w:abstractNum w:abstractNumId="83">
    <w:nsid w:val="60EF0119"/>
    <w:multiLevelType w:val="hybridMultilevel"/>
    <w:lvl w:ilvl="0">
      <w:lvlJc w:val="left"/>
      <w:lvlText w:val="(%1)"/>
      <w:numFmt w:val="lowerLetter"/>
      <w:start w:val="9"/>
    </w:lvl>
    <w:lvl w:ilvl="1">
      <w:lvlJc w:val="left"/>
      <w:lvlText w:val="%2"/>
      <w:numFmt w:val="lowerLetter"/>
      <w:start w:val="1"/>
    </w:lvl>
  </w:abstractNum>
  <w:abstractNum w:abstractNumId="84">
    <w:nsid w:val="26F324BA"/>
    <w:multiLevelType w:val="hybridMultilevel"/>
    <w:lvl w:ilvl="0">
      <w:lvlJc w:val="left"/>
      <w:lvlText w:val="(%1)"/>
      <w:numFmt w:val="lowerRoman"/>
      <w:start w:val="2"/>
    </w:lvl>
  </w:abstractNum>
  <w:abstractNum w:abstractNumId="85">
    <w:nsid w:val="7F01579B"/>
    <w:multiLevelType w:val="hybridMultilevel"/>
    <w:lvl w:ilvl="0">
      <w:lvlJc w:val="left"/>
      <w:lvlText w:val="(%1)"/>
      <w:numFmt w:val="lowerLetter"/>
      <w:start w:val="13"/>
    </w:lvl>
  </w:abstractNum>
  <w:abstractNum w:abstractNumId="86">
    <w:nsid w:val="49DA307D"/>
    <w:multiLevelType w:val="hybridMultilevel"/>
    <w:lvl w:ilvl="0">
      <w:lvlJc w:val="left"/>
      <w:lvlText w:val="(%1)"/>
      <w:numFmt w:val="lowerLetter"/>
      <w:start w:val="14"/>
    </w:lvl>
  </w:abstractNum>
  <w:abstractNum w:abstractNumId="87">
    <w:nsid w:val="7055A5F5"/>
    <w:multiLevelType w:val="hybridMultilevel"/>
    <w:lvl w:ilvl="0">
      <w:lvlJc w:val="left"/>
      <w:lvlText w:val="(%1)"/>
      <w:numFmt w:val="lowerLetter"/>
      <w:start w:val="19"/>
    </w:lvl>
  </w:abstractNum>
  <w:abstractNum w:abstractNumId="88">
    <w:nsid w:val="5FB8370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9">
    <w:nsid w:val="50801EE1"/>
    <w:multiLevelType w:val="hybridMultilevel"/>
    <w:lvl w:ilvl="0">
      <w:lvlJc w:val="left"/>
      <w:lvlText w:val="(%1)"/>
      <w:numFmt w:val="lowerLetter"/>
      <w:start w:val="22"/>
    </w:lvl>
    <w:lvl w:ilvl="1">
      <w:lvlJc w:val="left"/>
      <w:lvlText w:val="%2."/>
      <w:numFmt w:val="decimal"/>
      <w:start w:val="9"/>
    </w:lvl>
    <w:lvl w:ilvl="2">
      <w:lvlJc w:val="left"/>
      <w:lvlText w:val="(%3)"/>
      <w:numFmt w:val="lowerLetter"/>
      <w:start w:val="1"/>
    </w:lvl>
  </w:abstractNum>
  <w:abstractNum w:abstractNumId="90">
    <w:nsid w:val="488AC1A"/>
    <w:multiLevelType w:val="hybridMultilevel"/>
    <w:lvl w:ilvl="0">
      <w:lvlJc w:val="left"/>
      <w:lvlText w:val="(%1)"/>
      <w:numFmt w:val="lowerLetter"/>
      <w:start w:val="3"/>
    </w:lvl>
  </w:abstractNum>
  <w:abstractNum w:abstractNumId="91">
    <w:nsid w:val="5FB8011C"/>
    <w:multiLevelType w:val="hybridMultilevel"/>
    <w:lvl w:ilvl="0">
      <w:lvlJc w:val="left"/>
      <w:lvlText w:val="(%1)"/>
      <w:numFmt w:val="lowerLetter"/>
      <w:start w:val="8"/>
    </w:lvl>
  </w:abstractNum>
  <w:abstractNum w:abstractNumId="92">
    <w:nsid w:val="6AA78F7F"/>
    <w:multiLevelType w:val="hybridMultilevel"/>
    <w:lvl w:ilvl="0">
      <w:lvlJc w:val="left"/>
      <w:lvlText w:val="(%1)"/>
      <w:numFmt w:val="lowerLetter"/>
      <w:start w:val="1"/>
    </w:lvl>
    <w:lvl w:ilvl="1">
      <w:lvlJc w:val="left"/>
      <w:lvlText w:val="(%2)"/>
      <w:numFmt w:val="lowerLetter"/>
      <w:start w:val="9"/>
    </w:lvl>
  </w:abstractNum>
  <w:abstractNum w:abstractNumId="93">
    <w:nsid w:val="7672BD23"/>
    <w:multiLevelType w:val="hybridMultilevel"/>
    <w:lvl w:ilvl="0">
      <w:lvlJc w:val="left"/>
      <w:lvlText w:val="(%1)"/>
      <w:numFmt w:val="lowerRoman"/>
      <w:start w:val="2"/>
    </w:lvl>
  </w:abstractNum>
  <w:abstractNum w:abstractNumId="94">
    <w:nsid w:val="6FC75AF8"/>
    <w:multiLevelType w:val="hybridMultilevel"/>
    <w:lvl w:ilvl="0">
      <w:lvlJc w:val="left"/>
      <w:lvlText w:val="(%1)"/>
      <w:numFmt w:val="lowerLetter"/>
      <w:start w:val="2"/>
    </w:lvl>
  </w:abstractNum>
  <w:abstractNum w:abstractNumId="95">
    <w:nsid w:val="6A5F7029"/>
    <w:multiLevelType w:val="hybridMultilevel"/>
    <w:lvl w:ilvl="0">
      <w:lvlJc w:val="left"/>
      <w:lvlText w:val="(%1)"/>
      <w:numFmt w:val="decimal"/>
      <w:start w:val="2"/>
    </w:lvl>
    <w:lvl w:ilvl="1">
      <w:lvlJc w:val="left"/>
      <w:lvlText w:val="(%2)"/>
      <w:numFmt w:val="lowerLetter"/>
      <w:start w:val="4"/>
    </w:lvl>
  </w:abstractNum>
  <w:abstractNum w:abstractNumId="96">
    <w:nsid w:val="7D5E18F8"/>
    <w:multiLevelType w:val="hybridMultilevel"/>
    <w:lvl w:ilvl="0">
      <w:lvlJc w:val="left"/>
      <w:lvlText w:val="(%1)"/>
      <w:numFmt w:val="lowerLetter"/>
      <w:start w:val="5"/>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1"/>
    </w:lvl>
    <w:lvl w:ilvl="1">
      <w:lvlJc w:val="left"/>
      <w:lvlText w:val="(%2)"/>
      <w:numFmt w:val="lowerLetter"/>
      <w:start w:val="3"/>
    </w:lvl>
  </w:abstractNum>
  <w:abstractNum w:abstractNumId="99">
    <w:nsid w:val="7DE67713"/>
    <w:multiLevelType w:val="hybridMultilevel"/>
    <w:lvl w:ilvl="0">
      <w:lvlJc w:val="left"/>
      <w:lvlText w:val="(%1)"/>
      <w:numFmt w:val="lowerLetter"/>
      <w:start w:val="3"/>
    </w:lvl>
    <w:lvl w:ilvl="1">
      <w:lvlJc w:val="left"/>
      <w:lvlText w:val="(%2)"/>
      <w:numFmt w:val="lowerLetter"/>
      <w:start w:val="5"/>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lowerLetter"/>
      <w:start w:val="2"/>
    </w:lvl>
  </w:abstractNum>
  <w:abstractNum w:abstractNumId="102">
    <w:nsid w:val="14FCE74E"/>
    <w:multiLevelType w:val="hybridMultilevel"/>
    <w:lvl w:ilvl="0">
      <w:lvlJc w:val="left"/>
      <w:lvlText w:val="(%1)"/>
      <w:numFmt w:val="lowerRoman"/>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33" Type="http://schemas.openxmlformats.org/officeDocument/2006/relationships/image" Target="media/image81.png"/><Relationship Id="rId134" Type="http://schemas.openxmlformats.org/officeDocument/2006/relationships/image" Target="media/image82.png"/><Relationship Id="rId135" Type="http://schemas.openxmlformats.org/officeDocument/2006/relationships/image" Target="media/image83.png"/><Relationship Id="rId136" Type="http://schemas.openxmlformats.org/officeDocument/2006/relationships/image" Target="media/image84.png"/><Relationship Id="rId137" Type="http://schemas.openxmlformats.org/officeDocument/2006/relationships/image" Target="media/image85.png"/><Relationship Id="rId138" Type="http://schemas.openxmlformats.org/officeDocument/2006/relationships/image" Target="media/image86.jpeg"/><Relationship Id="rId139" Type="http://schemas.openxmlformats.org/officeDocument/2006/relationships/image" Target="media/image87.png"/><Relationship Id="rId140"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jpe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41" Type="http://schemas.openxmlformats.org/officeDocument/2006/relationships/hyperlink" Target="https://www.sec.gov/Archives/edgar/data/1920294/000095017025057622/rzlv-20241231.htm" TargetMode="External"/><Relationship Id="rId42" Type="http://schemas.openxmlformats.org/officeDocument/2006/relationships/hyperlink" Target="https://www.sec.gov/Archives/edgar/data/1920294/000095017025026125/jbaam_6-k.htm" TargetMode="External"/><Relationship Id="rId43" Type="http://schemas.openxmlformats.org/officeDocument/2006/relationships/hyperlink" Target="https://www.sec.gov/Archives/edgar/data/1920294/000119312525214041/second_pricing_6-k.htm" TargetMode="External"/><Relationship Id="rId44" Type="http://schemas.openxmlformats.org/officeDocument/2006/relationships/hyperlink" Target="https://www.sec.gov/Archives/edgar/data/1920294/000119312525220703/second_closing_6-k.htm" TargetMode="External"/><Relationship Id="rId45" Type="http://schemas.openxmlformats.org/officeDocument/2006/relationships/hyperlink" Target="https://www.sec.gov/Archives/edgar/data/1920294/000119312525226728/rzlv-20250630.htm" TargetMode="External"/><Relationship Id="rId46" Type="http://schemas.openxmlformats.org/officeDocument/2006/relationships/hyperlink" Target="https://www.sec.gov/Archives/edgar/data/1920294/000119312525230582/copy_of_general_meeting_.htm" TargetMode="External"/><Relationship Id="rId47" Type="http://schemas.openxmlformats.org/officeDocument/2006/relationships/hyperlink" Target="https://www.sec.gov/Archives/edgar/data/1920294/000119312525237242/acquisitions_6-k.htm" TargetMode="External"/><Relationship Id="rId48" Type="http://schemas.openxmlformats.org/officeDocument/2006/relationships/hyperlink" Target="https://www.sec.gov/Archives/edgar/data/1920294/000119312525245776/cfo_change_6-k.htm" TargetMode="External"/><Relationship Id="rId49" Type="http://schemas.openxmlformats.org/officeDocument/2006/relationships/hyperlink" Target="https://www.sec.gov/Archives/edgar/data/1920294/000119312524201396/d873446d8a12b.htm" TargetMode="External"/><Relationship Id="rId95" Type="http://schemas.openxmlformats.org/officeDocument/2006/relationships/hyperlink" Target="https://www.sec.gov/Archives/edgar/data/1920294/000119312523240685/d309194df4a.htm#anxacov" TargetMode="External"/><Relationship Id="rId96" Type="http://schemas.openxmlformats.org/officeDocument/2006/relationships/hyperlink" Target="https://www.sec.gov/Archives/edgar/data/1920294/000119312523240685/d309194df4a.htm#anxaa" TargetMode="External"/><Relationship Id="rId97" Type="http://schemas.openxmlformats.org/officeDocument/2006/relationships/hyperlink" Target="https://www.sec.gov/Archives/edgar/data/1920294/000095017025047916/rzlv-ex3_1.htm" TargetMode="External"/><Relationship Id="rId98" Type="http://schemas.openxmlformats.org/officeDocument/2006/relationships/hyperlink" Target="https://www.sec.gov/Archives/edgar/data/1920294/000119312524204510/d885107dex21.htm" TargetMode="External"/><Relationship Id="rId99" Type="http://schemas.openxmlformats.org/officeDocument/2006/relationships/hyperlink" Target="https://www.sec.gov/Archives/edgar/data/1920294/000119312524204510/d885107dex22.htm" TargetMode="External"/><Relationship Id="rId100" Type="http://schemas.openxmlformats.org/officeDocument/2006/relationships/hyperlink" Target="https://www.sec.gov/Archives/edgar/data/1920294/000119312524204510/d885107dex43.htm" TargetMode="External"/><Relationship Id="rId101" Type="http://schemas.openxmlformats.org/officeDocument/2006/relationships/hyperlink" Target="https://www.sec.gov/Archives/edgar/data/1920294/000119312524204510/d885107dex44.htm" TargetMode="External"/><Relationship Id="rId102" Type="http://schemas.openxmlformats.org/officeDocument/2006/relationships/hyperlink" Target="https://www.sec.gov/Archives/edgar/data/1920294/000119312524204510/d885107dex46.htm" TargetMode="External"/><Relationship Id="rId103" Type="http://schemas.openxmlformats.org/officeDocument/2006/relationships/hyperlink" Target="https://www.sec.gov/Archives/edgar/data/1920294/000119312524204510/d885107dex47.htm" TargetMode="External"/><Relationship Id="rId104" Type="http://schemas.openxmlformats.org/officeDocument/2006/relationships/hyperlink" Target="https://www.sec.gov/Archives/edgar/data/1920294/000119312524159410/d309194dex1017.htm" TargetMode="External"/><Relationship Id="rId105" Type="http://schemas.openxmlformats.org/officeDocument/2006/relationships/hyperlink" Target="https://www.sec.gov/Archives/edgar/data/1920294/000119312524143103/d309194dex1018.htm" TargetMode="External"/><Relationship Id="rId106" Type="http://schemas.openxmlformats.org/officeDocument/2006/relationships/hyperlink" Target="https://www.sec.gov/Archives/edgar/data/1920294/000119312524143103/d309194dex1019.htm" TargetMode="External"/><Relationship Id="rId107" Type="http://schemas.openxmlformats.org/officeDocument/2006/relationships/hyperlink" Target="https://www.sec.gov/Archives/edgar/data/1920294/000119312524143103/d309194dex1020.htm" TargetMode="External"/><Relationship Id="rId108" Type="http://schemas.openxmlformats.org/officeDocument/2006/relationships/hyperlink" Target="https://www.sec.gov/Archives/edgar/data/1920294/000119312524143103/d309194dex1021.htm" TargetMode="External"/><Relationship Id="rId109" Type="http://schemas.openxmlformats.org/officeDocument/2006/relationships/hyperlink" Target="https://www.sec.gov/Archives/edgar/data/1920294/000119312524143103/d309194dex1022.htm" TargetMode="External"/><Relationship Id="rId110" Type="http://schemas.openxmlformats.org/officeDocument/2006/relationships/hyperlink" Target="https://www.sec.gov/Archives/edgar/data/1920294/000119312524143103/d309194dex1023.htm" TargetMode="External"/><Relationship Id="rId111" Type="http://schemas.openxmlformats.org/officeDocument/2006/relationships/hyperlink" Target="https://www.sec.gov/Archives/edgar/data/1920294/000119312524143103/d309194dex1024.htm" TargetMode="External"/><Relationship Id="rId114" Type="http://schemas.openxmlformats.org/officeDocument/2006/relationships/hyperlink" Target="https://www.sec.gov/Archives/edgar/data/1844817/000119312524028592/d701134dex21.htm" TargetMode="External"/><Relationship Id="rId115" Type="http://schemas.openxmlformats.org/officeDocument/2006/relationships/hyperlink" Target="https://www.sec.gov/Archives/edgar/data/1920294/000095017024104513/rzlv-ex10_13.htm" TargetMode="External"/><Relationship Id="rId116" Type="http://schemas.openxmlformats.org/officeDocument/2006/relationships/hyperlink" Target="https://www.sec.gov/Archives/edgar/data/1920294/000095017024106474/rzlv-ex99_2.htm" TargetMode="External"/><Relationship Id="rId117" Type="http://schemas.openxmlformats.org/officeDocument/2006/relationships/hyperlink" Target="https://www.sec.gov/Archives/edgar/data/1920294/000095017024133740/rzlv-ex99_1.htm" TargetMode="External"/><Relationship Id="rId118" Type="http://schemas.openxmlformats.org/officeDocument/2006/relationships/hyperlink" Target="https://www.sec.gov/Archives/edgar/data/1920294/000095017024137626/rzlv-ex10_2.htm" TargetMode="External"/><Relationship Id="rId119" Type="http://schemas.openxmlformats.org/officeDocument/2006/relationships/hyperlink" Target="https://www.sec.gov/Archives/edgar/data/1920294/000095017024137626/rzlv-ex10_3.htm" TargetMode="External"/><Relationship Id="rId120" Type="http://schemas.openxmlformats.org/officeDocument/2006/relationships/hyperlink" Target="https://www.sec.gov/Archives/edgar/data/1920294/000095017024139714/rzlv-ex10_1.htm" TargetMode="External"/><Relationship Id="rId121" Type="http://schemas.openxmlformats.org/officeDocument/2006/relationships/hyperlink" Target="https://www.sec.gov/Archives/edgar/data/1920294/000095017025010226/rzlv-ex10_1.htm" TargetMode="External"/><Relationship Id="rId122" Type="http://schemas.openxmlformats.org/officeDocument/2006/relationships/hyperlink" Target="https://www.sec.gov/Archives/edgar/data/1920294/000095017025016341/rzlv-ex10_1.htm" TargetMode="External"/><Relationship Id="rId123" Type="http://schemas.openxmlformats.org/officeDocument/2006/relationships/hyperlink" Target="https://www.sec.gov/Archives/edgar/data/1920294/000095017025024898/rzlv-ex10_1.htm" TargetMode="External"/><Relationship Id="rId124" Type="http://schemas.openxmlformats.org/officeDocument/2006/relationships/hyperlink" Target="https://www.sec.gov/Archives/edgar/data/1920294/000095017025026125/rzlv-ex10_1.htm" TargetMode="External"/><Relationship Id="rId125" Type="http://schemas.openxmlformats.org/officeDocument/2006/relationships/hyperlink" Target="https://www.sec.gov/Archives/edgar/data/1920294/000095017025026125/rzlv-ex10_2.htm" TargetMode="External"/><Relationship Id="rId126" Type="http://schemas.openxmlformats.org/officeDocument/2006/relationships/hyperlink" Target="https://www.sec.gov/Archives/edgar/data/1920294/000095017025034867/rzlv-ex10_1.htm" TargetMode="External"/><Relationship Id="rId127" Type="http://schemas.openxmlformats.org/officeDocument/2006/relationships/hyperlink" Target="https://www.sec.gov/Archives/edgar/data/1920294/000095017025098790/rzlv-ex10_1.htm" TargetMode="External"/><Relationship Id="rId128" Type="http://schemas.openxmlformats.org/officeDocument/2006/relationships/hyperlink" Target="https://www.sec.gov/Archives/edgar/data/1920294/000095017025098790/rzlv-ex10_2.htm" TargetMode="External"/><Relationship Id="rId129" Type="http://schemas.openxmlformats.org/officeDocument/2006/relationships/hyperlink" Target="https://www.sec.gov/Archives/edgar/data/1920294/000095017025098790/rzlv-ex10_3.htm" TargetMode="External"/><Relationship Id="rId130" Type="http://schemas.openxmlformats.org/officeDocument/2006/relationships/hyperlink" Target="https://www.sec.gov/Archives/edgar/data/1920294/000119312525220703/rzlv-ex10_1.htm" TargetMode="External"/><Relationship Id="rId131" Type="http://schemas.openxmlformats.org/officeDocument/2006/relationships/hyperlink" Target="https://www.sec.gov/Archives/edgar/data/1920294/000119312525220703/rzlv-ex10_2.htm" TargetMode="External"/><Relationship Id="rId132" Type="http://schemas.openxmlformats.org/officeDocument/2006/relationships/hyperlink" Target="https://www.sec.gov/Archives/edgar/data/1920294/000119312525220703/rzlv-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2025-11-28T13:25:45Z</dcterms:created>
  <dcterms:modified xsi:type="dcterms:W3CDTF">2025-11-28T13:25:45Z</dcterms:modified>
</cp:coreProperties>
</file>