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January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previously disclosed, Rezolve AI Limited (the "Company"), undertook to re-register as a public limited company in the United Kingdom on or before January 9, 2025. On January 9, 2025, the Company and DTC agreed to extend the date by which Rezolve is to re-register as a public limited company to March 31, 2025. In the event that the Company does not meet the conditions required to be satisfied for re-registration by March 31, 2025, then the company will remain a private limited liability company, which could impact the eligibility of our shares for DTC and limit the range of investors from whom new investment may be sought by the Company until such re-registration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2001520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13,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05"/>
        </w:trPr>
        <w:tc>
          <w:tcPr>
            <w:tcW w:w="18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0"/>
                <w:szCs w:val="20"/>
                <w:color w:val="auto"/>
              </w:rPr>
            </w:pPr>
          </w:p>
        </w:tc>
      </w:tr>
      <w:tr>
        <w:trPr>
          <w:trHeight w:val="1627"/>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2025-01-13T15:36:41Z</dcterms:created>
  <dcterms:modified xsi:type="dcterms:W3CDTF">2025-01-13T15:36:41Z</dcterms:modified>
</cp:coreProperties>
</file>