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Herbert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Limited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3rd Floor, 80 New Bond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W1S 1SB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Rezolve AI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F-4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16, 2023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333-272751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Stephen Herbert: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filed on Form F-4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Wagner, your chief executive officer, beneficially owns 75%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voting power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outstanding capital stock. Please disclose on the cover page that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are a "controlled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company" and the identity and beneficial ownership percentage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controlling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Material Terms of the Business Combination, page 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organizational chart outlining your pre- and post-business combination corporate structure and</w:t>
      </w:r>
    </w:p>
    <w:p>
      <w:pPr>
        <w:ind w:left="5900" w:right="27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illustrating the relationships of the various entities discussed throughout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Herbert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AILastNameStephen Herbert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NameRezolve AI Limited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</w:t>
      </w:r>
    </w:p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2023 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certain other excluded assets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Pre-Closing Demerger.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About the Proposals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Q: Do you have Redemption Rights?, page 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the</w:t>
      </w:r>
    </w:p>
    <w:p>
      <w:pPr>
        <w:spacing w:after="0" w:line="831" w:lineRule="exact"/>
        <w:rPr>
          <w:sz w:val="24"/>
          <w:szCs w:val="24"/>
          <w:color w:val="auto"/>
        </w:rPr>
      </w:pPr>
    </w:p>
    <w:p>
      <w:pPr>
        <w:sectPr>
          <w:pgSz w:w="11900" w:h="16854" w:orient="portrait"/>
          <w:cols w:equalWidth="0" w:num="2">
            <w:col w:w="6440" w:space="420"/>
            <w:col w:w="3279"/>
          </w:cols>
          <w:pgMar w:left="320" w:top="218" w:right="1440" w:bottom="0" w:gutter="0" w:footer="0" w:header="0"/>
          <w:type w:val="continuous"/>
        </w:sect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Clarify whether redeeming shareholders will be able to retain their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Statement/Prospectus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Interests of Armada Directors and Officers in the Business Combination, page 36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certain shareholders agreed to waive their redemption rights. Please describe</w:t>
      </w:r>
    </w:p>
    <w:p>
      <w:pPr>
        <w:ind w:right="307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any consideration provided in exchange for this agreement. Unaudited Prof Forma Condensed Combined Financial Statements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2 - Unaudited condensed combined balance sheet adjustments, page 104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99 you state, "the number of Employee Share Ownerships Plans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their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impact are not considered for the purposes of these pro forma condensed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financial statements." Please explain this statement and why employee share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ownerships plans are not considered in the pro forma condensed combined financial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statements. Refer to your basis in accounting literature and Article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S-X.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regards to adjustment (a) which relates to estimated transaction costs, disclose why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recorded $10,971,518 for a short-term loan. Also, please disclose the terms of this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loan.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footnote (b) you state, "There are insufficient funds in the Trust Account at Closing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satisfy the requirement for $5,000,001 of net tangible assets under the Business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Agreement "Net Tangible Assets Condition")." Please clarify this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 If this statement is true please emphasize it throughout the filing.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view towards clarify the disclosure in footnote (b), please explain to us how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obtaining additional third-party financing would satisfy the Net Tangible Assets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adjustment (f), disclose how you determined the amounts that will be payable for 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of ANY. We note various scenarios regarding potential payments for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acquisition disclosed on page F-30 of Rezolve's audited financial statements.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why there is a debit to accumulated deficit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$3,062,500 for adjustment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(j). If this is a typo and should be labeled adjustment (l), please revise accordingly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regards to adjustment (o) you state it "reflects the short-term loan to fund transaction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in the maximum redemptions scenario." However, based on adjustment (n), it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that the cash from this loan will be used to return Armada redeemable stock.</w:t>
      </w:r>
    </w:p>
    <w:p>
      <w:pPr>
        <w:ind w:left="120" w:right="327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the contradiction and revise accordingly. Stephen Herbert</w:t>
      </w:r>
    </w:p>
    <w:p>
      <w:pPr>
        <w:ind w:right="8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Limited July 14, 2023 Page 3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in footnote (o) the terms of the short-term loan.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adjustment (q) refers to "cash paid," but cash is not affected by this adjustment.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and if true, disclose that you intend to borrow funds to pay the taxes.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clearly label earnings per share as pro forma earnings per share when applicable.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 Proposal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Business Combination, page 124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Armada "renounced its interest in any corporate opportunity offered to any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 or officer unless such opportunity is expressly offered to such person solely in his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her capacity as a director or officer of Armada and such opportunity is one Armada is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legally and contractually permitted to undertake and would otherwise be reasonable for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Armada to pursue." Please address this potential conflict of interest and whether it</w:t>
      </w:r>
    </w:p>
    <w:p>
      <w:pPr>
        <w:ind w:right="42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impacted your search for an acquisition target. Rezolve Financial Projections, page 140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that you have not generated any revenue from your commerce platform, please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why you believe there is a reasonable basis to present a financial forecast beyond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year. Your disclosures should provide information that demonstrates that your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 are reasonable. In this regard, the underlying assumptions should be clearly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outlined supporting your revenue growth.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of Rezolve, page 206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currently only derive revenues via the sale of radio advertisements and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fees on ticket sales. In order to provide investors with a better understanding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business, please balance your disclosure here and elsewhere as appropriate with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equally prominent disclosure of your current operations. Additionally, please disclose the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development stage of your mobile commerce and engagement platform and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your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 to commercialize such platform.</w:t>
      </w: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following the completion of the Pre-Closing Demerger, you will cease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LastNameStephen Herbert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in China. We also note that you are "considering re-engaging with the Chinese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NameRezolve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right"/>
              <w:ind w:right="1012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market</w:t>
            </w:r>
          </w:p>
        </w:tc>
        <w:tc>
          <w:tcPr>
            <w:tcW w:w="5840" w:type="dxa"/>
            <w:vAlign w:val="bottom"/>
          </w:tcPr>
          <w:p>
            <w:pPr>
              <w:ind w:left="48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AI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1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the future."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ceasing</w:t>
            </w:r>
          </w:p>
        </w:tc>
        <w:tc>
          <w:tcPr>
            <w:tcW w:w="5840" w:type="dxa"/>
            <w:vAlign w:val="bottom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expand your discussion to explain why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14,operations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2023 Pagein3China when you are also considering re-engaging with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Chinese market.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Stephen Herbert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Rezolve AILastNameStephen Herbert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right"/>
              <w:ind w:right="3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Limited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</w:t>
            </w:r>
          </w:p>
        </w:tc>
        <w:tc>
          <w:tcPr>
            <w:tcW w:w="7840" w:type="dxa"/>
            <w:vAlign w:val="bottom"/>
            <w:gridSpan w:val="2"/>
          </w:tcPr>
          <w:p>
            <w:pPr>
              <w:ind w:left="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NameRezolve AI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right"/>
              <w:ind w:right="10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14, 2023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14,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200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 2023 Page 4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Rezolve's Management's Discussion and Analysis of Financial Conditions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page 214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over 98% of your revenue for the fiscal year ended December 31, 2022,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to be from radio advertising as a result of your acquisition of ANY. We also note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ANY generates revenue due to a marketing agreement with Radio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Group.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Furthermore, on page 63 you state, "ANY was established to purchase the rights to sell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of the companies owned by Radio Group". Please explain your relationship with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Radio Group and if Radio Group is a related party in accordance with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850.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majority of your revenues are generated by the sale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radio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advertisements to a single customer, Radio Group GmbH, through a single marketing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 Please quantify the percentage of revenue attributable to such customer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material terms of your agreement with Radio Group GmbH, including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 and any material termination provisions, and file this agreement as an exhibit to your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 Additionally, please provide relevant risk factor disclosure. Refer</w:t>
      </w:r>
    </w:p>
    <w:p>
      <w:pPr>
        <w:ind w:right="52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Item 601(b)(10) of Regulation S-K. Key Business Metrics, page 218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 w:right="2659" w:hanging="1372"/>
        <w:spacing w:after="0" w:line="289" w:lineRule="auto"/>
        <w:tabs>
          <w:tab w:leader="none" w:pos="959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address the following with respect to your key metrics: Provide a clear definition of each metric and how it 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calculated;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statement indicating the reasons why the metric provides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useful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to investors; and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statement indicating how management uses the metric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managing or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monitoring the performance of your business.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SEC Release No. 33-10751.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EBITDA, page 219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in detail what is included in business development expenses, share based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issued to related parties, and share based compensation for consultancy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and explain why you believe it is appropriation to exclude theses costs from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EBITDA. Your disclosure should explain each type of expense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what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were provided to you. Also, disclose how Adjusted EBITDA is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by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management.</w:t>
      </w:r>
    </w:p>
    <w:p>
      <w:pPr>
        <w:ind w:right="465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Certain Relationships and Related Party Transactions Relationship with Daniel Wagner, page 246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debt outstanding to DBLP Sea Cow Limited. Please clarify the</w:t>
      </w:r>
    </w:p>
    <w:p>
      <w:pPr>
        <w:ind w:left="120" w:right="317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and purpose of any loans from DBLP Sea Cow Limited. Stephen Herbert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ind w:left="1280" w:right="6659" w:hanging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AILastNameStephen Herbert Limited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NameRezolve AI Limited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</w:t>
      </w:r>
    </w:p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5 2023 Page 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Rezolve Ordinary Shares, Articles of Association and Certain Legal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Considerations, page 248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highlight the material risks to public warrant holders, including those arising from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differences between private and public warrants. Clearly explain the steps, if any,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will take to notify all shareholders, including beneficial owners, regarding when</w:t>
      </w:r>
    </w:p>
    <w:p>
      <w:pPr>
        <w:ind w:right="4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warrants become eligible for redemption. Resolve AI Limited and Subsidiaries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Carve-out Consolidated Balance Sheets, page F-4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the incorporation of Rezolve AI Limited on January 5, 2023, explain to us why</w:t>
      </w:r>
    </w:p>
    <w:p>
      <w:pPr>
        <w:ind w:right="349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are reporting share information for 2022 and 2021. Carve-out Consolidated Statement of Operations, page F-5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Reclassify employee costs, consulting expenses, business development expenses to the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expense line-items, i.e. cost of revenues, sales and marketing expenses, and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and administrative expenses. We refer to guidance in Rule 5-03 of Regulation S-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X.</w:t>
      </w:r>
    </w:p>
    <w:p>
      <w:pPr>
        <w:ind w:right="2659" w:firstLine="8"/>
        <w:spacing w:after="0" w:line="309" w:lineRule="auto"/>
        <w:tabs>
          <w:tab w:leader="none" w:pos="316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of presentation and summary of significant accounting policies 2.1 Basis of presentation, page F-9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why you are providing carve-out financial statements of Rezolve AI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Limited, rather than the historic financial statements of Rezolve Limited. Also, to enable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to understand the significance of the carved-out business, please provide an analysis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comparing total assets, total liabilities, total shareholders' equity/deficit, total revenues,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operating expenses, operating loss, and net loss of Rezolve AI Limited to Rezolve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as of and for the years-ended December 31, 2022 and 2021.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fully disclose the details of your expense allocations in accordance with SAB Topic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1:B, including the nature of the expenses allocated, an explanation of the allocation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 used along with management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assertion that the method used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 w:line="230" w:lineRule="auto"/>
        <w:tabs>
          <w:tab w:leader="none" w:pos="4720" w:val="left"/>
        </w:tabs>
        <w:framePr w:w="940" w:h="349" w:wrap="auto" w:vAnchor="page" w:hAnchor="page" w:x="280" w:y="399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July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reasonable.</w:t>
      </w:r>
    </w:p>
    <w:p>
      <w:pPr>
        <w:spacing w:after="0" w:line="3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that the Rezolve AI Limited income statements reflect all of its costs of doing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2.7 Revenue recognition, page F-12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"Revenue is recognized in accordance with ASC 606 Revenue from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Contracts with Customers at the point in time when the promised services are performed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9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customer and when ANY expects to be entitled to the consideration." Please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31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 to state your specific performance obligation(s) and when revenue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recognized for each performance obligation(s).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Herbert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AILastNameStephen Herbert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NameRezolve AI Limited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</w:t>
      </w:r>
    </w:p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6 2023 Page 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119" w:firstLine="8"/>
        <w:spacing w:after="0" w:line="238" w:lineRule="auto"/>
        <w:tabs>
          <w:tab w:leader="none" w:pos="1053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how you considered the principal versus agent guidance in ASC 606 when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recording advertising sales under your contract with Radio Group and advise us.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2.17 Shareholders' deficit and reserves, page F-15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expense that you anticipate will be incurred when the employee shares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achieve a grant date, upon the removal of the restrictions.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 and other liabilities, page F-22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a balance of $14,600,000 in consideration payable for the acquisition of ANY at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2021. Please explain why this payable is no longer recorded at December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2022. Refer to your basis in accounting literature.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Non-operating expense, net, page F-30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income statement to report within Cost of revenues the expenses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incurred from impairment of inventory. We refer you to the guidance in ASC 420-10-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S99-3.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report the charges incurred from the impairment of accounts receivable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share-based payment cost within operating expenses or advise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us.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of Any Lifestyle Marketing GmbH ("ANY Acquisition"), page F-31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disclosure on page F-30 that you determined Rezolve was the primary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beneficiary of ANY. Please provide us with your analysis under ASC 810 to support your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conclusion as of the date of consolidation. Such analysis should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include: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description of the variable interests of ANY and the holders of those variable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interests;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ANY has the characteristics of a VIE;</w:t>
      </w:r>
    </w:p>
    <w:p>
      <w:pPr>
        <w:ind w:right="20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description of the activities that most significant affect the economic performance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ANY and how decisions over those activities are made; and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 description of the rights of ANY and your analysis as to whether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those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are protective or participating.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on page F-31 that on December 28, 2022, the legal ownership of ANY reverted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 to the sellers of ANY. Notwithstanding the comment above, please provide us your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of ASC 810-10-40-4 as to whether you ceased to have a controlling financial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in ANY after legal ownership reverted to its sellers.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your agreement(s) with ANY, and tell us why you do not believe they are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to be filed pursuant to Item 601(b)(10) of Regulation S-K.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Herbert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AILastNameStephen Herbert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NameRezolve AI Limited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14, 2023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</w:t>
      </w:r>
    </w:p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7 2023 Page 7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57" w:lineRule="auto"/>
        <w:tabs>
          <w:tab w:leader="none" w:pos="948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Inessa Kessman, Senior Staff Accountant, at (202)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551-3371 or Robert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(202) 551-3361 if you have questions regarding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Kyle Wiley,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344-5791 or Matthew Crispino, Staff Attorney,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551-3456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Gerry Williams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190CDE7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EF438D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40E0F76"/>
    <w:multiLevelType w:val="hybridMultilevel"/>
    <w:lvl w:ilvl="0">
      <w:lvlJc w:val="left"/>
      <w:lvlText w:val="%1"/>
      <w:numFmt w:val="decimal"/>
      <w:start w:val="11"/>
    </w:lvl>
  </w:abstractNum>
  <w:abstractNum w:abstractNumId="3">
    <w:nsid w:val="3352255A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109CF92E"/>
    <w:multiLevelType w:val="hybridMultilevel"/>
    <w:lvl w:ilvl="0">
      <w:lvlJc w:val="left"/>
      <w:lvlText w:val="%1."/>
      <w:numFmt w:val="decimal"/>
      <w:start w:val="12"/>
    </w:lvl>
  </w:abstractNum>
  <w:abstractNum w:abstractNumId="5">
    <w:nsid w:val="DED7263"/>
    <w:multiLevelType w:val="hybridMultilevel"/>
    <w:lvl w:ilvl="0">
      <w:lvlJc w:val="left"/>
      <w:lvlText w:val="%1."/>
      <w:numFmt w:val="decimal"/>
      <w:start w:val="17"/>
    </w:lvl>
  </w:abstractNum>
  <w:abstractNum w:abstractNumId="6">
    <w:nsid w:val="7FDCC233"/>
    <w:multiLevelType w:val="hybridMultilevel"/>
    <w:lvl w:ilvl="0">
      <w:lvlJc w:val="left"/>
      <w:lvlText w:val="%1."/>
      <w:numFmt w:val="decimal"/>
      <w:start w:val="18"/>
    </w:lvl>
  </w:abstractNum>
  <w:abstractNum w:abstractNumId="7">
    <w:nsid w:val="1BEFD79F"/>
    <w:multiLevelType w:val="hybridMultilevel"/>
    <w:lvl w:ilvl="0">
      <w:lvlJc w:val="left"/>
      <w:lvlText w:val="%1."/>
      <w:numFmt w:val="decimal"/>
      <w:start w:val="20"/>
    </w:lvl>
  </w:abstractNum>
  <w:abstractNum w:abstractNumId="8">
    <w:nsid w:val="41A7C4C9"/>
    <w:multiLevelType w:val="hybridMultilevel"/>
    <w:lvl w:ilvl="0">
      <w:lvlJc w:val="left"/>
      <w:lvlText w:val="%1."/>
      <w:numFmt w:val="decimal"/>
      <w:start w:val="23"/>
    </w:lvl>
  </w:abstractNum>
  <w:abstractNum w:abstractNumId="9">
    <w:nsid w:val="6B68079A"/>
    <w:multiLevelType w:val="hybridMultilevel"/>
    <w:lvl w:ilvl="0">
      <w:lvlJc w:val="left"/>
      <w:lvlText w:val="%1."/>
      <w:numFmt w:val="decimal"/>
      <w:start w:val="25"/>
    </w:lvl>
  </w:abstractNum>
  <w:abstractNum w:abstractNumId="10">
    <w:nsid w:val="4E6AFB66"/>
    <w:multiLevelType w:val="hybridMultilevel"/>
    <w:lvl w:ilvl="0">
      <w:lvlJc w:val="left"/>
      <w:lvlText w:val="%1."/>
      <w:numFmt w:val="decimal"/>
      <w:start w:val="2"/>
    </w:lvl>
  </w:abstractNum>
  <w:abstractNum w:abstractNumId="11">
    <w:nsid w:val="25E45D32"/>
    <w:multiLevelType w:val="hybridMultilevel"/>
    <w:lvl w:ilvl="0">
      <w:lvlJc w:val="left"/>
      <w:lvlText w:val="%1."/>
      <w:numFmt w:val="decimal"/>
      <w:start w:val="28"/>
    </w:lvl>
  </w:abstractNum>
  <w:abstractNum w:abstractNumId="12">
    <w:nsid w:val="519B500D"/>
    <w:multiLevelType w:val="hybridMultilevel"/>
    <w:lvl w:ilvl="0">
      <w:lvlJc w:val="left"/>
      <w:lvlText w:val="%1."/>
      <w:numFmt w:val="decimal"/>
      <w:start w:val="30"/>
    </w:lvl>
  </w:abstractNum>
  <w:abstractNum w:abstractNumId="13">
    <w:nsid w:val="431BD7B7"/>
    <w:multiLevelType w:val="hybridMultilevel"/>
    <w:lvl w:ilvl="0">
      <w:lvlJc w:val="left"/>
      <w:lvlText w:val="%1."/>
      <w:numFmt w:val="decimal"/>
      <w:start w:val="31"/>
    </w:lvl>
  </w:abstractNum>
  <w:abstractNum w:abstractNumId="14">
    <w:nsid w:val="3F2DBA31"/>
    <w:multiLevelType w:val="hybridMultilevel"/>
    <w:lvl w:ilvl="0">
      <w:lvlJc w:val="left"/>
      <w:lvlText w:val="%1."/>
      <w:numFmt w:val="decimal"/>
      <w:start w:val="8"/>
    </w:lvl>
  </w:abstractNum>
  <w:abstractNum w:abstractNumId="15">
    <w:nsid w:val="7C83E458"/>
    <w:multiLevelType w:val="hybridMultilevel"/>
    <w:lvl w:ilvl="0">
      <w:lvlJc w:val="left"/>
      <w:lvlText w:val="%1."/>
      <w:numFmt w:val="decimal"/>
      <w:start w:val="33"/>
    </w:lvl>
  </w:abstractNum>
  <w:abstractNum w:abstractNumId="16">
    <w:nsid w:val="257130A3"/>
    <w:multiLevelType w:val="hybridMultilevel"/>
    <w:lvl w:ilvl="0">
      <w:lvlJc w:val="left"/>
      <w:lvlText w:val="%1."/>
      <w:numFmt w:val="decimal"/>
      <w:start w:val="14"/>
    </w:lvl>
  </w:abstractNum>
  <w:abstractNum w:abstractNumId="17">
    <w:nsid w:val="62BBD95A"/>
    <w:multiLevelType w:val="hybridMultilevel"/>
    <w:lvl w:ilvl="0">
      <w:lvlJc w:val="left"/>
      <w:lvlText w:val="%1."/>
      <w:numFmt w:val="decimal"/>
      <w:start w:val="34"/>
    </w:lvl>
  </w:abstractNum>
  <w:abstractNum w:abstractNumId="18">
    <w:nsid w:val="436C6125"/>
    <w:multiLevelType w:val="hybridMultilevel"/>
    <w:lvl w:ilvl="0">
      <w:lvlJc w:val="left"/>
      <w:lvlText w:val="%1."/>
      <w:numFmt w:val="decimal"/>
      <w:start w:val="15"/>
    </w:lvl>
  </w:abstractNum>
  <w:abstractNum w:abstractNumId="19">
    <w:nsid w:val="628C895D"/>
    <w:multiLevelType w:val="hybridMultilevel"/>
    <w:lvl w:ilvl="0">
      <w:lvlJc w:val="left"/>
      <w:lvlText w:val="%1."/>
      <w:numFmt w:val="decimal"/>
      <w:start w:val="36"/>
    </w:lvl>
  </w:abstractNum>
  <w:abstractNum w:abstractNumId="20">
    <w:nsid w:val="333AB105"/>
    <w:multiLevelType w:val="hybridMultilevel"/>
    <w:lvl w:ilvl="0">
      <w:lvlJc w:val="left"/>
      <w:lvlText w:val="%1."/>
      <w:numFmt w:val="decimal"/>
      <w:start w:val="39"/>
    </w:lvl>
  </w:abstractNum>
  <w:abstractNum w:abstractNumId="21">
    <w:nsid w:val="721DA317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2024-08-07T23:09:49Z</dcterms:created>
  <dcterms:modified xsi:type="dcterms:W3CDTF">2024-08-07T23:09:49Z</dcterms:modified>
</cp:coreProperties>
</file>