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For the month of December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212529"/>
        </w:rPr>
        <w:t>As previously disclosed, 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xml:space="preserve">”), a Cayman Islands exempt limited company, which was amended and restated on February 2, 2024 to provide for, inter alia, Rezolve AI Limited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i w:val="1"/>
          <w:iCs w:val="1"/>
          <w:color w:val="000000"/>
        </w:rPr>
        <w:t>Company or Rezolve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joining as a party to the agreement (“</w:t>
      </w:r>
      <w:r>
        <w:rPr>
          <w:rFonts w:ascii="Times New Roman" w:cs="Times New Roman" w:eastAsia="Times New Roman" w:hAnsi="Times New Roman"/>
          <w:sz w:val="18"/>
          <w:szCs w:val="18"/>
          <w:b w:val="1"/>
          <w:bCs w:val="1"/>
          <w:i w:val="1"/>
          <w:iCs w:val="1"/>
          <w:color w:val="212529"/>
        </w:rPr>
        <w:t>Original YA Agreement</w:t>
      </w:r>
      <w:r>
        <w:rPr>
          <w:rFonts w:ascii="Times New Roman" w:cs="Times New Roman" w:eastAsia="Times New Roman" w:hAnsi="Times New Roman"/>
          <w:sz w:val="18"/>
          <w:szCs w:val="18"/>
          <w:color w:val="212529"/>
        </w:rPr>
        <w:t>”). In connection with the amendment and restatement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YA Agreement, on February 2, 2024, the Company issued a convertible promissory note in the principal amount of $2,500,000 (the “</w:t>
      </w:r>
      <w:r>
        <w:rPr>
          <w:rFonts w:ascii="Times New Roman" w:cs="Times New Roman" w:eastAsia="Times New Roman" w:hAnsi="Times New Roman"/>
          <w:sz w:val="18"/>
          <w:szCs w:val="18"/>
          <w:b w:val="1"/>
          <w:bCs w:val="1"/>
          <w:i w:val="1"/>
          <w:iCs w:val="1"/>
          <w:color w:val="212529"/>
        </w:rPr>
        <w:t>First YA Note</w:t>
      </w:r>
      <w:r>
        <w:rPr>
          <w:rFonts w:ascii="Times New Roman" w:cs="Times New Roman" w:eastAsia="Times New Roman" w:hAnsi="Times New Roman"/>
          <w:sz w:val="18"/>
          <w:szCs w:val="18"/>
          <w:color w:val="212529"/>
        </w:rPr>
        <w:t>”) to YA.</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Also as previously disclosed, on September 6, 2024, the Company and YA, amended and restated the Original YA Agreement (the “</w:t>
      </w:r>
      <w:r>
        <w:rPr>
          <w:rFonts w:ascii="Times New Roman" w:cs="Times New Roman" w:eastAsia="Times New Roman" w:hAnsi="Times New Roman"/>
          <w:sz w:val="18"/>
          <w:szCs w:val="18"/>
          <w:b w:val="1"/>
          <w:bCs w:val="1"/>
          <w:i w:val="1"/>
          <w:iCs w:val="1"/>
          <w:color w:val="auto"/>
        </w:rPr>
        <w:t>Second A&amp;R YA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original principal amount of an additional Seven Million Five Hundred Thousand Dollars ($7,500,000), payable in three equal tranches, of which the first two tranches were funded as part of a promissory note, dated September 9, 2024,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and the third tranche was funded as part of a promissory note, dated November 29, 2024,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First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the date hereof, Yorkville has elected to convert all of the principal and interest outstanding under the YA Notes for an aggregate of 5,724,154 ordinary shares of the Company and no amount remains outstanding under the YA Notes.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30, 2024, the Company issued a press release announcing the conversion of the YA Notes. A copy of the press release is furnished as Exhibit 99.1 to this Report on Form 6-K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1294765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05"/>
        </w:trPr>
        <w:tc>
          <w:tcPr>
            <w:tcW w:w="1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r>
      <w:tr>
        <w:trPr>
          <w:trHeight w:val="1627"/>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94"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Rezolve Ai Converts $59 Million in Variable Rate Convertible Loans Before Year-End, Strengthening Financial Position for 2025</w:t>
      </w:r>
    </w:p>
    <w:p>
      <w:pPr>
        <w:spacing w:after="0" w:line="20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NEW YORK, December 30, 2024 </w:t>
      </w:r>
      <w:r>
        <w:rPr>
          <w:rFonts w:ascii="Times New Roman" w:cs="Times New Roman" w:eastAsia="Times New Roman" w:hAnsi="Times New Roman"/>
          <w:sz w:val="22"/>
          <w:szCs w:val="22"/>
          <w:color w:val="auto"/>
        </w:rPr>
        <w:t>– Rezolve Ai (NASDAQ: RZLV), a leader in AI-driven retail solutions, announces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successful conversion of variable rate convertible loans, totalling approximately $59 million, before the end of 2024. This includes the full settlement of approximately $10 million in loans with Yorkville Advisors and the approximately $49 million in loans previously announced.</w:t>
      </w:r>
    </w:p>
    <w:p>
      <w:pPr>
        <w:spacing w:after="0" w:line="203"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move eliminates these instruments from the company’s balance sheet through conversion into shares rather than repayment in cash, which we believe showcases investor confidence in Rezolve Ai’s growth trajectory. As the company enters 2025, it does so with cash on the balance sheet and enhanced financial flexibility.</w:t>
      </w:r>
    </w:p>
    <w:p>
      <w:pPr>
        <w:spacing w:after="0" w:line="200"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2"/>
          <w:szCs w:val="22"/>
          <w:color w:val="auto"/>
        </w:rPr>
        <w:t>“The conversion of these substantial loans we believe demonstrates both our financial strength and the confidence of our investors in Rezolve Ai’s long-term vision,” said Daniel M. Wagner, Rezolve Ai CEO. “We enter 2025 with a robust balance sheet, cash reserves, and the agility to manage remaining obligations efficiently. This solid foundation allows us to focus on scaling our innovative AI-powered solutions.”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This milestone aligns with Rezolve Ai’s strategy of financial discipline while leading the retail AI revolution with transformative products such as Brain Commerce and Brain Checkout.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Rezolve Ai and its solutions, visit www.rezolve.com.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18"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2"/>
          <w:szCs w:val="22"/>
          <w:color w:val="auto"/>
        </w:rPr>
        <w:t>Rezolve Ai (NASDAQ: RZLV) is a leader in AI-powered solutions for commerce and retail, focused on transforming customer engagement, streamlining transactions, and driving revenue growth. The company’s Brain Suite of products - Brain Commerce, Brain Checkout, and Brain Assistant - harness the power of AI to provide personalized, frictionless shopping experiences and improve business outcomes for retailers and brands worldwide. Partnering with industry giants like Tether, Microsoft, and Google, Rezolve is pioneering the future of commerce. For more information, visit www.rezolve.com.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Rezolve Ai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Urmee Khan</w:t>
      </w:r>
    </w:p>
    <w:p>
      <w:pPr>
        <w:spacing w:after="0" w:line="230" w:lineRule="auto"/>
        <w:rPr>
          <w:sz w:val="20"/>
          <w:szCs w:val="20"/>
          <w:color w:val="auto"/>
        </w:rPr>
      </w:pPr>
      <w:r>
        <w:rPr>
          <w:rFonts w:ascii="Times New Roman" w:cs="Times New Roman" w:eastAsia="Times New Roman" w:hAnsi="Times New Roman"/>
          <w:sz w:val="22"/>
          <w:szCs w:val="22"/>
          <w:color w:val="auto"/>
        </w:rPr>
        <w:t>Global Head of Communications</w:t>
      </w:r>
    </w:p>
    <w:p>
      <w:pPr>
        <w:spacing w:after="0" w:line="231" w:lineRule="auto"/>
        <w:rPr>
          <w:sz w:val="20"/>
          <w:szCs w:val="20"/>
          <w:color w:val="auto"/>
        </w:rPr>
      </w:pPr>
      <w:r>
        <w:rPr>
          <w:rFonts w:ascii="Times New Roman" w:cs="Times New Roman" w:eastAsia="Times New Roman" w:hAnsi="Times New Roman"/>
          <w:sz w:val="22"/>
          <w:szCs w:val="22"/>
          <w:color w:val="auto"/>
        </w:rPr>
        <w:t>urmeekhan@rezolve.com</w:t>
      </w:r>
    </w:p>
    <w:p>
      <w:pPr>
        <w:spacing w:after="0"/>
        <w:rPr>
          <w:sz w:val="20"/>
          <w:szCs w:val="20"/>
          <w:color w:val="auto"/>
        </w:rPr>
      </w:pPr>
      <w:r>
        <w:rPr>
          <w:rFonts w:ascii="Times New Roman" w:cs="Times New Roman" w:eastAsia="Times New Roman" w:hAnsi="Times New Roman"/>
          <w:sz w:val="22"/>
          <w:szCs w:val="22"/>
          <w:color w:val="auto"/>
        </w:rPr>
        <w:t>+44 7576 094 040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CORE 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+15162222560</w:t>
      </w:r>
    </w:p>
    <w:p>
      <w:pPr>
        <w:spacing w:after="0"/>
        <w:rPr>
          <w:sz w:val="20"/>
          <w:szCs w:val="20"/>
          <w:color w:val="auto"/>
        </w:rPr>
      </w:pPr>
      <w:r>
        <w:rPr>
          <w:rFonts w:ascii="Times New Roman" w:cs="Times New Roman" w:eastAsia="Times New Roman" w:hAnsi="Times New Roman"/>
          <w:sz w:val="22"/>
          <w:szCs w:val="22"/>
          <w:color w:val="auto"/>
        </w:rPr>
        <w:t>investors@rezolve.com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Private Securities Litigation Reform Act of 1996.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sales from its co-selling arrangements and descriptions of future performance, as well as its statements regarding investor confidence. The matters discussed in these forward-looking statements are subject to a number of risks, trends and uncertainties that could cause actual results to differ materially from those projected, anticipated or implied in the forward-looking statements. You are cautioned not place undue reliance on these forward-looking statements. None of Rezolve nor any other person is responsible for updating or revising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2024-12-31T16:17:03Z</dcterms:created>
  <dcterms:modified xsi:type="dcterms:W3CDTF">2024-12-31T16:17:03Z</dcterms:modified>
</cp:coreProperties>
</file>