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Rezolve AI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15,102,535.00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15,102,535.00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15,102,535.00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285,174,536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September 25, 2025 (according to the issuer's Form 6-K as filed with the Securities and Exchange Commission on September 26, 2025). Except as described in the preceding sentence, all Shares for the holdings of the reporting persons reported in this Schedule 13G are as of the opening of the market on October 2,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15,102,535.00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15,102,535.00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15,102,535.00</w:t>
      </w:r>
    </w:p>
    <w:p>
      <w:pPr>
        <w:sectPr>
          <w:pgSz w:w="11900" w:h="16838" w:orient="portrait"/>
          <w:cols w:equalWidth="0" w:num="1">
            <w:col w:w="11140"/>
          </w:cols>
          <w:pgMar w:left="320" w:top="111" w:right="439" w:bottom="0" w:gutter="0" w:footer="0" w:header="0"/>
          <w:type w:val="continuous"/>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15,102,535.00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15,102,535.00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15,102,535.00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ectPr>
          <w:pgSz w:w="11900" w:h="16838"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305,336.00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305,336.00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305,336.00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560,697.00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right="7059" w:hanging="231"/>
        <w:spacing w:after="0" w:line="259" w:lineRule="auto"/>
        <w:tabs>
          <w:tab w:leader="none" w:pos="1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560,697.00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560,697.00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560,697.00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560,697.00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560,697.00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ectPr>
          <w:pgSz w:w="11900" w:h="16838" w:orient="portrait"/>
          <w:cols w:equalWidth="0" w:num="2">
            <w:col w:w="1060" w:space="60"/>
            <w:col w:w="8979"/>
          </w:cols>
          <w:pgMar w:left="360" w:top="112" w:right="1440" w:bottom="451" w:gutter="0" w:footer="0" w:header="0"/>
          <w:type w:val="continuous"/>
        </w:sectPr>
      </w:pPr>
    </w:p>
    <w:bookmarkStart w:id="5" w:name="page6"/>
    <w:bookmarkEnd w:id="5"/>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6" w:orient="portrait"/>
          <w:cols w:equalWidth="0" w:num="1">
            <w:col w:w="11120"/>
          </w:cols>
          <w:pgMar w:left="360" w:top="110" w:right="4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15,663,232.00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15,663,232.00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15,663,232.00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96" w:orient="portrait"/>
          <w:cols w:equalWidth="0" w:num="2">
            <w:col w:w="1060" w:space="60"/>
            <w:col w:w="10000"/>
          </w:cols>
          <w:pgMar w:left="360" w:top="110" w:right="4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Rezolve AI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 Sackville Street, London, UK, W1S 3DN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CEMF Investments Ltd., a Cayman Islands limited company ("CCIL"), Citadel Multi-Asset Master Fund Ltd., a Cayman Islands company ("CMAM"), Citadel Securities, and CRBU Holdings LLC, a Delaware limited liability company ("CRBH"). Such owned Shares may include other instruments exercisable for</w:t>
      </w:r>
    </w:p>
    <w:p>
      <w:pPr>
        <w:sectPr>
          <w:pgSz w:w="11900" w:h="16896" w:orient="portrait"/>
          <w:cols w:equalWidth="0" w:num="1">
            <w:col w:w="11120"/>
          </w:cols>
          <w:pgMar w:left="360" w:top="110" w:right="419" w:bottom="0" w:gutter="0" w:footer="0" w:header="0"/>
          <w:type w:val="continuous"/>
        </w:sectPr>
      </w:pPr>
    </w:p>
    <w:bookmarkStart w:id="6" w:name="page7"/>
    <w:bookmarkEnd w:id="6"/>
    <w:p>
      <w:pPr>
        <w:ind w:left="920" w:right="40"/>
        <w:spacing w:after="0" w:line="236" w:lineRule="auto"/>
        <w:rPr>
          <w:sz w:val="20"/>
          <w:szCs w:val="20"/>
          <w:color w:val="auto"/>
        </w:rPr>
      </w:pPr>
      <w:r>
        <w:rPr>
          <w:rFonts w:ascii="Times New Roman" w:cs="Times New Roman" w:eastAsia="Times New Roman" w:hAnsi="Times New Roman"/>
          <w:sz w:val="22"/>
          <w:szCs w:val="22"/>
          <w:color w:val="auto"/>
        </w:rPr>
        <w:t>or convertible into Shares. Citadel Advisors is the portfolio manager for CMAM and CCIL.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8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(GBP)0.0001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G75398100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hanging="912"/>
        <w:spacing w:after="0" w:line="193"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15,102,535 Shares. 2. Citadel Securities LLC may be deemed to beneficially own 305,336 Shares. 3. Each of Citadel Securities Group LP and Citadel Securities GP LLC may be deemed to beneficially own 560,697 Shares. 4. Mr. Griffin may be deemed to beneficially own 15,663,232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0" w:right="140" w:hanging="912"/>
        <w:spacing w:after="0" w:line="196"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5.3% of the Shares outstanding. 2. The number of Shares that Citadel Securities LLC may be deemed to beneficially own constitutes 0.1% of the Shares outstanding. 3. The number of Shares that each of Citadel Securities Group LP and Citadel Securities GP LLC may be deemed to beneficially own constitutes 0.2% of the Shares outstanding. 4. The number of Shares that Mr. Griffin may be deemed to beneficially own constitutes 5.5%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60" w:firstLine="6"/>
        <w:spacing w:after="0" w:line="244" w:lineRule="auto"/>
        <w:tabs>
          <w:tab w:leader="none" w:pos="11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15,102,535 2. Citadel Securities LLC: 305,336 3. Each of Citadel Securities Group LP and Citadel Securities GP LLC: 560,697 4. Mr. Griffin: 15,663,232</w:t>
      </w:r>
    </w:p>
    <w:p>
      <w:pPr>
        <w:sectPr>
          <w:pgSz w:w="11900" w:h="16838" w:orient="portrait"/>
          <w:cols w:equalWidth="0" w:num="1">
            <w:col w:w="11080"/>
          </w:cols>
          <w:pgMar w:left="360" w:top="111" w:right="45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220" w:hanging="214"/>
        <w:spacing w:after="0"/>
        <w:tabs>
          <w:tab w:leader="none" w:pos="2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20" w:firstLine="6"/>
        <w:spacing w:after="0" w:line="244" w:lineRule="auto"/>
        <w:tabs>
          <w:tab w:leader="none" w:pos="2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15,102,535 2. Citadel Securities LLC: 305,336 3. Each of Citadel Securities Group LP and Citadel Securities GP LLC: 560,697 4. Mr. Griffin: 15,663,232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ectPr>
          <w:pgSz w:w="11900" w:h="16887" w:orient="portrait"/>
          <w:cols w:equalWidth="0" w:num="1">
            <w:col w:w="11140"/>
          </w:cols>
          <w:pgMar w:left="360" w:top="409" w:right="399" w:bottom="0" w:gutter="0" w:footer="0" w:header="0"/>
          <w:type w:val="continuous"/>
        </w:sectPr>
      </w:pPr>
    </w:p>
    <w:bookmarkStart w:id="8" w:name="page9"/>
    <w:bookmarkEnd w:id="8"/>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4"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020"/>
          </w:cols>
          <w:pgMar w:left="320" w:top="261" w:right="5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 2025.</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45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45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bl>
    <w:p>
      <w:pPr>
        <w:spacing w:after="0" w:line="2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11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Seth Levy, attorney-in-fact</w:t>
      </w:r>
      <w:r>
        <w:rPr>
          <w:rFonts w:ascii="Times New Roman" w:cs="Times New Roman" w:eastAsia="Times New Roman" w:hAnsi="Times New Roman"/>
          <w:sz w:val="29"/>
          <w:szCs w:val="29"/>
          <w:u w:val="single" w:color="auto"/>
          <w:color w:val="auto"/>
          <w:vertAlign w:val="superscript"/>
        </w:rPr>
        <w:t>*</w:t>
      </w:r>
    </w:p>
    <w:p>
      <w:pPr>
        <w:spacing w:after="0" w:line="149" w:lineRule="exact"/>
        <w:rPr>
          <w:sz w:val="20"/>
          <w:szCs w:val="20"/>
          <w:color w:val="auto"/>
        </w:rPr>
      </w:pPr>
    </w:p>
    <w:p>
      <w:pPr>
        <w:ind w:left="340" w:right="40" w:hanging="332"/>
        <w:spacing w:after="0" w:line="210" w:lineRule="auto"/>
        <w:tabs>
          <w:tab w:leader="none" w:pos="340" w:val="left"/>
        </w:tabs>
        <w:numPr>
          <w:ilvl w:val="0"/>
          <w:numId w:val="20"/>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8"/>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3"/>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1"/>
    </w:lvl>
  </w:abstractNum>
  <w:abstractNum w:abstractNumId="13">
    <w:nsid w:val="25E45D32"/>
    <w:multiLevelType w:val="hybridMultilevel"/>
    <w:lvl w:ilvl="0">
      <w:lvlJc w:val="left"/>
      <w:lvlText w:val="(%1)"/>
      <w:numFmt w:val="lowerLetter"/>
      <w:start w:val="1"/>
    </w:lvl>
    <w:lvl w:ilvl="1">
      <w:lvlJc w:val="left"/>
      <w:lvlText w:val="%2."/>
      <w:numFmt w:val="decimal"/>
      <w:start w:val="1"/>
    </w:lvl>
  </w:abstractNum>
  <w:abstractNum w:abstractNumId="14">
    <w:nsid w:val="519B500D"/>
    <w:multiLevelType w:val="hybridMultilevel"/>
    <w:lvl w:ilvl="0">
      <w:lvlJc w:val="left"/>
      <w:lvlText w:val="%1"/>
      <w:numFmt w:val="lowerLetter"/>
      <w:start w:val="1"/>
    </w:lvl>
    <w:lvl w:ilvl="1">
      <w:lvlJc w:val="left"/>
      <w:lvlText w:val="%2."/>
      <w:numFmt w:val="decimal"/>
      <w:start w:val="3"/>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2025-10-02T17:30:27Z</dcterms:created>
  <dcterms:modified xsi:type="dcterms:W3CDTF">2025-10-02T17:30:27Z</dcterms:modified>
</cp:coreProperties>
</file>