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For the month of March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2233930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GroupBy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11, 2025, Rezolve AI Limited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i w:val="1"/>
          <w:iCs w:val="1"/>
          <w:color w:val="auto"/>
        </w:rPr>
        <w:t>GroupBy International</w:t>
      </w:r>
      <w:r>
        <w:rPr>
          <w:rFonts w:ascii="Times New Roman" w:cs="Times New Roman" w:eastAsia="Times New Roman" w:hAnsi="Times New Roman"/>
          <w:sz w:val="18"/>
          <w:szCs w:val="18"/>
          <w:color w:val="auto"/>
        </w:rPr>
        <w:t>”, and together with GroupBy, the “</w:t>
      </w:r>
      <w:r>
        <w:rPr>
          <w:rFonts w:ascii="Times New Roman" w:cs="Times New Roman" w:eastAsia="Times New Roman" w:hAnsi="Times New Roman"/>
          <w:sz w:val="18"/>
          <w:szCs w:val="18"/>
          <w:i w:val="1"/>
          <w:iCs w:val="1"/>
          <w:color w:val="auto"/>
        </w:rPr>
        <w:t>Target Companies</w:t>
      </w:r>
      <w:r>
        <w:rPr>
          <w:rFonts w:ascii="Times New Roman" w:cs="Times New Roman" w:eastAsia="Times New Roman" w:hAnsi="Times New Roman"/>
          <w:sz w:val="18"/>
          <w:szCs w:val="18"/>
          <w:color w:val="auto"/>
        </w:rPr>
        <w:t>”) and Fortis Advisors LLC, a Delaware limited liability company, as the representative of the sellers party thereto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On February 28, 2025, the Company and the Sellers amended the Purchase Agreement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among other things, provide for the cancellation of certain warrants of the Target Companies held by certain Sellers.</w:t>
      </w:r>
    </w:p>
    <w:p>
      <w:pPr>
        <w:spacing w:after="0" w:line="1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description of the Amendment is not complete and is subject to, and qualified in its entirety by reference to, the actual agreement, a copy of which is furnished as exhibit 10.1 to this Report on Form 6-K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spacing w:after="0"/>
              <w:rPr>
                <w:sz w:val="24"/>
                <w:szCs w:val="24"/>
                <w:color w:val="auto"/>
              </w:rPr>
            </w:pPr>
          </w:p>
        </w:tc>
        <w:tc>
          <w:tcPr>
            <w:tcW w:w="8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Amendment to the Purchase Agreement, dated February 28, 2025, by and among Rezolve AI Limited and Fortis Advisors</w:t>
            </w:r>
          </w:p>
        </w:tc>
        <w:tc>
          <w:tcPr>
            <w:tcW w:w="3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LLC, as representative of the sellers party thereto.</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2720" w:type="dxa"/>
            <w:vAlign w:val="bottom"/>
            <w:tcBorders>
              <w:top w:val="single" w:sz="8" w:color="0000FF"/>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81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6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AMENDMENT NO. 1 TO THE SECURITIES</w:t>
      </w:r>
    </w:p>
    <w:p>
      <w:pPr>
        <w:spacing w:after="0" w:line="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PURCHASE AGREEMENT</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 xml:space="preserve">THIS AMENDMENT NO. 1 TO THE SECURITIES PURCHASE AGREEMENT </w:t>
      </w:r>
      <w:r>
        <w:rPr>
          <w:rFonts w:ascii="Times New Roman" w:cs="Times New Roman" w:eastAsia="Times New Roman" w:hAnsi="Times New Roman"/>
          <w:sz w:val="20"/>
          <w:szCs w:val="20"/>
          <w:color w:val="auto"/>
        </w:rPr>
        <w:t>(this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February 28, 2025 among Rezolve AI Limited, a company formed under the laws of</w:t>
      </w:r>
    </w:p>
    <w:p>
      <w:pPr>
        <w:ind w:left="160"/>
        <w:spacing w:after="0"/>
        <w:rPr>
          <w:sz w:val="20"/>
          <w:szCs w:val="20"/>
          <w:color w:val="auto"/>
        </w:rPr>
      </w:pPr>
      <w:r>
        <w:rPr>
          <w:rFonts w:ascii="Times New Roman" w:cs="Times New Roman" w:eastAsia="Times New Roman" w:hAnsi="Times New Roman"/>
          <w:sz w:val="20"/>
          <w:szCs w:val="20"/>
          <w:color w:val="auto"/>
        </w:rPr>
        <w:t>England and Wales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and Fortis Advisors LLC, a Delaware limited liability company, as the</w:t>
      </w:r>
    </w:p>
    <w:p>
      <w:pPr>
        <w:ind w:left="160"/>
        <w:spacing w:after="0"/>
        <w:rPr>
          <w:sz w:val="20"/>
          <w:szCs w:val="20"/>
          <w:color w:val="auto"/>
        </w:rPr>
      </w:pPr>
      <w:r>
        <w:rPr>
          <w:rFonts w:ascii="Times New Roman" w:cs="Times New Roman" w:eastAsia="Times New Roman" w:hAnsi="Times New Roman"/>
          <w:sz w:val="20"/>
          <w:szCs w:val="20"/>
          <w:color w:val="auto"/>
        </w:rPr>
        <w:t>representative of the Sellers (as defined in the Securities Purchase Agreement (as defined below)) (the “</w:t>
      </w:r>
      <w:r>
        <w:rPr>
          <w:rFonts w:ascii="Times New Roman" w:cs="Times New Roman" w:eastAsia="Times New Roman" w:hAnsi="Times New Roman"/>
          <w:sz w:val="20"/>
          <w:szCs w:val="20"/>
          <w:u w:val="single" w:color="auto"/>
          <w:color w:val="auto"/>
        </w:rPr>
        <w:t>Seller</w:t>
      </w:r>
    </w:p>
    <w:p>
      <w:pPr>
        <w:ind w:left="160"/>
        <w:spacing w:after="0"/>
        <w:rPr>
          <w:sz w:val="20"/>
          <w:szCs w:val="20"/>
          <w:color w:val="auto"/>
        </w:rPr>
      </w:pP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33" w:lineRule="exact"/>
        <w:rPr>
          <w:sz w:val="20"/>
          <w:szCs w:val="20"/>
          <w:color w:val="auto"/>
        </w:rPr>
      </w:pPr>
    </w:p>
    <w:p>
      <w:pPr>
        <w:jc w:val="both"/>
        <w:ind w:left="880" w:right="300" w:hanging="719"/>
        <w:spacing w:after="0" w:line="246"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the Seller Representative, GroupBy Inc., an Ontario corporation (“GroupBy”), GroupBy International Ltd., an Ontario corporation (“</w:t>
      </w:r>
      <w:r>
        <w:rPr>
          <w:rFonts w:ascii="Times New Roman" w:cs="Times New Roman" w:eastAsia="Times New Roman" w:hAnsi="Times New Roman"/>
          <w:sz w:val="20"/>
          <w:szCs w:val="20"/>
          <w:u w:val="single" w:color="auto"/>
          <w:color w:val="auto"/>
        </w:rPr>
        <w:t>GroupBy International</w:t>
      </w:r>
      <w:r>
        <w:rPr>
          <w:rFonts w:ascii="Times New Roman" w:cs="Times New Roman" w:eastAsia="Times New Roman" w:hAnsi="Times New Roman"/>
          <w:sz w:val="20"/>
          <w:szCs w:val="20"/>
          <w:color w:val="auto"/>
        </w:rPr>
        <w:t>” and together with GroupBy,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shareholders of the Target Companies listed on Exhibit A thereto as sellers (the “</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entered into a Securities Purchase Agreement dated as of February 11, 2025 (the “</w:t>
      </w:r>
      <w:r>
        <w:rPr>
          <w:rFonts w:ascii="Times New Roman" w:cs="Times New Roman" w:eastAsia="Times New Roman" w:hAnsi="Times New Roman"/>
          <w:sz w:val="20"/>
          <w:szCs w:val="20"/>
          <w:u w:val="single" w:color="auto"/>
          <w:color w:val="auto"/>
        </w:rPr>
        <w:t>Securities Purchase Agreement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880" w:right="300" w:hanging="719"/>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10.5 of the Securities Purchase Agreement, the Securities Purchase Agreement can be amended by the approval, in writing, executed by the Purchaser and the Seller Representative.</w:t>
      </w:r>
    </w:p>
    <w:p>
      <w:pPr>
        <w:spacing w:after="0" w:line="159" w:lineRule="exact"/>
        <w:rPr>
          <w:rFonts w:ascii="Times New Roman" w:cs="Times New Roman" w:eastAsia="Times New Roman" w:hAnsi="Times New Roman"/>
          <w:sz w:val="20"/>
          <w:szCs w:val="20"/>
          <w:color w:val="auto"/>
        </w:rPr>
      </w:pPr>
    </w:p>
    <w:p>
      <w:pPr>
        <w:ind w:left="880" w:right="300" w:hanging="719"/>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Sellers wish to amend certain terms of the Securities Purchase Agreement as provided for herein.</w:t>
      </w:r>
    </w:p>
    <w:p>
      <w:pPr>
        <w:spacing w:after="0" w:line="159" w:lineRule="exact"/>
        <w:rPr>
          <w:rFonts w:ascii="Times New Roman" w:cs="Times New Roman" w:eastAsia="Times New Roman" w:hAnsi="Times New Roman"/>
          <w:sz w:val="20"/>
          <w:szCs w:val="20"/>
          <w:color w:val="auto"/>
        </w:rPr>
      </w:pPr>
    </w:p>
    <w:p>
      <w:pPr>
        <w:ind w:left="880" w:right="300" w:hanging="719"/>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Representative wishes to execute this Amendment as representative of the Sellers pursuant to Section 10.5 of the Securities Purchase Agreement.</w:t>
      </w:r>
    </w:p>
    <w:p>
      <w:pPr>
        <w:spacing w:after="0" w:line="159" w:lineRule="exact"/>
        <w:rPr>
          <w:rFonts w:ascii="Times New Roman" w:cs="Times New Roman" w:eastAsia="Times New Roman" w:hAnsi="Times New Roman"/>
          <w:sz w:val="20"/>
          <w:szCs w:val="20"/>
          <w:color w:val="auto"/>
        </w:rPr>
      </w:pPr>
    </w:p>
    <w:p>
      <w:pPr>
        <w:ind w:left="880" w:right="300" w:hanging="719"/>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Securities Purchase Agreement.</w:t>
      </w:r>
    </w:p>
    <w:p>
      <w:pPr>
        <w:spacing w:after="0" w:line="169" w:lineRule="exact"/>
        <w:rPr>
          <w:sz w:val="20"/>
          <w:szCs w:val="20"/>
          <w:color w:val="auto"/>
        </w:rPr>
      </w:pPr>
    </w:p>
    <w:p>
      <w:pPr>
        <w:ind w:left="160"/>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sufficiency of which is hereby acknowledged, the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Agreement is hereby amended as follows:</w:t>
      </w:r>
    </w:p>
    <w:p>
      <w:pPr>
        <w:spacing w:after="0" w:line="156" w:lineRule="exact"/>
        <w:rPr>
          <w:sz w:val="20"/>
          <w:szCs w:val="20"/>
          <w:color w:val="auto"/>
        </w:rPr>
      </w:pPr>
    </w:p>
    <w:p>
      <w:pPr>
        <w:ind w:left="900" w:hanging="739"/>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1.2</w:t>
      </w:r>
    </w:p>
    <w:p>
      <w:pPr>
        <w:spacing w:after="0" w:line="216" w:lineRule="exact"/>
        <w:rPr>
          <w:sz w:val="20"/>
          <w:szCs w:val="20"/>
          <w:color w:val="auto"/>
        </w:rPr>
      </w:pPr>
    </w:p>
    <w:p>
      <w:pPr>
        <w:ind w:left="900" w:right="980"/>
        <w:spacing w:after="0" w:line="269" w:lineRule="auto"/>
        <w:rPr>
          <w:sz w:val="20"/>
          <w:szCs w:val="20"/>
          <w:color w:val="auto"/>
        </w:rPr>
      </w:pPr>
      <w:r>
        <w:rPr>
          <w:rFonts w:ascii="Times New Roman" w:cs="Times New Roman" w:eastAsia="Times New Roman" w:hAnsi="Times New Roman"/>
          <w:sz w:val="20"/>
          <w:szCs w:val="20"/>
          <w:color w:val="auto"/>
        </w:rPr>
        <w:t>Section 1.2 of the Securities Purchase Agreement is hereby deleted in its entirety and replaced with the following:</w:t>
      </w:r>
    </w:p>
    <w:p>
      <w:pPr>
        <w:spacing w:after="0" w:line="155" w:lineRule="exact"/>
        <w:rPr>
          <w:sz w:val="20"/>
          <w:szCs w:val="20"/>
          <w:color w:val="auto"/>
        </w:rPr>
      </w:pPr>
    </w:p>
    <w:p>
      <w:pPr>
        <w:jc w:val="both"/>
        <w:ind w:left="1660" w:right="300"/>
        <w:spacing w:after="0" w:line="247" w:lineRule="auto"/>
        <w:rPr>
          <w:sz w:val="20"/>
          <w:szCs w:val="20"/>
          <w:color w:val="auto"/>
        </w:rPr>
      </w:pPr>
      <w:r>
        <w:rPr>
          <w:rFonts w:ascii="Times New Roman" w:cs="Times New Roman" w:eastAsia="Times New Roman" w:hAnsi="Times New Roman"/>
          <w:sz w:val="20"/>
          <w:szCs w:val="20"/>
          <w:i w:val="1"/>
          <w:iCs w:val="1"/>
          <w:color w:val="auto"/>
        </w:rPr>
        <w:t>In consideration for the surrender for cancellation by certain Sellers of the Cancellation Warrants (as defined below) and the sale of: (i) the Acquired Securities which are shares in the capital of GroupBy, Purchaser will allot to the benefit of the Sellers 3,959,903 Consideration Shares; and (ii) the Acquired Securities which are the shares in the capital of GroupBy International, Purchaser will allot to the benefit of the Sellers 39,999 Consideration Shares (collectively, the “</w:t>
      </w:r>
      <w:r>
        <w:rPr>
          <w:rFonts w:ascii="Times New Roman" w:cs="Times New Roman" w:eastAsia="Times New Roman" w:hAnsi="Times New Roman"/>
          <w:sz w:val="20"/>
          <w:szCs w:val="20"/>
          <w:i w:val="1"/>
          <w:iCs w:val="1"/>
          <w:u w:val="single" w:color="auto"/>
          <w:color w:val="auto"/>
        </w:rPr>
        <w:t>Purchase Price</w:t>
      </w:r>
      <w:r>
        <w:rPr>
          <w:rFonts w:ascii="Times New Roman" w:cs="Times New Roman" w:eastAsia="Times New Roman" w:hAnsi="Times New Roman"/>
          <w:sz w:val="20"/>
          <w:szCs w:val="20"/>
          <w:i w:val="1"/>
          <w:iCs w:val="1"/>
          <w:color w:val="auto"/>
        </w:rPr>
        <w:t>”).</w:t>
      </w:r>
    </w:p>
    <w:p>
      <w:pPr>
        <w:spacing w:after="0" w:line="184" w:lineRule="exact"/>
        <w:rPr>
          <w:sz w:val="20"/>
          <w:szCs w:val="20"/>
          <w:color w:val="auto"/>
        </w:rPr>
      </w:pPr>
    </w:p>
    <w:p>
      <w:pPr>
        <w:ind w:left="900" w:hanging="739"/>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1.3(a)</w:t>
      </w:r>
    </w:p>
    <w:p>
      <w:pPr>
        <w:spacing w:after="0" w:line="215" w:lineRule="exact"/>
        <w:rPr>
          <w:rFonts w:ascii="Times New Roman" w:cs="Times New Roman" w:eastAsia="Times New Roman" w:hAnsi="Times New Roman"/>
          <w:sz w:val="20"/>
          <w:szCs w:val="20"/>
          <w:color w:val="auto"/>
        </w:rPr>
      </w:pPr>
    </w:p>
    <w:p>
      <w:pPr>
        <w:ind w:left="900" w:right="28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1.3(a) of the Securities Purchase Agreement is hereby deleted and replaced with the updated Schedule 1.3(a) attached as Exhibit A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188595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09" w:right="419" w:bottom="1440" w:gutter="0" w:footer="0" w:header="0"/>
        </w:sectPr>
      </w:pPr>
    </w:p>
    <w:bookmarkStart w:id="4" w:name="page5"/>
    <w:bookmarkEnd w:id="4"/>
    <w:p>
      <w:pPr>
        <w:ind w:left="900" w:hanging="739"/>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1.3(c)</w:t>
      </w:r>
    </w:p>
    <w:p>
      <w:pPr>
        <w:spacing w:after="0" w:line="215" w:lineRule="exact"/>
        <w:rPr>
          <w:rFonts w:ascii="Times New Roman" w:cs="Times New Roman" w:eastAsia="Times New Roman" w:hAnsi="Times New Roman"/>
          <w:sz w:val="20"/>
          <w:szCs w:val="20"/>
          <w:color w:val="auto"/>
        </w:rPr>
      </w:pPr>
    </w:p>
    <w:p>
      <w:pPr>
        <w:ind w:left="900" w:right="4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hereby added as a new subsection (i) of the existing Section 1.3(c) of the Securities Purchase Agreement, and the other subsections of Section 1.3(c) are re-numbered accordingly:</w:t>
      </w:r>
    </w:p>
    <w:p>
      <w:pPr>
        <w:spacing w:after="0" w:line="155" w:lineRule="exact"/>
        <w:rPr>
          <w:rFonts w:ascii="Times New Roman" w:cs="Times New Roman" w:eastAsia="Times New Roman" w:hAnsi="Times New Roman"/>
          <w:sz w:val="20"/>
          <w:szCs w:val="20"/>
          <w:color w:val="auto"/>
        </w:rPr>
      </w:pPr>
    </w:p>
    <w:p>
      <w:pPr>
        <w:jc w:val="both"/>
        <w:ind w:left="2380" w:right="340" w:hanging="722"/>
        <w:spacing w:after="0" w:line="250" w:lineRule="auto"/>
        <w:tabs>
          <w:tab w:leader="none" w:pos="2380"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each Seller who is the holder of one or more warrants to purchase Class A Preferred Shares in the capital of the Target Companies, as set forth on Schedule 1.3(a) (the “</w:t>
      </w:r>
      <w:r>
        <w:rPr>
          <w:rFonts w:ascii="Times New Roman" w:cs="Times New Roman" w:eastAsia="Times New Roman" w:hAnsi="Times New Roman"/>
          <w:sz w:val="20"/>
          <w:szCs w:val="20"/>
          <w:i w:val="1"/>
          <w:iCs w:val="1"/>
          <w:u w:val="single" w:color="auto"/>
          <w:color w:val="auto"/>
        </w:rPr>
        <w:t>Cancellation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Warrants</w:t>
      </w:r>
      <w:r>
        <w:rPr>
          <w:rFonts w:ascii="Times New Roman" w:cs="Times New Roman" w:eastAsia="Times New Roman" w:hAnsi="Times New Roman"/>
          <w:sz w:val="20"/>
          <w:szCs w:val="20"/>
          <w:i w:val="1"/>
          <w:iCs w:val="1"/>
          <w:color w:val="auto"/>
        </w:rPr>
        <w:t>”) shall surrender such Cancellation Warrants for cancellation and such Cancellation Warrants shall be cancelled and of no further force or effect;</w:t>
      </w:r>
    </w:p>
    <w:p>
      <w:pPr>
        <w:spacing w:after="0" w:line="179" w:lineRule="exact"/>
        <w:rPr>
          <w:rFonts w:ascii="Times New Roman" w:cs="Times New Roman" w:eastAsia="Times New Roman" w:hAnsi="Times New Roman"/>
          <w:sz w:val="20"/>
          <w:szCs w:val="20"/>
          <w:i w:val="1"/>
          <w:iCs w:val="1"/>
          <w:color w:val="auto"/>
        </w:rPr>
      </w:pPr>
    </w:p>
    <w:p>
      <w:pPr>
        <w:ind w:left="900" w:hanging="739"/>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7.11</w:t>
      </w:r>
    </w:p>
    <w:p>
      <w:pPr>
        <w:spacing w:after="0" w:line="216" w:lineRule="exact"/>
        <w:rPr>
          <w:sz w:val="20"/>
          <w:szCs w:val="20"/>
          <w:color w:val="auto"/>
        </w:rPr>
      </w:pPr>
    </w:p>
    <w:p>
      <w:pPr>
        <w:ind w:left="900" w:right="920"/>
        <w:spacing w:after="0" w:line="269" w:lineRule="auto"/>
        <w:rPr>
          <w:sz w:val="20"/>
          <w:szCs w:val="20"/>
          <w:color w:val="auto"/>
        </w:rPr>
      </w:pPr>
      <w:r>
        <w:rPr>
          <w:rFonts w:ascii="Times New Roman" w:cs="Times New Roman" w:eastAsia="Times New Roman" w:hAnsi="Times New Roman"/>
          <w:sz w:val="20"/>
          <w:szCs w:val="20"/>
          <w:color w:val="auto"/>
        </w:rPr>
        <w:t>Section 7.11 of the Securities Purchase Agreement is hereby deleted in its entirety and replaced with the following:</w:t>
      </w:r>
    </w:p>
    <w:p>
      <w:pPr>
        <w:spacing w:after="0" w:line="155" w:lineRule="exact"/>
        <w:rPr>
          <w:sz w:val="20"/>
          <w:szCs w:val="20"/>
          <w:color w:val="auto"/>
        </w:rPr>
      </w:pPr>
    </w:p>
    <w:p>
      <w:pPr>
        <w:jc w:val="both"/>
        <w:ind w:left="1660" w:right="34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7.11 </w:t>
      </w:r>
      <w:r>
        <w:rPr>
          <w:rFonts w:ascii="Times New Roman" w:cs="Times New Roman" w:eastAsia="Times New Roman" w:hAnsi="Times New Roman"/>
          <w:sz w:val="20"/>
          <w:szCs w:val="20"/>
          <w:i w:val="1"/>
          <w:iCs w:val="1"/>
          <w:u w:val="single" w:color="auto"/>
          <w:color w:val="auto"/>
        </w:rPr>
        <w:t>Consideration Shares Trading Restrictions</w:t>
      </w:r>
      <w:r>
        <w:rPr>
          <w:rFonts w:ascii="Times New Roman" w:cs="Times New Roman" w:eastAsia="Times New Roman" w:hAnsi="Times New Roman"/>
          <w:sz w:val="20"/>
          <w:szCs w:val="20"/>
          <w:i w:val="1"/>
          <w:iCs w:val="1"/>
          <w:color w:val="auto"/>
        </w:rPr>
        <w:t>. Each Seller hereby agrees and undertakes with the Purchaser that it shall not dispose of any Consideration Shares on any one day to the extent such sales by such Seller are on that day more than 5% of the total volume of shares of the Purchaser traded in the market as shown on the NASDAQ online platform. In addition, each Seller agrees and undertakes with the Purchaser that it shall not directly or indirectly engage in or facilitate (either through the provision of Consideration Shares on loan to a third party or otherwise) in the short selling of shares in the Purchaser.</w:t>
      </w:r>
    </w:p>
    <w:p>
      <w:pPr>
        <w:spacing w:after="0" w:line="183" w:lineRule="exact"/>
        <w:rPr>
          <w:sz w:val="20"/>
          <w:szCs w:val="20"/>
          <w:color w:val="auto"/>
        </w:rPr>
      </w:pPr>
    </w:p>
    <w:p>
      <w:pPr>
        <w:ind w:left="900" w:hanging="739"/>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Article IX</w:t>
      </w:r>
    </w:p>
    <w:p>
      <w:pPr>
        <w:spacing w:after="0" w:line="216"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20"/>
          <w:szCs w:val="20"/>
          <w:color w:val="auto"/>
        </w:rPr>
        <w:t>The definition of “Outside Date” in Article IX of the Securities Purchase Agreement is hereby deleted in its entirety and replaced with the following:</w:t>
      </w:r>
    </w:p>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Outside Date</w:t>
      </w:r>
      <w:r>
        <w:rPr>
          <w:rFonts w:ascii="Times New Roman" w:cs="Times New Roman" w:eastAsia="Times New Roman" w:hAnsi="Times New Roman"/>
          <w:sz w:val="20"/>
          <w:szCs w:val="20"/>
          <w:i w:val="1"/>
          <w:iCs w:val="1"/>
          <w:color w:val="auto"/>
        </w:rPr>
        <w:t>” means March 14, 2025.</w:t>
      </w:r>
    </w:p>
    <w:p>
      <w:pPr>
        <w:spacing w:after="0" w:line="220" w:lineRule="exact"/>
        <w:rPr>
          <w:sz w:val="20"/>
          <w:szCs w:val="20"/>
          <w:color w:val="auto"/>
        </w:rPr>
      </w:pPr>
    </w:p>
    <w:p>
      <w:pPr>
        <w:ind w:left="900" w:hanging="739"/>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p>
    <w:p>
      <w:pPr>
        <w:spacing w:after="0" w:line="215" w:lineRule="exact"/>
        <w:rPr>
          <w:rFonts w:ascii="Times New Roman" w:cs="Times New Roman" w:eastAsia="Times New Roman" w:hAnsi="Times New Roman"/>
          <w:sz w:val="20"/>
          <w:szCs w:val="20"/>
          <w:color w:val="auto"/>
        </w:rPr>
      </w:pPr>
    </w:p>
    <w:p>
      <w:pPr>
        <w:jc w:val="both"/>
        <w:ind w:left="900" w:right="3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Securities Purchase Agreement, as amended by this Amendment, contains the entire agreement between the parties as to its subject matter and supersede all prior contracts, obligations, representations, conduct and understandings between the parties with respect to the subject matter herein. Except with respect to the modifications expressly implemented in accordance with this Amendment, the content of this Amendment shall not in any way be interpreted as modifying other terms and conditions of the Securities Purchase Agreement and it contains no other modification, whether implicit or ancillary, and no other change in any other respect, and the Securities Purchase Agreement remains in full force and effect and is hereby ratified and confirmed by the parties. On and after the date of this Amendment, each reference in the Securities Purchase Agreement or in any other agreements, documents, or instruments executed and delivered pursuant to, or in connection with the Securities Purchase Agreement, will mean and be a reference to the Securities Purchase Agreement as amended by this Amendment.</w:t>
      </w:r>
    </w:p>
    <w:p>
      <w:pPr>
        <w:spacing w:after="0" w:line="189" w:lineRule="exact"/>
        <w:rPr>
          <w:rFonts w:ascii="Times New Roman" w:cs="Times New Roman" w:eastAsia="Times New Roman" w:hAnsi="Times New Roman"/>
          <w:sz w:val="20"/>
          <w:szCs w:val="20"/>
          <w:color w:val="auto"/>
        </w:rPr>
      </w:pPr>
    </w:p>
    <w:p>
      <w:pPr>
        <w:ind w:left="900" w:hanging="739"/>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p>
    <w:p>
      <w:pPr>
        <w:spacing w:after="0" w:line="215" w:lineRule="exact"/>
        <w:rPr>
          <w:rFonts w:ascii="Times New Roman" w:cs="Times New Roman" w:eastAsia="Times New Roman" w:hAnsi="Times New Roman"/>
          <w:sz w:val="20"/>
          <w:szCs w:val="20"/>
          <w:color w:val="auto"/>
        </w:rPr>
      </w:pPr>
    </w:p>
    <w:p>
      <w:pPr>
        <w:ind w:left="900" w:right="18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provision of this Amendment would, but for this clause, be void, unenforceable or illegal in a jurisdiction, the provision will be read down to the extent necessary to avoid that result (and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582930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13" w:right="379" w:bottom="1440" w:gutter="0" w:footer="0" w:header="0"/>
        </w:sectPr>
      </w:pPr>
    </w:p>
    <w:bookmarkStart w:id="5" w:name="page6"/>
    <w:bookmarkEnd w:id="5"/>
    <w:p>
      <w:pPr>
        <w:jc w:val="both"/>
        <w:ind w:left="900"/>
        <w:spacing w:after="0" w:line="254" w:lineRule="auto"/>
        <w:rPr>
          <w:sz w:val="20"/>
          <w:szCs w:val="20"/>
          <w:color w:val="auto"/>
        </w:rPr>
      </w:pPr>
      <w:r>
        <w:rPr>
          <w:rFonts w:ascii="Times New Roman" w:cs="Times New Roman" w:eastAsia="Times New Roman" w:hAnsi="Times New Roman"/>
          <w:sz w:val="20"/>
          <w:szCs w:val="20"/>
          <w:color w:val="auto"/>
        </w:rPr>
        <w:t>provision cannot be read down, to that extent, it will be severed in that jurisdiction), without affecting the validity and enforceability of that provision in any other jurisdiction or any other provisions of this Amendment.</w:t>
      </w:r>
    </w:p>
    <w:p>
      <w:pPr>
        <w:spacing w:after="0" w:line="174" w:lineRule="exact"/>
        <w:rPr>
          <w:sz w:val="20"/>
          <w:szCs w:val="20"/>
          <w:color w:val="auto"/>
        </w:rPr>
      </w:pPr>
    </w:p>
    <w:p>
      <w:pPr>
        <w:ind w:left="900" w:hanging="739"/>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Titles and Subtitles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00" w:right="1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titles and subtitles used in this Amendment are used for convenience only and are not to be considered in construing or interpreting this Amendment.</w:t>
      </w:r>
    </w:p>
    <w:p>
      <w:pPr>
        <w:spacing w:after="0" w:line="159" w:lineRule="exact"/>
        <w:rPr>
          <w:rFonts w:ascii="Times New Roman" w:cs="Times New Roman" w:eastAsia="Times New Roman" w:hAnsi="Times New Roman"/>
          <w:sz w:val="20"/>
          <w:szCs w:val="20"/>
          <w:color w:val="auto"/>
        </w:rPr>
      </w:pPr>
    </w:p>
    <w:p>
      <w:pPr>
        <w:ind w:left="900" w:hanging="739"/>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Variation</w:t>
      </w:r>
    </w:p>
    <w:p>
      <w:pPr>
        <w:spacing w:after="0" w:line="161" w:lineRule="exact"/>
        <w:rPr>
          <w:rFonts w:ascii="Times New Roman" w:cs="Times New Roman" w:eastAsia="Times New Roman" w:hAnsi="Times New Roman"/>
          <w:sz w:val="20"/>
          <w:szCs w:val="20"/>
          <w:color w:val="auto"/>
        </w:rPr>
      </w:pPr>
    </w:p>
    <w:p>
      <w:pPr>
        <w:ind w:left="900" w:right="68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can only be varied by an instrument in writing signed by the Purchaser and the Seller Representative.</w:t>
      </w:r>
    </w:p>
    <w:p>
      <w:pPr>
        <w:spacing w:after="0" w:line="159" w:lineRule="exact"/>
        <w:rPr>
          <w:rFonts w:ascii="Times New Roman" w:cs="Times New Roman" w:eastAsia="Times New Roman" w:hAnsi="Times New Roman"/>
          <w:sz w:val="20"/>
          <w:szCs w:val="20"/>
          <w:color w:val="auto"/>
        </w:rPr>
      </w:pPr>
    </w:p>
    <w:p>
      <w:pPr>
        <w:ind w:left="900" w:hanging="739"/>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215" w:lineRule="exact"/>
        <w:rPr>
          <w:rFonts w:ascii="Times New Roman" w:cs="Times New Roman" w:eastAsia="Times New Roman" w:hAnsi="Times New Roman"/>
          <w:sz w:val="20"/>
          <w:szCs w:val="20"/>
          <w:color w:val="auto"/>
        </w:rPr>
      </w:pPr>
    </w:p>
    <w:p>
      <w:pPr>
        <w:jc w:val="both"/>
        <w:ind w:left="9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governed by, and is to be construed in accordance with, the Laws of province of Ontario and the federal laws of Canada. Each party irrevocably and unconditionally submits to the non-exclusive jurisdiction of the courts of province of Ontario, Canada and any courts that have jurisdiction to hear appeals from any of those courts, and irrevocably waives any right to object to proceedings being brought in those courts on the basis that proceedings have been brought in an inconvenient forum.</w:t>
      </w:r>
    </w:p>
    <w:p>
      <w:pPr>
        <w:spacing w:after="0" w:line="184" w:lineRule="exact"/>
        <w:rPr>
          <w:rFonts w:ascii="Times New Roman" w:cs="Times New Roman" w:eastAsia="Times New Roman" w:hAnsi="Times New Roman"/>
          <w:sz w:val="20"/>
          <w:szCs w:val="20"/>
          <w:color w:val="auto"/>
        </w:rPr>
      </w:pPr>
    </w:p>
    <w:p>
      <w:pPr>
        <w:ind w:left="900" w:hanging="739"/>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p>
    <w:p>
      <w:pPr>
        <w:spacing w:after="0" w:line="215" w:lineRule="exact"/>
        <w:rPr>
          <w:rFonts w:ascii="Times New Roman" w:cs="Times New Roman" w:eastAsia="Times New Roman" w:hAnsi="Times New Roman"/>
          <w:sz w:val="20"/>
          <w:szCs w:val="20"/>
          <w:color w:val="auto"/>
        </w:rPr>
      </w:pPr>
    </w:p>
    <w:p>
      <w:pPr>
        <w:jc w:val="both"/>
        <w:ind w:left="90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This Amendment may be executed and delivered in counterparts and all of which, when taken together, will be deemed to constitute one and the same agreement. A signed copy of this Amendment delivered by facsimile, email or other means of electronic transmission, including electronic signatures, will be deemed to have the same legal effect as delivery of an original signed copy of this Amendment. Each person who executes this Amendment on behalf of a party under a power of attorney or otherwise declares and warrants that he or she is not aware of any fact or circumstance that might affect his or her authority to do so under that power.</w:t>
      </w:r>
    </w:p>
    <w:p>
      <w:pPr>
        <w:spacing w:after="0" w:line="16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this page intentionally left blank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13" w:right="719" w:bottom="1440" w:gutter="0" w:footer="0" w:header="0"/>
        </w:sectPr>
      </w:pPr>
    </w:p>
    <w:bookmarkStart w:id="6" w:name="page7"/>
    <w:bookmarkEnd w:id="6"/>
    <w:p>
      <w:pPr>
        <w:ind w:left="160"/>
        <w:spacing w:after="0"/>
        <w:rPr>
          <w:sz w:val="20"/>
          <w:szCs w:val="20"/>
          <w:color w:val="auto"/>
        </w:rPr>
      </w:pPr>
      <w:r>
        <w:rPr>
          <w:rFonts w:ascii="Times New Roman" w:cs="Times New Roman" w:eastAsia="Times New Roman" w:hAnsi="Times New Roman"/>
          <w:sz w:val="19"/>
          <w:szCs w:val="19"/>
          <w:color w:val="0E0E0E"/>
        </w:rPr>
        <w:t>The undersigned parties have duly executed this Amendment as of the date first written above.</w:t>
      </w:r>
    </w:p>
    <w:p>
      <w:pPr>
        <w:spacing w:after="0" w:line="200" w:lineRule="exact"/>
        <w:rPr>
          <w:sz w:val="20"/>
          <w:szCs w:val="20"/>
          <w:color w:val="auto"/>
        </w:rPr>
      </w:pPr>
    </w:p>
    <w:p>
      <w:pPr>
        <w:spacing w:after="0" w:line="26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0E0E0E"/>
        </w:rPr>
        <w:t>PURCHASER:</w:t>
      </w:r>
    </w:p>
    <w:p>
      <w:pPr>
        <w:spacing w:after="0" w:line="2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0E0E0E"/>
        </w:rPr>
        <w:t>REZOLVE AI LIMITED</w:t>
      </w:r>
    </w:p>
    <w:p>
      <w:pPr>
        <w:spacing w:after="0" w:line="200" w:lineRule="exact"/>
        <w:rPr>
          <w:sz w:val="20"/>
          <w:szCs w:val="20"/>
          <w:color w:val="auto"/>
        </w:rPr>
      </w:pPr>
    </w:p>
    <w:p>
      <w:pPr>
        <w:spacing w:after="0" w:line="263" w:lineRule="exact"/>
        <w:rPr>
          <w:sz w:val="20"/>
          <w:szCs w:val="20"/>
          <w:color w:val="auto"/>
        </w:rPr>
      </w:pPr>
    </w:p>
    <w:p>
      <w:pPr>
        <w:ind w:left="4340"/>
        <w:spacing w:after="0"/>
        <w:tabs>
          <w:tab w:leader="none" w:pos="5100" w:val="left"/>
        </w:tabs>
        <w:rPr>
          <w:sz w:val="20"/>
          <w:szCs w:val="20"/>
          <w:color w:val="auto"/>
        </w:rPr>
      </w:pPr>
      <w:r>
        <w:rPr>
          <w:rFonts w:ascii="Times New Roman" w:cs="Times New Roman" w:eastAsia="Times New Roman" w:hAnsi="Times New Roman"/>
          <w:sz w:val="20"/>
          <w:szCs w:val="20"/>
          <w:color w:val="0E0E0E"/>
        </w:rPr>
        <w:t>By:</w:t>
      </w:r>
      <w:r>
        <w:rPr>
          <w:sz w:val="20"/>
          <w:szCs w:val="20"/>
          <w:color w:val="auto"/>
        </w:rPr>
        <w:tab/>
      </w:r>
      <w:r>
        <w:rPr>
          <w:rFonts w:ascii="Times New Roman" w:cs="Times New Roman" w:eastAsia="Times New Roman" w:hAnsi="Times New Roman"/>
          <w:sz w:val="20"/>
          <w:szCs w:val="20"/>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13970</wp:posOffset>
            </wp:positionV>
            <wp:extent cx="2820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8" w:lineRule="exact"/>
        <w:rPr>
          <w:sz w:val="20"/>
          <w:szCs w:val="20"/>
          <w:color w:val="auto"/>
        </w:rPr>
      </w:pPr>
    </w:p>
    <w:p>
      <w:pPr>
        <w:ind w:left="4340"/>
        <w:spacing w:after="0"/>
        <w:tabs>
          <w:tab w:leader="none" w:pos="5100" w:val="left"/>
        </w:tabs>
        <w:rPr>
          <w:sz w:val="20"/>
          <w:szCs w:val="20"/>
          <w:color w:val="auto"/>
        </w:rPr>
      </w:pPr>
      <w:r>
        <w:rPr>
          <w:rFonts w:ascii="Times New Roman" w:cs="Times New Roman" w:eastAsia="Times New Roman" w:hAnsi="Times New Roman"/>
          <w:sz w:val="20"/>
          <w:szCs w:val="20"/>
          <w:color w:val="0E0E0E"/>
        </w:rPr>
        <w:t>Name:</w:t>
        <w:tab/>
        <w:t>Dan Wagner</w:t>
      </w:r>
    </w:p>
    <w:p>
      <w:pPr>
        <w:spacing w:after="0" w:line="6" w:lineRule="exact"/>
        <w:rPr>
          <w:sz w:val="20"/>
          <w:szCs w:val="20"/>
          <w:color w:val="auto"/>
        </w:rPr>
      </w:pPr>
    </w:p>
    <w:p>
      <w:pPr>
        <w:ind w:left="4340"/>
        <w:spacing w:after="0"/>
        <w:tabs>
          <w:tab w:leader="none" w:pos="5100" w:val="left"/>
        </w:tabs>
        <w:rPr>
          <w:sz w:val="20"/>
          <w:szCs w:val="20"/>
          <w:color w:val="auto"/>
        </w:rPr>
      </w:pPr>
      <w:r>
        <w:rPr>
          <w:rFonts w:ascii="Times New Roman" w:cs="Times New Roman" w:eastAsia="Times New Roman" w:hAnsi="Times New Roman"/>
          <w:sz w:val="20"/>
          <w:szCs w:val="20"/>
          <w:color w:val="0E0E0E"/>
        </w:rPr>
        <w:t>Title:</w:t>
      </w:r>
      <w:r>
        <w:rPr>
          <w:sz w:val="20"/>
          <w:szCs w:val="20"/>
          <w:color w:val="auto"/>
        </w:rPr>
        <w:tab/>
      </w:r>
      <w:r>
        <w:rPr>
          <w:rFonts w:ascii="Times New Roman" w:cs="Times New Roman" w:eastAsia="Times New Roman" w:hAnsi="Times New Roman"/>
          <w:sz w:val="20"/>
          <w:szCs w:val="20"/>
          <w:color w:val="0E0E0E"/>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741680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7" w:name="page8"/>
    <w:bookmarkEnd w:id="7"/>
    <w:p>
      <w:pPr>
        <w:ind w:left="5580"/>
        <w:spacing w:after="0"/>
        <w:rPr>
          <w:sz w:val="20"/>
          <w:szCs w:val="20"/>
          <w:color w:val="auto"/>
        </w:rPr>
      </w:pPr>
      <w:r>
        <w:rPr>
          <w:rFonts w:ascii="Times New Roman" w:cs="Times New Roman" w:eastAsia="Times New Roman" w:hAnsi="Times New Roman"/>
          <w:sz w:val="20"/>
          <w:szCs w:val="20"/>
          <w:b w:val="1"/>
          <w:bCs w:val="1"/>
          <w:color w:val="0E0E0E"/>
        </w:rPr>
        <w:t>SELLER REPRESENTATIVE:</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0E0E0E"/>
        </w:rPr>
        <w:t>FORTIS ADVISORS LLC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40" w:type="dxa"/>
            <w:vAlign w:val="bottom"/>
          </w:tcPr>
          <w:p>
            <w:pPr>
              <w:ind w:left="5580"/>
              <w:spacing w:after="0"/>
              <w:rPr>
                <w:sz w:val="20"/>
                <w:szCs w:val="20"/>
                <w:color w:val="auto"/>
              </w:rPr>
            </w:pPr>
            <w:r>
              <w:rPr>
                <w:rFonts w:ascii="Times New Roman" w:cs="Times New Roman" w:eastAsia="Times New Roman" w:hAnsi="Times New Roman"/>
                <w:sz w:val="20"/>
                <w:szCs w:val="20"/>
                <w:color w:val="0E0E0E"/>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Ryan Simkin</w:t>
            </w:r>
          </w:p>
        </w:tc>
        <w:tc>
          <w:tcPr>
            <w:tcW w:w="560" w:type="dxa"/>
            <w:vAlign w:val="bottom"/>
          </w:tcPr>
          <w:p>
            <w:pPr>
              <w:spacing w:after="0"/>
              <w:rPr>
                <w:sz w:val="21"/>
                <w:szCs w:val="21"/>
                <w:color w:val="auto"/>
              </w:rPr>
            </w:pPr>
          </w:p>
        </w:tc>
      </w:tr>
      <w:tr>
        <w:trPr>
          <w:trHeight w:val="200"/>
        </w:trPr>
        <w:tc>
          <w:tcPr>
            <w:tcW w:w="6240" w:type="dxa"/>
            <w:vAlign w:val="bottom"/>
          </w:tcPr>
          <w:p>
            <w:pPr>
              <w:ind w:left="5580"/>
              <w:spacing w:after="0" w:line="200" w:lineRule="exact"/>
              <w:rPr>
                <w:sz w:val="20"/>
                <w:szCs w:val="20"/>
                <w:color w:val="auto"/>
              </w:rPr>
            </w:pPr>
            <w:r>
              <w:rPr>
                <w:rFonts w:ascii="Times New Roman" w:cs="Times New Roman" w:eastAsia="Times New Roman" w:hAnsi="Times New Roman"/>
                <w:sz w:val="20"/>
                <w:szCs w:val="20"/>
                <w:color w:val="0E0E0E"/>
              </w:rPr>
              <w:t>Name:</w:t>
            </w:r>
          </w:p>
        </w:tc>
        <w:tc>
          <w:tcPr>
            <w:tcW w:w="44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0E0E0E"/>
              </w:rPr>
              <w:t>Ryan Simkin</w:t>
            </w:r>
          </w:p>
        </w:tc>
        <w:tc>
          <w:tcPr>
            <w:tcW w:w="560" w:type="dxa"/>
            <w:vAlign w:val="bottom"/>
          </w:tcPr>
          <w:p>
            <w:pPr>
              <w:spacing w:after="0"/>
              <w:rPr>
                <w:sz w:val="17"/>
                <w:szCs w:val="17"/>
                <w:color w:val="auto"/>
              </w:rPr>
            </w:pPr>
          </w:p>
        </w:tc>
      </w:tr>
      <w:tr>
        <w:trPr>
          <w:trHeight w:val="258"/>
        </w:trPr>
        <w:tc>
          <w:tcPr>
            <w:tcW w:w="6240" w:type="dxa"/>
            <w:vAlign w:val="bottom"/>
          </w:tcPr>
          <w:p>
            <w:pPr>
              <w:ind w:left="5580"/>
              <w:spacing w:after="0"/>
              <w:rPr>
                <w:sz w:val="20"/>
                <w:szCs w:val="20"/>
                <w:color w:val="auto"/>
              </w:rPr>
            </w:pPr>
            <w:r>
              <w:rPr>
                <w:rFonts w:ascii="Times New Roman" w:cs="Times New Roman" w:eastAsia="Times New Roman" w:hAnsi="Times New Roman"/>
                <w:sz w:val="20"/>
                <w:szCs w:val="20"/>
                <w:color w:val="0E0E0E"/>
              </w:rPr>
              <w:t>Title:</w:t>
            </w: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0E0E0E"/>
              </w:rPr>
              <w:t>Managing Director</w:t>
            </w:r>
          </w:p>
        </w:tc>
        <w:tc>
          <w:tcPr>
            <w:tcW w:w="560" w:type="dxa"/>
            <w:vAlign w:val="bottom"/>
          </w:tcPr>
          <w:p>
            <w:pPr>
              <w:spacing w:after="0"/>
              <w:rPr>
                <w:sz w:val="22"/>
                <w:szCs w:val="22"/>
                <w:color w:val="auto"/>
              </w:rPr>
            </w:pPr>
          </w:p>
        </w:tc>
      </w:tr>
      <w:tr>
        <w:trPr>
          <w:trHeight w:val="1189"/>
        </w:trPr>
        <w:tc>
          <w:tcPr>
            <w:tcW w:w="62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lvl w:ilvl="1">
      <w:lvlJc w:val="left"/>
      <w:lvlText w:val="(%2)"/>
      <w:numFmt w:val="lowerRoman"/>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2025-03-06T16:20:49Z</dcterms:created>
  <dcterms:modified xsi:type="dcterms:W3CDTF">2025-03-06T16:20:49Z</dcterms:modified>
</cp:coreProperties>
</file>