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zlv-20250509.htm"/>
      <w:bookmarkStart w:id="1" w:name="ksrzlv20250509"/>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333-282004</w:t>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PROSPECTUS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w:t>
      </w:r>
    </w:p>
    <w:p>
      <w:pPr>
        <w:pStyle w:val="TextBody"/>
        <w:bidi w:val="0"/>
        <w:spacing w:before="240" w:after="283"/>
        <w:jc w:val="center"/>
        <w:rPr>
          <w:rFonts w:ascii="Times New Roman" w:hAnsi="Times New Roman"/>
          <w:sz w:val="20"/>
        </w:rPr>
      </w:pPr>
      <w:r>
        <w:rPr>
          <w:rFonts w:ascii="Times New Roman" w:hAnsi="Times New Roman"/>
          <w:b/>
          <w:color w:val="000000"/>
          <w:sz w:val="20"/>
        </w:rPr>
        <w:t xml:space="preserve">Up to 7,499,994 Ordinary Shares </w:t>
      </w:r>
      <w:r>
        <w:rPr>
          <w:rFonts w:ascii="Times New Roman" w:hAnsi="Times New Roman"/>
          <w:b/>
          <w:i/>
          <w:color w:val="000000"/>
          <w:sz w:val="20"/>
        </w:rPr>
        <w:t>(for issuance)</w:t>
      </w:r>
    </w:p>
    <w:p>
      <w:pPr>
        <w:pStyle w:val="TextBody"/>
        <w:bidi w:val="0"/>
        <w:spacing w:before="240" w:after="283"/>
        <w:jc w:val="center"/>
        <w:rPr>
          <w:rFonts w:ascii="Times New Roman" w:hAnsi="Times New Roman"/>
          <w:sz w:val="20"/>
        </w:rPr>
      </w:pPr>
      <w:r>
        <w:rPr>
          <w:rFonts w:ascii="Times New Roman" w:hAnsi="Times New Roman"/>
          <w:b/>
          <w:color w:val="000000"/>
          <w:sz w:val="20"/>
        </w:rPr>
        <w:t xml:space="preserve">Up to 156,515,540 Ordinary Shares </w:t>
      </w:r>
      <w:r>
        <w:rPr>
          <w:rFonts w:ascii="Times New Roman" w:hAnsi="Times New Roman"/>
          <w:b/>
          <w:i/>
          <w:color w:val="000000"/>
          <w:sz w:val="20"/>
        </w:rPr>
        <w:t>(for resale)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This prospectus relates to the issuance by us of up to 7,499,994 ordinary shares, par value </w:t>
      </w:r>
      <w:r>
        <w:rPr>
          <w:rFonts w:ascii="Times New Roman" w:hAnsi="Times New Roman"/>
          <w:color w:val="000000"/>
          <w:sz w:val="19"/>
        </w:rPr>
        <w:t>£</w:t>
      </w:r>
      <w:r>
        <w:rPr>
          <w:rFonts w:ascii="Times New Roman" w:hAnsi="Times New Roman"/>
          <w:color w:val="000000"/>
          <w:sz w:val="20"/>
        </w:rPr>
        <w:t>0.0001 (“</w:t>
      </w:r>
      <w:r>
        <w:rPr>
          <w:rFonts w:ascii="Times New Roman" w:hAnsi="Times New Roman"/>
          <w:b/>
          <w:i/>
          <w:color w:val="000000"/>
          <w:sz w:val="20"/>
        </w:rPr>
        <w:t>Ordinary Shares</w:t>
      </w:r>
      <w:r>
        <w:rPr>
          <w:rFonts w:ascii="Times New Roman" w:hAnsi="Times New Roman"/>
          <w:color w:val="000000"/>
          <w:sz w:val="20"/>
        </w:rPr>
        <w:t>”), issuable upon the exercise of public warrants to purchase Ordinary Shares at a price of $11.50 per share (“</w:t>
      </w:r>
      <w:r>
        <w:rPr>
          <w:rFonts w:ascii="Times New Roman" w:hAnsi="Times New Roman"/>
          <w:b/>
          <w:i/>
          <w:color w:val="000000"/>
          <w:sz w:val="20"/>
        </w:rPr>
        <w:t>Public Warrants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We are also registering for resale by certain selling securityholders named herein (the “</w:t>
      </w:r>
      <w:r>
        <w:rPr>
          <w:rFonts w:ascii="Times New Roman" w:hAnsi="Times New Roman"/>
          <w:b/>
          <w:i/>
          <w:color w:val="000000"/>
          <w:sz w:val="20"/>
        </w:rPr>
        <w:t>Selling Holders</w:t>
      </w:r>
      <w:r>
        <w:rPr>
          <w:rFonts w:ascii="Times New Roman" w:hAnsi="Times New Roman"/>
          <w:color w:val="000000"/>
          <w:sz w:val="20"/>
        </w:rPr>
        <w:t>”) an aggregate of up to 156,515,540 Ordinary Shares, consisting of (i) up to 121,156,424 Ordinary Shares; (ii) up to 544,982 Ordinary Shares issuable upon the exercise of private warrants to purchase Ordinary Shares at a price of $8.00 per share (“</w:t>
      </w:r>
      <w:r>
        <w:rPr>
          <w:rFonts w:ascii="Times New Roman" w:hAnsi="Times New Roman"/>
          <w:b/>
          <w:i/>
          <w:color w:val="000000"/>
          <w:sz w:val="20"/>
        </w:rPr>
        <w:t>Private Warrants</w:t>
      </w:r>
      <w:r>
        <w:rPr>
          <w:rFonts w:ascii="Times New Roman" w:hAnsi="Times New Roman"/>
          <w:color w:val="000000"/>
          <w:sz w:val="20"/>
        </w:rPr>
        <w:t>” and together with the Public Warrants, the "</w:t>
      </w:r>
      <w:r>
        <w:rPr>
          <w:rFonts w:ascii="Times New Roman" w:hAnsi="Times New Roman"/>
          <w:b/>
          <w:i/>
          <w:color w:val="000000"/>
          <w:sz w:val="20"/>
        </w:rPr>
        <w:t>Warrants</w:t>
      </w:r>
      <w:r>
        <w:rPr>
          <w:rFonts w:ascii="Times New Roman" w:hAnsi="Times New Roman"/>
          <w:color w:val="000000"/>
          <w:sz w:val="20"/>
        </w:rPr>
        <w:t>"); (iii) 19,079,139 Ordinary Shares issuable upon the conversion of the Convertible Notes (as defined herein); (iv) 15,207,479 Ordinary Shares issuable pursuant to the advanced subscription agreements; (v) 527,516 Ordinary Shares issuable upon the conversion of the Promissory Notes (as defined herein).</w:t>
      </w:r>
    </w:p>
    <w:p>
      <w:pPr>
        <w:pStyle w:val="TextBody"/>
        <w:bidi w:val="0"/>
        <w:spacing w:before="240" w:after="283"/>
        <w:jc w:val="left"/>
        <w:rPr>
          <w:rFonts w:ascii="Times New Roman" w:hAnsi="Times New Roman"/>
          <w:sz w:val="20"/>
        </w:rPr>
      </w:pPr>
      <w:r>
        <w:rPr>
          <w:rFonts w:ascii="Times New Roman" w:hAnsi="Times New Roman"/>
          <w:color w:val="000000"/>
          <w:sz w:val="20"/>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hAnsi="Times New Roman"/>
          <w:i/>
          <w:color w:val="000000"/>
          <w:sz w:val="20"/>
        </w:rPr>
        <w:t>Risk Factors — </w:t>
      </w:r>
      <w:r>
        <w:rPr>
          <w:rFonts w:ascii="Times New Roman" w:hAnsi="Times New Roman"/>
          <w:color w:val="000000"/>
          <w:sz w:val="20"/>
        </w:rPr>
        <w:t xml:space="preserve"> </w:t>
      </w:r>
      <w:r>
        <w:rPr>
          <w:rFonts w:ascii="Times New Roman" w:hAnsi="Times New Roman"/>
          <w:i/>
          <w:color w:val="000000"/>
          <w:sz w:val="20"/>
        </w:rPr>
        <w:t>Risks Related to Ownership of Ordinary Shares and Rezolve Operating as a Public Company — </w:t>
      </w:r>
      <w:r>
        <w:rPr>
          <w:rFonts w:ascii="Times New Roman" w:hAnsi="Times New Roman"/>
          <w:color w:val="000000"/>
          <w:sz w:val="20"/>
        </w:rPr>
        <w:t xml:space="preserve"> </w:t>
      </w:r>
      <w:r>
        <w:rPr>
          <w:rFonts w:ascii="Times New Roman" w:hAnsi="Times New Roman"/>
          <w:i/>
          <w:color w:val="000000"/>
          <w:sz w:val="20"/>
        </w:rPr>
        <w:t>The trading price of Ordinary Shares could be volatile, and the value of Ordinary Shares may decline.</w:t>
      </w:r>
      <w:r>
        <w:rPr>
          <w:rFonts w:ascii="Times New Roman" w:hAnsi="Times New Roman"/>
          <w:color w:val="000000"/>
          <w:sz w:val="20"/>
        </w:rPr>
        <w:t>”). The Ordinary Shares being offered for resale pursuant to this prospectus by the Selling Holders represent approximately 64.23% of the outstanding Ordinary Shares as of the date of this prospectus, assuming the exercise of all Warrants.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pStyle w:val="TextBody"/>
        <w:bidi w:val="0"/>
        <w:spacing w:before="240" w:after="283"/>
        <w:jc w:val="left"/>
        <w:rPr>
          <w:rFonts w:ascii="Times New Roman" w:hAnsi="Times New Roman"/>
          <w:sz w:val="20"/>
        </w:rPr>
      </w:pPr>
      <w:r>
        <w:rPr>
          <w:rFonts w:ascii="Times New Roman" w:hAnsi="Times New Roman"/>
          <w:color w:val="000000"/>
          <w:sz w:val="20"/>
        </w:rPr>
        <w:t>We will not receive any proceeds from the sale of the Ordinary Shares by the Selling Holders pursuant to this prospectus. We also will not receive any proceeds from the issuance of the Ordinary Shares by us pursuant to this prospectus, except with respect to amounts received by us upon exercise of the Warrants to the extent such Warrants are exercised for cash. However, as of the date of this prospectus, the Public Warrants are “out-of-the money,” which means that the trading price of Ordinary Shares underlying the Public Warrants is below the $11.50 exercise price of the Public Warrants. For so long as the Public Warrants remain “out-of-the money,” we do not expect warrant holders to exercise their Public Warrants and, therefore, we do not expect to receive cash proceeds from any such exercise. See the risk factor entitled “</w:t>
      </w:r>
      <w:r>
        <w:rPr>
          <w:rFonts w:ascii="Times New Roman" w:hAnsi="Times New Roman"/>
          <w:i/>
          <w:color w:val="000000"/>
          <w:sz w:val="20"/>
        </w:rPr>
        <w:t>There can be no assurance that the Public Warrants will ever be in the money at the time they become exercisable or otherwise, and they may expire worthless”</w:t>
      </w:r>
      <w:r>
        <w:rPr>
          <w:rFonts w:ascii="Times New Roman" w:hAnsi="Times New Roman"/>
          <w:color w:val="000000"/>
          <w:sz w:val="20"/>
        </w:rPr>
        <w:t xml:space="preserve"> for more information. We will pay the expenses, other than underwriting 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hAnsi="Times New Roman"/>
          <w:i/>
          <w:color w:val="000000"/>
          <w:sz w:val="20"/>
        </w:rPr>
        <w:t>Plan of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prospectus and any prospectus supplement or amendment carefully before you invest in our securities.</w:t>
      </w:r>
    </w:p>
    <w:p>
      <w:pPr>
        <w:pStyle w:val="TextBody"/>
        <w:bidi w:val="0"/>
        <w:spacing w:before="240" w:after="283"/>
        <w:jc w:val="left"/>
        <w:rPr>
          <w:rFonts w:ascii="Times New Roman" w:hAnsi="Times New Roman"/>
          <w:sz w:val="20"/>
        </w:rPr>
      </w:pPr>
      <w:r>
        <w:rPr>
          <w:rFonts w:ascii="Times New Roman" w:hAnsi="Times New Roman"/>
          <w:color w:val="000000"/>
          <w:sz w:val="20"/>
        </w:rPr>
        <w:t>The Ordinary Shares and the Public Warrants are traded on The Nasdaq Stock Market LLC (“</w:t>
      </w:r>
      <w:r>
        <w:rPr>
          <w:rFonts w:ascii="Times New Roman" w:hAnsi="Times New Roman"/>
          <w:b/>
          <w:i/>
          <w:color w:val="000000"/>
          <w:sz w:val="20"/>
        </w:rPr>
        <w:t>Nasdaq</w:t>
      </w:r>
      <w:r>
        <w:rPr>
          <w:rFonts w:ascii="Times New Roman" w:hAnsi="Times New Roman"/>
          <w:color w:val="000000"/>
          <w:sz w:val="20"/>
        </w:rPr>
        <w:t>”) under the symbols “RZLV” and “RZLVW,” respectively. On May 8, 2025, the closing price of the Ordinary Shares was $2.30 per share and the closing price of the Public Warrants was $0.62 per warrant.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Investing in our securities involves risks. See </w:t>
      </w:r>
      <w:r>
        <w:rPr>
          <w:rFonts w:ascii="Times New Roman" w:hAnsi="Times New Roman"/>
          <w:color w:val="000000"/>
          <w:sz w:val="20"/>
        </w:rPr>
        <w:t>“</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beginning on page 12 and in any applicable prospectus supplement.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None of the U.S. Securities and Exchange Commission or any state securities commission has approved or disapproved of the securities or determined if this prospectus is accurate or adequate. Any representation to the contrary is a criminal offense.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date of this prospectus is May 9,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168" w:type="dxa"/>
        <w:jc w:val="left"/>
        <w:tblInd w:w="0" w:type="dxa"/>
        <w:tblLayout w:type="fixed"/>
        <w:tblCellMar>
          <w:top w:w="28" w:type="dxa"/>
          <w:left w:w="28" w:type="dxa"/>
          <w:bottom w:w="28" w:type="dxa"/>
          <w:right w:w="28" w:type="dxa"/>
        </w:tblCellMar>
      </w:tblPr>
      <w:tblGrid>
        <w:gridCol w:w="9556"/>
        <w:gridCol w:w="146"/>
        <w:gridCol w:w="466"/>
      </w:tblGrid>
      <w:tr>
        <w:trPr/>
        <w:tc>
          <w:tcPr>
            <w:tcW w:w="9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about_this_prospectus">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trademarks">
              <w:r>
                <w:rPr>
                  <w:rStyle w:val="InternetLink"/>
                  <w:rFonts w:ascii="Times New Roman" w:hAnsi="Times New Roman"/>
                  <w:color w:val="0000FF"/>
                  <w:sz w:val="20"/>
                  <w:u w:val="single"/>
                </w:rPr>
                <w:t>TRADEMARKS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selected_definitions">
              <w:r>
                <w:rPr>
                  <w:rStyle w:val="InternetLink"/>
                  <w:rFonts w:ascii="Times New Roman" w:hAnsi="Times New Roman"/>
                  <w:color w:val="0000FF"/>
                  <w:sz w:val="20"/>
                  <w:u w:val="single"/>
                </w:rPr>
                <w:t>SELECTED DEFINITIONS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autionary_note_regarding_forward">
              <w:r>
                <w:rPr>
                  <w:rStyle w:val="InternetLink"/>
                  <w:rFonts w:ascii="Times New Roman" w:hAnsi="Times New Roman"/>
                  <w:color w:val="0000FF"/>
                  <w:sz w:val="20"/>
                  <w:u w:val="single"/>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the_offering">
              <w:r>
                <w:rPr>
                  <w:rStyle w:val="InternetLink"/>
                  <w:rFonts w:ascii="Times New Roman" w:hAnsi="Times New Roman"/>
                  <w:color w:val="0000FF"/>
                  <w:sz w:val="20"/>
                  <w:u w:val="single"/>
                </w:rPr>
                <w:t>THE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unaudited_pro_forma_condensed">
              <w:r>
                <w:rPr>
                  <w:rStyle w:val="InternetLink"/>
                  <w:rFonts w:ascii="Times New Roman" w:hAnsi="Times New Roman"/>
                  <w:color w:val="0000FF"/>
                  <w:sz w:val="20"/>
                  <w:u w:val="single"/>
                </w:rPr>
                <w:t>UNAUDITED PRO FORMA CONDENSED COMBINED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_o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business_of_rezolve">
              <w:r>
                <w:rPr>
                  <w:rStyle w:val="InternetLink"/>
                  <w:rFonts w:ascii="Times New Roman" w:hAnsi="Times New Roman"/>
                  <w:color w:val="0000FF"/>
                  <w:sz w:val="20"/>
                  <w:u w:val="single"/>
                </w:rPr>
                <w:t>BUSINESS OF REZOLVE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management_and_compensation">
              <w:r>
                <w:rPr>
                  <w:rStyle w:val="InternetLink"/>
                  <w:rFonts w:ascii="Times New Roman" w:hAnsi="Times New Roman"/>
                  <w:color w:val="0000FF"/>
                  <w:sz w:val="20"/>
                  <w:u w:val="single"/>
                </w:rPr>
                <w:t>MANAGEMENT AND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_party">
              <w:r>
                <w:rPr>
                  <w:rStyle w:val="InternetLink"/>
                  <w:rFonts w:ascii="Times New Roman" w:hAnsi="Times New Roman"/>
                  <w:color w:val="0000FF"/>
                  <w:sz w:val="20"/>
                  <w:u w:val="single"/>
                </w:rPr>
                <w:t>CERTAIN RELATIONSHIPS AND RELATED PARTY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beneficial_ownership_of_securities">
              <w:r>
                <w:rPr>
                  <w:rStyle w:val="InternetLink"/>
                  <w:rFonts w:ascii="Times New Roman" w:hAnsi="Times New Roman"/>
                  <w:color w:val="0000FF"/>
                  <w:sz w:val="20"/>
                  <w:u w:val="single"/>
                </w:rPr>
                <w:t>BENEFICIAL OWNERSHIP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selling_holders">
              <w:r>
                <w:rPr>
                  <w:rStyle w:val="InternetLink"/>
                  <w:rFonts w:ascii="Times New Roman" w:hAnsi="Times New Roman"/>
                  <w:color w:val="0000FF"/>
                  <w:sz w:val="20"/>
                  <w:u w:val="single"/>
                </w:rPr>
                <w:t>SELLING 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description_of_ordinary">
              <w:r>
                <w:rPr>
                  <w:rStyle w:val="InternetLink"/>
                  <w:rFonts w:ascii="Times New Roman" w:hAnsi="Times New Roman"/>
                  <w:color w:val="0000FF"/>
                  <w:sz w:val="20"/>
                  <w:u w:val="single"/>
                </w:rPr>
                <w:t>DESCRIPTION OF ORDINARY SHARES, ARTICLES OF ASSOCIATION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us_federal_income_tax_considerations">
              <w:r>
                <w:rPr>
                  <w:rStyle w:val="InternetLink"/>
                  <w:rFonts w:ascii="Times New Roman" w:hAnsi="Times New Roman"/>
                  <w:color w:val="0000FF"/>
                  <w:sz w:val="20"/>
                  <w:u w:val="single"/>
                </w:rPr>
                <w:t>MATERIAL TAX CONSIDERATIONS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lan_of_distribution">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expenses_related_to_this_ffering">
              <w:r>
                <w:rPr>
                  <w:rStyle w:val="InternetLink"/>
                  <w:rFonts w:ascii="Times New Roman" w:hAnsi="Times New Roman"/>
                  <w:color w:val="0000FF"/>
                  <w:sz w:val="20"/>
                  <w:u w:val="single"/>
                </w:rPr>
                <w:t>EXPENSES RELATED TO THIS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enforceability_of_civil_liability">
              <w:r>
                <w:rPr>
                  <w:rStyle w:val="InternetLink"/>
                  <w:rFonts w:ascii="Times New Roman" w:hAnsi="Times New Roman"/>
                  <w:color w:val="0000FF"/>
                  <w:sz w:val="20"/>
                  <w:u w:val="single"/>
                </w:rPr>
                <w:t>ENFORCEABILITY OF CIVIL LIABILITY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 w:name="about_this_prospectus"/>
      <w:bookmarkEnd w:id="2"/>
      <w:r>
        <w:rPr>
          <w:rFonts w:ascii="Times New Roman" w:hAnsi="Times New Roman"/>
          <w:b/>
          <w:caps/>
          <w:color w:val="000000"/>
          <w:sz w:val="20"/>
        </w:rPr>
        <w:t>ABOUT THIS PROSPECTUS</w:t>
      </w:r>
    </w:p>
    <w:p>
      <w:pPr>
        <w:pStyle w:val="TextBody"/>
        <w:bidi w:val="0"/>
        <w:spacing w:before="200" w:after="283"/>
        <w:jc w:val="left"/>
        <w:rPr>
          <w:rFonts w:ascii="Times New Roman" w:hAnsi="Times New Roman"/>
          <w:sz w:val="20"/>
        </w:rPr>
      </w:pPr>
      <w:r>
        <w:rPr>
          <w:rFonts w:ascii="Times New Roman" w:hAnsi="Times New Roman"/>
          <w:color w:val="000000"/>
          <w:sz w:val="20"/>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7,499,994 Ordinary Shares upon exercise of the Public Warrants. The Selling Holders may use the shelf registration statement to sell up to an aggregate of 185,068,790 Ordinary Shares from time to time through any means described in the section entitled “</w:t>
      </w:r>
      <w:r>
        <w:rPr>
          <w:rFonts w:ascii="Times New Roman" w:hAnsi="Times New Roman"/>
          <w:i/>
          <w:color w:val="000000"/>
          <w:sz w:val="20"/>
        </w:rPr>
        <w:t>Plan of Distribution</w:t>
      </w:r>
      <w:r>
        <w:rPr>
          <w:rFonts w:ascii="Times New Roman" w:hAnsi="Times New Roman"/>
          <w:color w:val="000000"/>
          <w:sz w:val="20"/>
        </w:rPr>
        <w:t xml:space="preserve">.” More specific terms of any securities that the Selling Holders offer and sell may be provided in a prospectus supplement that describes, among other things, the specific amounts and prices of the Ordinary Shares and/or warrants being offered and the terms of the offering the Selling Holders may, from time to time, issue, offer and sell, as applicable, any combination of the securities described in this prospectus in one or more offerings. </w:t>
      </w:r>
    </w:p>
    <w:p>
      <w:pPr>
        <w:pStyle w:val="TextBody"/>
        <w:bidi w:val="0"/>
        <w:spacing w:before="240" w:after="283"/>
        <w:jc w:val="left"/>
        <w:rPr>
          <w:rFonts w:ascii="Times New Roman" w:hAnsi="Times New Roman"/>
          <w:sz w:val="20"/>
        </w:rPr>
      </w:pPr>
      <w:r>
        <w:rPr>
          <w:rFonts w:ascii="Times New Roman" w:hAnsi="Times New Roman"/>
          <w:color w:val="000000"/>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hAnsi="Times New Roman"/>
          <w:i/>
          <w:color w:val="000000"/>
          <w:sz w:val="20"/>
        </w:rPr>
        <w:t>Where You Can Find More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240" w:after="283"/>
        <w:jc w:val="left"/>
        <w:rPr>
          <w:rFonts w:ascii="Times New Roman" w:hAnsi="Times New Roman"/>
          <w:sz w:val="20"/>
        </w:rPr>
      </w:pPr>
      <w:r>
        <w:rPr>
          <w:rFonts w:ascii="Times New Roman" w:hAnsi="Times New Roman"/>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hAnsi="Times New Roman"/>
          <w:i/>
          <w:color w:val="000000"/>
          <w:sz w:val="20"/>
        </w:rPr>
        <w:t>Where You Can Find More Information.”</w:t>
      </w:r>
    </w:p>
    <w:p>
      <w:pPr>
        <w:pStyle w:val="TextBody"/>
        <w:bidi w:val="0"/>
        <w:spacing w:before="240" w:after="283"/>
        <w:jc w:val="left"/>
        <w:rPr>
          <w:rFonts w:ascii="Times New Roman" w:hAnsi="Times New Roman"/>
          <w:sz w:val="20"/>
        </w:rPr>
      </w:pPr>
      <w:r>
        <w:rPr>
          <w:rFonts w:ascii="Times New Roman" w:hAnsi="Times New Roman"/>
          <w:color w:val="000000"/>
          <w:sz w:val="20"/>
        </w:rPr>
        <w:t>On August 15, 2024 (the “</w:t>
      </w:r>
      <w:r>
        <w:rPr>
          <w:rFonts w:ascii="Times New Roman" w:hAnsi="Times New Roman"/>
          <w:b/>
          <w:i/>
          <w:color w:val="000000"/>
          <w:sz w:val="20"/>
        </w:rPr>
        <w:t>Closing Date</w:t>
      </w:r>
      <w:r>
        <w:rPr>
          <w:rFonts w:ascii="Times New Roman" w:hAnsi="Times New Roman"/>
          <w:color w:val="000000"/>
          <w:sz w:val="20"/>
        </w:rPr>
        <w:t>”) Armada Acquisition Corp. I, a Delaware corporation (“</w:t>
      </w:r>
      <w:r>
        <w:rPr>
          <w:rFonts w:ascii="Times New Roman" w:hAnsi="Times New Roman"/>
          <w:b/>
          <w:i/>
          <w:color w:val="000000"/>
          <w:sz w:val="20"/>
        </w:rPr>
        <w:t>Armada</w:t>
      </w:r>
      <w:r>
        <w:rPr>
          <w:rFonts w:ascii="Times New Roman" w:hAnsi="Times New Roman"/>
          <w:color w:val="000000"/>
          <w:sz w:val="20"/>
        </w:rPr>
        <w:t>”), Rezolve AI Limited, a private limited company registered under the laws of England and Wales with registration number 14573691 (the “</w:t>
      </w:r>
      <w:r>
        <w:rPr>
          <w:rFonts w:ascii="Times New Roman" w:hAnsi="Times New Roman"/>
          <w:b/>
          <w:i/>
          <w:color w:val="000000"/>
          <w:sz w:val="20"/>
        </w:rPr>
        <w:t>Company</w:t>
      </w:r>
      <w:r>
        <w:rPr>
          <w:rFonts w:ascii="Times New Roman" w:hAnsi="Times New Roman"/>
          <w:color w:val="000000"/>
          <w:sz w:val="20"/>
        </w:rPr>
        <w:t>” or “</w:t>
      </w:r>
      <w:r>
        <w:rPr>
          <w:rFonts w:ascii="Times New Roman" w:hAnsi="Times New Roman"/>
          <w:b/>
          <w:i/>
          <w:color w:val="000000"/>
          <w:sz w:val="20"/>
        </w:rPr>
        <w:t>Rezolve</w:t>
      </w:r>
      <w:r>
        <w:rPr>
          <w:rFonts w:ascii="Times New Roman" w:hAnsi="Times New Roman"/>
          <w:color w:val="000000"/>
          <w:sz w:val="20"/>
        </w:rPr>
        <w:t>”) and Rezolve Merger Sub, Inc., a Delaware corporation (“</w:t>
      </w:r>
      <w:r>
        <w:rPr>
          <w:rFonts w:ascii="Times New Roman" w:hAnsi="Times New Roman"/>
          <w:b/>
          <w:i/>
          <w:color w:val="000000"/>
          <w:sz w:val="20"/>
        </w:rPr>
        <w:t>Rezolve Merger Sub</w:t>
      </w:r>
      <w:r>
        <w:rPr>
          <w:rFonts w:ascii="Times New Roman" w:hAnsi="Times New Roman"/>
          <w:color w:val="000000"/>
          <w:sz w:val="20"/>
        </w:rPr>
        <w:t>”), consummated the business combination pursuant to the terms of the Business Combination Agreement, dated as of December 17, 2021 (as amended or supplemented from time to time, the “</w:t>
      </w:r>
      <w:r>
        <w:rPr>
          <w:rFonts w:ascii="Times New Roman" w:hAnsi="Times New Roman"/>
          <w:b/>
          <w:i/>
          <w:color w:val="000000"/>
          <w:sz w:val="20"/>
        </w:rPr>
        <w:t>Business Combination Agreement</w:t>
      </w:r>
      <w:r>
        <w:rPr>
          <w:rFonts w:ascii="Times New Roman" w:hAnsi="Times New Roman"/>
          <w:color w:val="000000"/>
          <w:sz w:val="20"/>
        </w:rPr>
        <w:t>”), pursuant to which, among other things, (i) on July 4, 2024, Rezolve Limited, a private limited company organized under the laws of England and Wales ("</w:t>
      </w:r>
      <w:r>
        <w:rPr>
          <w:rFonts w:ascii="Times New Roman" w:hAnsi="Times New Roman"/>
          <w:b/>
          <w:i/>
          <w:color w:val="000000"/>
          <w:sz w:val="20"/>
        </w:rPr>
        <w:t>Rezolve Limited</w:t>
      </w:r>
      <w:r>
        <w:rPr>
          <w:rFonts w:ascii="Times New Roman" w:hAnsi="Times New Roman"/>
          <w:color w:val="000000"/>
          <w:sz w:val="20"/>
        </w:rPr>
        <w:t>") effected a pre-Closing demerger (the “</w:t>
      </w:r>
      <w:r>
        <w:rPr>
          <w:rFonts w:ascii="Times New Roman" w:hAnsi="Times New Roman"/>
          <w:b/>
          <w:i/>
          <w:color w:val="000000"/>
          <w:sz w:val="20"/>
        </w:rPr>
        <w:t>Pre-Closing Demerger</w:t>
      </w:r>
      <w:r>
        <w:rPr>
          <w:rFonts w:ascii="Times New Roman" w:hAnsi="Times New Roman"/>
          <w:color w:val="000000"/>
          <w:sz w:val="20"/>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should be remembered that the price of securities and the income from them can go down as well as 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are in any doubt about the contents of this prospectus, you should consult your stockbroker, bank manager, solicitor, accountant or financial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indicates otherwise, references to the “Company,” “Rezolve,” “we,” “us” and “our”, prior to the Pre-Closing Demerger, refer to Rezolve Limited and after the Pre-Closing Demerger, Rezolve AI plc (formerly Rezolve AI Limited), including its subsidiaries.</w:t>
      </w:r>
    </w:p>
    <w:p>
      <w:pPr>
        <w:pStyle w:val="TextBody"/>
        <w:bidi w:val="0"/>
        <w:spacing w:before="200" w:after="283"/>
        <w:jc w:val="center"/>
        <w:rPr>
          <w:rFonts w:ascii="Times New Roman" w:hAnsi="Times New Roman"/>
          <w:b/>
          <w:caps/>
          <w:color w:val="000000"/>
          <w:sz w:val="20"/>
        </w:rPr>
      </w:pPr>
      <w:bookmarkStart w:id="3" w:name="trademarks"/>
      <w:bookmarkEnd w:id="3"/>
      <w:r>
        <w:rPr>
          <w:rFonts w:ascii="Times New Roman" w:hAnsi="Times New Roman"/>
          <w:b/>
          <w:caps/>
          <w:color w:val="000000"/>
          <w:sz w:val="20"/>
        </w:rPr>
        <w:t>TRADEMARKS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200" w:after="283"/>
        <w:jc w:val="center"/>
        <w:rPr>
          <w:rFonts w:ascii="Times New Roman" w:hAnsi="Times New Roman"/>
          <w:b/>
          <w:caps/>
          <w:color w:val="000000"/>
          <w:sz w:val="20"/>
        </w:rPr>
      </w:pPr>
      <w:r>
        <w:rPr>
          <w:rFonts w:ascii="Times New Roman" w:hAnsi="Times New Roman"/>
          <w:b/>
          <w:caps/>
          <w:color w:val="000000"/>
          <w:sz w:val="20"/>
        </w:rPr>
        <w:t>Market and Industry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pStyle w:val="TextBody"/>
        <w:bidi w:val="0"/>
        <w:spacing w:before="200" w:after="283"/>
        <w:jc w:val="center"/>
        <w:rPr>
          <w:rFonts w:ascii="Times New Roman" w:hAnsi="Times New Roman"/>
          <w:b/>
          <w:caps/>
          <w:color w:val="000000"/>
          <w:sz w:val="20"/>
        </w:rPr>
      </w:pPr>
      <w:bookmarkStart w:id="4" w:name="selected_definitions"/>
      <w:bookmarkEnd w:id="4"/>
      <w:r>
        <w:rPr>
          <w:rFonts w:ascii="Times New Roman" w:hAnsi="Times New Roman"/>
          <w:b/>
          <w:caps/>
          <w:color w:val="000000"/>
          <w:sz w:val="20"/>
        </w:rPr>
        <w:t>SELECTED DEFINITIONS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Terms defined in the body of this document shall have the meanings attributed to them therein and in addition the following terms shall have the following meanings: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Armada</w:t>
      </w:r>
      <w:r>
        <w:rPr>
          <w:rFonts w:ascii="Times New Roman" w:hAnsi="Times New Roman"/>
          <w:color w:val="000000"/>
          <w:sz w:val="20"/>
        </w:rPr>
        <w:t xml:space="preserve">” means Armada Acquisition Corp. I, a Delaware corporation;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Armada Common Stock</w:t>
      </w:r>
      <w:r>
        <w:rPr>
          <w:rFonts w:ascii="Times New Roman" w:hAnsi="Times New Roman"/>
          <w:color w:val="000000"/>
          <w:sz w:val="20"/>
        </w:rPr>
        <w:t>” means, prior to the Business Combination, an issued and outstanding share of common stock of Armada;</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Armada Unit</w:t>
      </w:r>
      <w:r>
        <w:rPr>
          <w:rFonts w:ascii="Times New Roman" w:hAnsi="Times New Roman"/>
          <w:color w:val="000000"/>
          <w:sz w:val="20"/>
        </w:rPr>
        <w:t>” means, prior to the Business Combination, an issued and outstanding unit of Armada;</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Armada Warran</w:t>
      </w:r>
      <w:r>
        <w:rPr>
          <w:rFonts w:ascii="Times New Roman" w:hAnsi="Times New Roman"/>
          <w:color w:val="000000"/>
          <w:sz w:val="20"/>
        </w:rPr>
        <w:t>t” means, prior to the Business Combination, an issued and outstanding warrant of Armada;</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Articles</w:t>
      </w:r>
      <w:r>
        <w:rPr>
          <w:rFonts w:ascii="Times New Roman" w:hAnsi="Times New Roman"/>
          <w:color w:val="000000"/>
          <w:sz w:val="20"/>
        </w:rPr>
        <w:t xml:space="preserve">” means Rezolve’s articles of association;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Business Combination Agreement</w:t>
      </w:r>
      <w:r>
        <w:rPr>
          <w:rFonts w:ascii="Times New Roman" w:hAnsi="Times New Roman"/>
          <w:color w:val="000000"/>
          <w:sz w:val="20"/>
        </w:rPr>
        <w:t xml:space="preserve">”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Channels</w:t>
      </w:r>
      <w:r>
        <w:rPr>
          <w:rFonts w:ascii="Times New Roman" w:hAnsi="Times New Roman"/>
          <w:color w:val="000000"/>
          <w:sz w:val="20"/>
        </w:rPr>
        <w:t>” means the Rezolve’s distribution partners who distribute Rezolve’s offerings and services;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Closing</w:t>
      </w:r>
      <w:r>
        <w:rPr>
          <w:rFonts w:ascii="Times New Roman" w:hAnsi="Times New Roman"/>
          <w:color w:val="000000"/>
          <w:sz w:val="20"/>
        </w:rPr>
        <w:t xml:space="preserve">” has the meaning given to it in the Business Combination Agreement;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Closing Date</w:t>
      </w:r>
      <w:r>
        <w:rPr>
          <w:rFonts w:ascii="Times New Roman" w:hAnsi="Times New Roman"/>
          <w:color w:val="000000"/>
          <w:sz w:val="20"/>
        </w:rPr>
        <w:t>” has the meaning given to it in the Business Combination Agreement;;</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Convertible Notes</w:t>
      </w:r>
      <w:r>
        <w:rPr>
          <w:rFonts w:ascii="Times New Roman" w:hAnsi="Times New Roman"/>
          <w:color w:val="000000"/>
          <w:sz w:val="20"/>
        </w:rPr>
        <w:t>” means the convertible loan notes issued on the terms of the Loan Note Instrument and the JVB Note;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Founder Shares</w:t>
      </w:r>
      <w:r>
        <w:rPr>
          <w:rFonts w:ascii="Times New Roman" w:hAnsi="Times New Roman"/>
          <w:color w:val="000000"/>
          <w:sz w:val="20"/>
        </w:rPr>
        <w:t>” means, collectively, the shares of Armada Common Stock held by the Sponsor, the chief executive officer of Armada, the president of Armada and independent directors of Armada;</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GeoZone</w:t>
      </w:r>
      <w:r>
        <w:rPr>
          <w:rFonts w:ascii="Times New Roman" w:hAnsi="Times New Roman"/>
          <w:color w:val="000000"/>
          <w:sz w:val="20"/>
        </w:rPr>
        <w:t>” means a location-based marketing tool which is a feature of Rezolve’s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Investor Rights Agreement</w:t>
      </w:r>
      <w:r>
        <w:rPr>
          <w:rFonts w:ascii="Times New Roman" w:hAnsi="Times New Roman"/>
          <w:color w:val="000000"/>
          <w:sz w:val="20"/>
        </w:rPr>
        <w:t>” means the amended form investor rights agreements entered into by Rezolve, Armada, the Sponsor and certain stockholders of Rezolve;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JVB Note</w:t>
      </w:r>
      <w:r>
        <w:rPr>
          <w:rFonts w:ascii="Times New Roman" w:hAnsi="Times New Roman"/>
          <w:color w:val="000000"/>
          <w:sz w:val="20"/>
        </w:rPr>
        <w:t>” means the convertible note issued by Rezolve to J.V.B. Financial Group, LLC, a registered broker-dealer,on August 14, 2024.</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Loan Note Instrument</w:t>
      </w:r>
      <w:r>
        <w:rPr>
          <w:rFonts w:ascii="Times New Roman" w:hAnsi="Times New Roman"/>
          <w:color w:val="000000"/>
          <w:sz w:val="20"/>
        </w:rPr>
        <w:t>” means the secured convertible loan note instrument dated December 16, 2021, as amended and restated on November 21, 2022 and May 23, 2023 and further amended on and on December 18, 2023, December 29, 2023 and January 26, 2024, to which Rezolve is party;</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Major Investor</w:t>
      </w:r>
      <w:r>
        <w:rPr>
          <w:rFonts w:ascii="Times New Roman" w:hAnsi="Times New Roman"/>
          <w:color w:val="000000"/>
          <w:sz w:val="20"/>
        </w:rPr>
        <w:t>” has the meaning given to it in the Loan Note Instrument.</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Nasdaq</w:t>
      </w:r>
      <w:r>
        <w:rPr>
          <w:rFonts w:ascii="Times New Roman" w:hAnsi="Times New Roman"/>
          <w:color w:val="000000"/>
          <w:sz w:val="20"/>
        </w:rPr>
        <w:t>” means The Nasdaq Stock Market LLC;</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Noteholder Majority</w:t>
      </w:r>
      <w:r>
        <w:rPr>
          <w:rFonts w:ascii="Times New Roman" w:hAnsi="Times New Roman"/>
          <w:color w:val="000000"/>
          <w:sz w:val="20"/>
        </w:rPr>
        <w:t xml:space="preserve">” means the prior consent of holders of more than two-thirds of the aggregate principal amount of the Convertible Notes outstanding from time to time;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Pre-Closing Demerger</w:t>
      </w:r>
      <w:r>
        <w:rPr>
          <w:rFonts w:ascii="Times New Roman" w:hAnsi="Times New Roman"/>
          <w:color w:val="000000"/>
          <w:sz w:val="20"/>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Registerable Securities</w:t>
      </w:r>
      <w:r>
        <w:rPr>
          <w:rFonts w:ascii="Times New Roman" w:hAnsi="Times New Roman"/>
          <w:color w:val="000000"/>
          <w:sz w:val="20"/>
        </w:rPr>
        <w:t>” has the meaning given to it in the Investor Rights Agreement.</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w:t>
      </w:r>
      <w:r>
        <w:rPr>
          <w:rFonts w:ascii="Times New Roman" w:hAnsi="Times New Roman"/>
          <w:color w:val="000000"/>
          <w:sz w:val="20"/>
        </w:rPr>
        <w:t>” and the “</w:t>
      </w:r>
      <w:r>
        <w:rPr>
          <w:rFonts w:ascii="Times New Roman" w:hAnsi="Times New Roman"/>
          <w:b/>
          <w:i/>
          <w:color w:val="000000"/>
          <w:sz w:val="20"/>
        </w:rPr>
        <w:t>Company</w:t>
      </w:r>
      <w:r>
        <w:rPr>
          <w:rFonts w:ascii="Times New Roman" w:hAnsi="Times New Roman"/>
          <w:color w:val="000000"/>
          <w:sz w:val="20"/>
        </w:rPr>
        <w:t>” means Rezolve AI Limited, a private limited liability company registered under the laws of England and Wales with registration number 14573691 and, following its re-registration as a public limited company, Rezolve AI plc;</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Founder</w:t>
      </w:r>
      <w:r>
        <w:rPr>
          <w:rFonts w:ascii="Times New Roman" w:hAnsi="Times New Roman"/>
          <w:color w:val="000000"/>
          <w:sz w:val="20"/>
        </w:rPr>
        <w:t>” means Daniel Wagner;</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Incentive Equity Plan</w:t>
      </w:r>
      <w:r>
        <w:rPr>
          <w:rFonts w:ascii="Times New Roman" w:hAnsi="Times New Roman"/>
          <w:color w:val="000000"/>
          <w:sz w:val="20"/>
        </w:rPr>
        <w:t xml:space="preserve">” means the incentive equity plan adopted by Rezolve;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Limited</w:t>
      </w:r>
      <w:r>
        <w:rPr>
          <w:rFonts w:ascii="Times New Roman" w:hAnsi="Times New Roman"/>
          <w:color w:val="000000"/>
          <w:sz w:val="20"/>
        </w:rPr>
        <w:t xml:space="preserve">” means Rezolve Limited, a private limited company organized under the laws of England and Wales;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Merger Sub</w:t>
      </w:r>
      <w:r>
        <w:rPr>
          <w:rFonts w:ascii="Times New Roman" w:hAnsi="Times New Roman"/>
          <w:color w:val="000000"/>
          <w:sz w:val="20"/>
        </w:rPr>
        <w:t>” means Rezolve Merger Sub, Inc., a Delaware corporation;</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Ordinary Shares</w:t>
      </w:r>
      <w:r>
        <w:rPr>
          <w:rFonts w:ascii="Times New Roman" w:hAnsi="Times New Roman"/>
          <w:color w:val="000000"/>
          <w:sz w:val="20"/>
        </w:rPr>
        <w:t>” means the ordinary shares of Rezolve, par value £0.0001;</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Options</w:t>
      </w:r>
      <w:r>
        <w:rPr>
          <w:rFonts w:ascii="Times New Roman" w:hAnsi="Times New Roman"/>
          <w:color w:val="000000"/>
          <w:sz w:val="20"/>
        </w:rPr>
        <w:t>” means options to subscribe for Ordinary Shares;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Shareholder</w:t>
      </w:r>
      <w:r>
        <w:rPr>
          <w:rFonts w:ascii="Times New Roman" w:hAnsi="Times New Roman"/>
          <w:color w:val="000000"/>
          <w:sz w:val="20"/>
        </w:rPr>
        <w:t>” means a holder of shares of stock in the capital of Rezolve;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Private Warrant</w:t>
      </w:r>
      <w:r>
        <w:rPr>
          <w:rFonts w:ascii="Times New Roman" w:hAnsi="Times New Roman"/>
          <w:color w:val="000000"/>
          <w:sz w:val="20"/>
        </w:rPr>
        <w:t>” means a private warrant to purchase one Ordinary Share;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Public Warrant</w:t>
      </w:r>
      <w:r>
        <w:rPr>
          <w:rFonts w:ascii="Times New Roman" w:hAnsi="Times New Roman"/>
          <w:color w:val="000000"/>
          <w:sz w:val="20"/>
        </w:rPr>
        <w:t>” means a public warrant to purchase one Ordinary Share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Warrant</w:t>
      </w:r>
      <w:r>
        <w:rPr>
          <w:rFonts w:ascii="Times New Roman" w:hAnsi="Times New Roman"/>
          <w:color w:val="000000"/>
          <w:sz w:val="20"/>
        </w:rPr>
        <w:t>” mean, collectively, the Private Warrants and the Public Warrants;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Selling Holders</w:t>
      </w:r>
      <w:r>
        <w:rPr>
          <w:rFonts w:ascii="Times New Roman" w:hAnsi="Times New Roman"/>
          <w:color w:val="000000"/>
          <w:sz w:val="20"/>
        </w:rPr>
        <w:t>” means the selling security holders named in this Registration Statement on Form F-1;</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SMBs</w:t>
      </w:r>
      <w:r>
        <w:rPr>
          <w:rFonts w:ascii="Times New Roman" w:hAnsi="Times New Roman"/>
          <w:color w:val="000000"/>
          <w:sz w:val="20"/>
        </w:rPr>
        <w:t>” means small and medium-sized businesses;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Sponsor</w:t>
      </w:r>
      <w:r>
        <w:rPr>
          <w:rFonts w:ascii="Times New Roman" w:hAnsi="Times New Roman"/>
          <w:color w:val="000000"/>
          <w:sz w:val="20"/>
        </w:rPr>
        <w:t>” means Armada Sponsor LLC;</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UK</w:t>
      </w:r>
      <w:r>
        <w:rPr>
          <w:rFonts w:ascii="Times New Roman" w:hAnsi="Times New Roman"/>
          <w:color w:val="000000"/>
          <w:sz w:val="20"/>
        </w:rPr>
        <w:t>” means the United Kingdom;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UK Companies Act</w:t>
      </w:r>
      <w:r>
        <w:rPr>
          <w:rFonts w:ascii="Times New Roman" w:hAnsi="Times New Roman"/>
          <w:color w:val="000000"/>
          <w:sz w:val="20"/>
        </w:rPr>
        <w:t>” means the UK Companies Act 2006 (as amended from time to time);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U.S.</w:t>
      </w:r>
      <w:r>
        <w:rPr>
          <w:rFonts w:ascii="Times New Roman" w:hAnsi="Times New Roman"/>
          <w:color w:val="000000"/>
          <w:sz w:val="20"/>
        </w:rPr>
        <w:t>” refers to the United States of America; and</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USD</w:t>
      </w:r>
      <w:r>
        <w:rPr>
          <w:rFonts w:ascii="Times New Roman" w:hAnsi="Times New Roman"/>
          <w:color w:val="000000"/>
          <w:sz w:val="20"/>
        </w:rPr>
        <w:t>” refers to the U.S. Dollar.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stated in this prospectus or the context otherwise requires, all references in this prospectus to the Warrants include such Ordinary Shares underlying the Warrants.</w:t>
      </w:r>
    </w:p>
    <w:p>
      <w:pPr>
        <w:pStyle w:val="TextBody"/>
        <w:bidi w:val="0"/>
        <w:spacing w:before="200" w:after="283"/>
        <w:jc w:val="center"/>
        <w:rPr>
          <w:rFonts w:ascii="Times New Roman" w:hAnsi="Times New Roman"/>
          <w:b/>
          <w:caps/>
          <w:color w:val="000000"/>
          <w:sz w:val="20"/>
        </w:rPr>
      </w:pPr>
      <w:bookmarkStart w:id="5" w:name="cautionary_note_regarding_forward"/>
      <w:bookmarkEnd w:id="5"/>
      <w:r>
        <w:rPr>
          <w:rFonts w:ascii="Times New Roman" w:hAnsi="Times New Roman"/>
          <w:b/>
          <w:caps/>
          <w:color w:val="000000"/>
          <w:sz w:val="20"/>
        </w:rPr>
        <w:t>CAUTIONARY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discuss future expectations;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contain projections of future results of operations or financial condition;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state other “forward-looking” information.</w:t>
      </w:r>
    </w:p>
    <w:p>
      <w:pPr>
        <w:pStyle w:val="TextBody"/>
        <w:bidi w:val="0"/>
        <w:spacing w:before="240" w:after="283"/>
        <w:jc w:val="left"/>
        <w:rPr>
          <w:rFonts w:ascii="Times New Roman" w:hAnsi="Times New Roman"/>
          <w:sz w:val="20"/>
        </w:rPr>
      </w:pPr>
      <w:r>
        <w:rPr>
          <w:rFonts w:ascii="Times New Roman" w:hAnsi="Times New Roman"/>
          <w:color w:val="000000"/>
          <w:sz w:val="20"/>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hAnsi="Times New Roman"/>
          <w:i/>
          <w:color w:val="000000"/>
          <w:sz w:val="20"/>
        </w:rPr>
        <w:t>Risk Factors,</w:t>
      </w:r>
      <w:r>
        <w:rPr>
          <w:rFonts w:ascii="Times New Roman" w:hAnsi="Times New Roman"/>
          <w:color w:val="000000"/>
          <w:sz w:val="20"/>
        </w:rPr>
        <w:t>” provide examples of risks, uncertainties and events that may cause actual results to differ materially from the expectations we described in such forward-looking statements, including among other things: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recognize the anticipated benefits of the transactions with Armada;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continue to meet Nasdaq’s listing standards;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changes adversely affecting our business;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effect of the COVID-19 pandemic on our business;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outcome of any legal proceedings that may be instituted against us following the consummation of the Business Combination and the transactions contemplated thereby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economic conditions;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 of the conflict in Ukraine or other hostilities;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applicable law or regulations;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business strategy and plans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result of future financing efforts;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 xml:space="preserve">other factors detailed in the section entitled </w:t>
      </w:r>
      <w:r>
        <w:rPr>
          <w:color w:val="000000"/>
        </w:rPr>
        <w:t>“</w:t>
      </w:r>
      <w:r>
        <w:rPr>
          <w:rFonts w:ascii="Times New Roman" w:hAnsi="Times New Roman"/>
          <w:i/>
          <w:color w:val="000000"/>
          <w:sz w:val="20"/>
        </w:rPr>
        <w:t>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cautioned not to place undue reliance on these forward-looking statements, which speak only as of the date of this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pStyle w:val="TextBody"/>
        <w:bidi w:val="0"/>
        <w:spacing w:before="240" w:after="283"/>
        <w:jc w:val="left"/>
        <w:rPr>
          <w:rFonts w:ascii="Times New Roman" w:hAnsi="Times New Roman"/>
          <w:sz w:val="20"/>
        </w:rPr>
      </w:pPr>
      <w:r>
        <w:rPr>
          <w:rFonts w:ascii="Times New Roman" w:hAnsi="Times New Roman"/>
          <w:color w:val="000000"/>
          <w:sz w:val="20"/>
        </w:rPr>
        <w:t>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hAnsi="Times New Roman"/>
          <w:i/>
          <w:color w:val="000000"/>
          <w:sz w:val="20"/>
        </w:rPr>
        <w:t>Risk Factors”</w:t>
      </w:r>
      <w:r>
        <w:rPr>
          <w:rFonts w:ascii="Times New Roman" w:hAnsi="Times New Roman"/>
          <w:color w:val="000000"/>
          <w:sz w:val="20"/>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pStyle w:val="TextBody"/>
        <w:bidi w:val="0"/>
        <w:spacing w:before="240" w:after="283"/>
        <w:jc w:val="left"/>
        <w:rPr>
          <w:rFonts w:ascii="Times New Roman" w:hAnsi="Times New Roman"/>
          <w:sz w:val="20"/>
        </w:rPr>
      </w:pPr>
      <w:r>
        <w:rPr>
          <w:rFonts w:ascii="Times New Roman" w:hAnsi="Times New Roman"/>
          <w:color w:val="000000"/>
          <w:sz w:val="20"/>
        </w:rPr>
        <w:t>For additional information, please see the section of this prospectus titled “</w:t>
      </w:r>
      <w:r>
        <w:rPr>
          <w:rFonts w:ascii="Times New Roman" w:hAnsi="Times New Roman"/>
          <w:i/>
          <w:color w:val="000000"/>
          <w:sz w:val="20"/>
        </w:rPr>
        <w:t>Where You Can Find More Information</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6" w:name="prospectus_summary"/>
      <w:bookmarkEnd w:id="6"/>
      <w:r>
        <w:rPr>
          <w:rFonts w:ascii="Times New Roman" w:hAnsi="Times New Roman"/>
          <w:b/>
          <w:caps/>
          <w:color w:val="000000"/>
          <w:sz w:val="20"/>
        </w:rPr>
        <w:t>PROSPECTUS SUMMARY</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This </w:t>
      </w:r>
      <w:r>
        <w:rPr>
          <w:rFonts w:ascii="Times New Roman" w:hAnsi="Times New Roman"/>
          <w:i/>
          <w:color w:val="000000"/>
          <w:sz w:val="20"/>
        </w:rPr>
        <w:t>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w:t>
      </w:r>
    </w:p>
    <w:p>
      <w:pPr>
        <w:pStyle w:val="TextBody"/>
        <w:bidi w:val="0"/>
        <w:spacing w:before="120" w:after="283"/>
        <w:jc w:val="left"/>
        <w:rPr>
          <w:rFonts w:ascii="Times New Roman" w:hAnsi="Times New Roman"/>
          <w:sz w:val="20"/>
        </w:rPr>
      </w:pPr>
      <w:r>
        <w:rPr>
          <w:rFonts w:ascii="Times New Roman" w:hAnsi="Times New Roman"/>
          <w:color w:val="000000"/>
          <w:sz w:val="20"/>
        </w:rPr>
        <w:t>We are recognized</w:t>
      </w:r>
      <w:r>
        <w:rPr>
          <w:rFonts w:ascii="Times New Roman" w:hAnsi="Times New Roman"/>
          <w:color w:val="000000"/>
          <w:sz w:val="13"/>
        </w:rPr>
        <w:t>1</w:t>
      </w:r>
      <w:r>
        <w:rPr>
          <w:rFonts w:ascii="Times New Roman" w:hAnsi="Times New Roman"/>
          <w:color w:val="000000"/>
          <w:sz w:val="20"/>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pStyle w:val="TextBody"/>
        <w:bidi w:val="0"/>
        <w:spacing w:before="240" w:after="283"/>
        <w:jc w:val="left"/>
        <w:rPr>
          <w:rFonts w:ascii="Times New Roman" w:hAnsi="Times New Roman"/>
          <w:sz w:val="20"/>
        </w:rPr>
      </w:pPr>
      <w:r>
        <w:rPr>
          <w:rFonts w:ascii="Times New Roman" w:hAnsi="Times New Roman"/>
          <w:color w:val="000000"/>
          <w:sz w:val="20"/>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hAnsi="Times New Roman"/>
          <w:i/>
          <w:color w:val="000000"/>
          <w:sz w:val="20"/>
        </w:rPr>
        <w:t>Business of Rezolve-Partner Agreements</w:t>
      </w:r>
      <w:r>
        <w:rPr>
          <w:rFonts w:ascii="Times New Roman" w:hAnsi="Times New Roman"/>
          <w:color w:val="000000"/>
          <w:sz w:val="2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mailing address of Rezolve AI plc’s registered office is 21 Sackville Street, London, W1S 3DN, United Kingdom, +44 204 625 9700 and its principal executive office is 21 Sackville Street, London, W1S 3DN, United Kingdom.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we consummated the previously announced Business Combination with Armada.</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Please see Rezolve Press Release dated July 25, 2023, available at https://www.rezolve.com/investors/britains- brain-heralds-new-era-of-commerce-enabled-ai/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Pursuant to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Investor Rights Agreement</w:t>
      </w:r>
    </w:p>
    <w:p>
      <w:pPr>
        <w:pStyle w:val="TextBody"/>
        <w:bidi w:val="0"/>
        <w:spacing w:before="120" w:after="283"/>
        <w:jc w:val="left"/>
        <w:rPr>
          <w:rFonts w:ascii="Times New Roman" w:hAnsi="Times New Roman"/>
          <w:sz w:val="20"/>
        </w:rPr>
      </w:pPr>
      <w:r>
        <w:rPr>
          <w:rFonts w:ascii="Times New Roman" w:hAnsi="Times New Roman"/>
          <w:color w:val="000000"/>
          <w:sz w:val="20"/>
        </w:rPr>
        <w:t>At the Closing, the Company entered into that certain Investor Rights Agreement with certain directors and officers and certain other parties identified therein (such persons, the “</w:t>
      </w:r>
      <w:r>
        <w:rPr>
          <w:rFonts w:ascii="Times New Roman" w:hAnsi="Times New Roman"/>
          <w:b/>
          <w:i/>
          <w:color w:val="000000"/>
          <w:sz w:val="20"/>
        </w:rPr>
        <w:t>Holders</w:t>
      </w:r>
      <w:r>
        <w:rPr>
          <w:rFonts w:ascii="Times New Roman" w:hAnsi="Times New Roman"/>
          <w:color w:val="000000"/>
          <w:sz w:val="20"/>
        </w:rPr>
        <w:t>”) (the “</w:t>
      </w:r>
      <w:r>
        <w:rPr>
          <w:rFonts w:ascii="Times New Roman" w:hAnsi="Times New Roman"/>
          <w:b/>
          <w:i/>
          <w:color w:val="000000"/>
          <w:sz w:val="20"/>
        </w:rPr>
        <w:t>Investor Rights Agreement</w:t>
      </w:r>
      <w:r>
        <w:rPr>
          <w:rFonts w:ascii="Times New Roman" w:hAnsi="Times New Roman"/>
          <w:color w:val="000000"/>
          <w:sz w:val="20"/>
        </w:rPr>
        <w:t xml:space="preserve">”). Pursuant to the terms of the Investor Rights Agreement, the Holders are entitled to certain piggyback registration rights and customary registration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120" w:after="283"/>
        <w:jc w:val="left"/>
        <w:rPr>
          <w:rFonts w:ascii="Times New Roman" w:hAnsi="Times New Roman"/>
          <w:sz w:val="20"/>
        </w:rPr>
      </w:pPr>
      <w:r>
        <w:rPr>
          <w:rFonts w:ascii="Times New Roman" w:hAnsi="Times New Roman"/>
          <w:color w:val="000000"/>
          <w:sz w:val="20"/>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hAnsi="Times New Roman"/>
          <w:b/>
          <w:i/>
          <w:color w:val="000000"/>
          <w:sz w:val="20"/>
        </w:rPr>
        <w:t>Loan Note Instrument</w:t>
      </w:r>
      <w:r>
        <w:rPr>
          <w:rFonts w:ascii="Times New Roman" w:hAnsi="Times New Roman"/>
          <w:color w:val="000000"/>
          <w:sz w:val="20"/>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5, 2024, pursuant to the terms of the Loan Note Instrument, one of the holders of the Convertible Notes converted all of his approximately $8 million of outstanding Convertible Notes at a conversion price of $7 per ordinary share.</w:t>
      </w:r>
    </w:p>
    <w:p>
      <w:pPr>
        <w:pStyle w:val="TextBody"/>
        <w:bidi w:val="0"/>
        <w:spacing w:before="120" w:after="283"/>
        <w:jc w:val="left"/>
        <w:rPr>
          <w:rFonts w:ascii="Times New Roman" w:hAnsi="Times New Roman"/>
          <w:sz w:val="20"/>
        </w:rPr>
      </w:pPr>
      <w:r>
        <w:rPr>
          <w:rFonts w:ascii="Times New Roman" w:hAnsi="Times New Roman"/>
          <w:color w:val="000000"/>
          <w:sz w:val="20"/>
        </w:rPr>
        <w:t>On December 17, 2024, the Company, Apeiron Investment Group Ltd. and Bradley Wickens, the beneficial holders of the majority of Convertible Notes entered into an agreement (the “</w:t>
      </w:r>
      <w:r>
        <w:rPr>
          <w:rFonts w:ascii="Times New Roman" w:hAnsi="Times New Roman"/>
          <w:b/>
          <w:i/>
          <w:color w:val="000000"/>
          <w:sz w:val="20"/>
        </w:rPr>
        <w:t>Agreement</w:t>
      </w:r>
      <w:r>
        <w:rPr>
          <w:rFonts w:ascii="Times New Roman" w:hAnsi="Times New Roman"/>
          <w:color w:val="000000"/>
          <w:sz w:val="20"/>
        </w:rPr>
        <w:t>”) to amend the Loan Note Instrument (the “</w:t>
      </w:r>
      <w:r>
        <w:rPr>
          <w:rFonts w:ascii="Times New Roman" w:hAnsi="Times New Roman"/>
          <w:b/>
          <w:i/>
          <w:color w:val="000000"/>
          <w:sz w:val="20"/>
        </w:rPr>
        <w:t>Amendment</w:t>
      </w:r>
      <w:r>
        <w:rPr>
          <w:rFonts w:ascii="Times New Roman" w:hAnsi="Times New Roman"/>
          <w:color w:val="000000"/>
          <w:sz w:val="20"/>
        </w:rPr>
        <w:t xml:space="preserve">”)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all of the remaining Convertible Note holders elected to convert. As of December 31, 2024, $0.4 million of the Convertible Notes remained outstanding under the Loan Note Instrument.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Yorkville Convertible Promissory Note and Capital Commitment</w:t>
      </w:r>
    </w:p>
    <w:p>
      <w:pPr>
        <w:pStyle w:val="TextBody"/>
        <w:bidi w:val="0"/>
        <w:spacing w:before="360" w:after="283"/>
        <w:jc w:val="left"/>
        <w:rPr>
          <w:rFonts w:ascii="Times New Roman" w:hAnsi="Times New Roman"/>
          <w:sz w:val="20"/>
        </w:rPr>
      </w:pPr>
      <w:r>
        <w:rPr>
          <w:rFonts w:ascii="Times New Roman" w:hAnsi="Times New Roman"/>
          <w:color w:val="212529"/>
          <w:sz w:val="20"/>
        </w:rPr>
        <w:t>On February 23, 2023, Rezolve Limited entered into a $250 million standby equity purchase agreement with YA II PN, LTD (“</w:t>
      </w:r>
      <w:r>
        <w:rPr>
          <w:rFonts w:ascii="Times New Roman" w:hAnsi="Times New Roman"/>
          <w:b/>
          <w:i/>
          <w:color w:val="212529"/>
          <w:sz w:val="20"/>
        </w:rPr>
        <w:t>YA</w:t>
      </w:r>
      <w:r>
        <w:rPr>
          <w:rFonts w:ascii="Times New Roman" w:hAnsi="Times New Roman"/>
          <w:color w:val="212529"/>
          <w:sz w:val="20"/>
        </w:rPr>
        <w:t>”), a Cayman Islands exempt limited company, which was amended and restated on February 2, 2024 to provide for, inter alia, Rezolve AI Limited joining as a party to the agreement (“</w:t>
      </w:r>
      <w:r>
        <w:rPr>
          <w:rFonts w:ascii="Times New Roman" w:hAnsi="Times New Roman"/>
          <w:b/>
          <w:i/>
          <w:color w:val="212529"/>
          <w:sz w:val="20"/>
        </w:rPr>
        <w:t>YA Agreement</w:t>
      </w:r>
      <w:r>
        <w:rPr>
          <w:rFonts w:ascii="Times New Roman" w:hAnsi="Times New Roman"/>
          <w:color w:val="212529"/>
          <w:sz w:val="20"/>
        </w:rPr>
        <w:t xml:space="preserve">”). Pursuant to the YA Agreement, Rezolve has the right to sell to YA up to $250,000,000 Ordinary Shares, subject to certain limitations and conditions set forth in the YA Agreement, from time to time during the term of the YA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color w:val="212529"/>
          <w:sz w:val="20"/>
        </w:rPr>
        <w:t>In connection with the amendment and restatement of the YA Agreement, on February 2, 2024, Rezolve Limited and Rezolve issued a convertible note with a total principal amount of $2.5 million (the “</w:t>
      </w:r>
      <w:r>
        <w:rPr>
          <w:rFonts w:ascii="Times New Roman" w:hAnsi="Times New Roman"/>
          <w:b/>
          <w:i/>
          <w:color w:val="212529"/>
          <w:sz w:val="20"/>
        </w:rPr>
        <w:t>YA Note</w:t>
      </w:r>
      <w:r>
        <w:rPr>
          <w:rFonts w:ascii="Times New Roman" w:hAnsi="Times New Roman"/>
          <w:color w:val="212529"/>
          <w:sz w:val="20"/>
        </w:rPr>
        <w:t>”) to YA, pursuant to the terms of a convertible promissory note instrument entered into by Rezolve Limited and Rezolve (“</w:t>
      </w:r>
      <w:r>
        <w:rPr>
          <w:rFonts w:ascii="Times New Roman" w:hAnsi="Times New Roman"/>
          <w:b/>
          <w:i/>
          <w:color w:val="212529"/>
          <w:sz w:val="20"/>
        </w:rPr>
        <w:t>YA Note Instrument</w:t>
      </w:r>
      <w:r>
        <w:rPr>
          <w:rFonts w:ascii="Times New Roman" w:hAnsi="Times New Roman"/>
          <w:color w:val="212529"/>
          <w:sz w:val="20"/>
        </w:rPr>
        <w:t xml:space="preserve">”). </w:t>
      </w:r>
    </w:p>
    <w:p>
      <w:pPr>
        <w:pStyle w:val="TextBody"/>
        <w:bidi w:val="0"/>
        <w:spacing w:before="360" w:after="283"/>
        <w:jc w:val="left"/>
        <w:rPr>
          <w:rFonts w:ascii="Times New Roman" w:hAnsi="Times New Roman"/>
          <w:sz w:val="20"/>
        </w:rPr>
      </w:pPr>
      <w:r>
        <w:rPr>
          <w:rFonts w:ascii="Times New Roman" w:hAnsi="Times New Roman"/>
          <w:color w:val="212529"/>
          <w:sz w:val="20"/>
        </w:rPr>
        <w:t>On September 6, 2024, YA and Rezolve amended and restated the YA Agreement (the “</w:t>
      </w:r>
      <w:r>
        <w:rPr>
          <w:rFonts w:ascii="Times New Roman" w:hAnsi="Times New Roman"/>
          <w:b/>
          <w:i/>
          <w:color w:val="212529"/>
          <w:sz w:val="20"/>
        </w:rPr>
        <w:t>Second A&amp;R YA Agreement</w:t>
      </w:r>
      <w:r>
        <w:rPr>
          <w:rFonts w:ascii="Times New Roman" w:hAnsi="Times New Roman"/>
          <w:color w:val="212529"/>
          <w:sz w:val="20"/>
        </w:rPr>
        <w:t xml:space="preserve">”)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 </w:t>
      </w:r>
    </w:p>
    <w:p>
      <w:pPr>
        <w:pStyle w:val="TextBody"/>
        <w:bidi w:val="0"/>
        <w:spacing w:before="360" w:after="283"/>
        <w:jc w:val="left"/>
        <w:rPr>
          <w:rFonts w:ascii="Times New Roman" w:hAnsi="Times New Roman"/>
          <w:sz w:val="20"/>
        </w:rPr>
      </w:pPr>
      <w:r>
        <w:rPr>
          <w:rFonts w:ascii="Times New Roman" w:hAnsi="Times New Roman"/>
          <w:color w:val="212529"/>
          <w:sz w:val="20"/>
        </w:rPr>
        <w:t>In connection with the execution of the Second A&amp;R YA Agreement, YA and Rezolve also entered into a second amendment to convertible promissory note and acknowledgement (the “</w:t>
      </w:r>
      <w:r>
        <w:rPr>
          <w:rFonts w:ascii="Times New Roman" w:hAnsi="Times New Roman"/>
          <w:b/>
          <w:i/>
          <w:color w:val="212529"/>
          <w:sz w:val="20"/>
        </w:rPr>
        <w:t>YA Note Amendment</w:t>
      </w:r>
      <w:r>
        <w:rPr>
          <w:rFonts w:ascii="Times New Roman" w:hAnsi="Times New Roman"/>
          <w:color w:val="212529"/>
          <w:sz w:val="20"/>
        </w:rPr>
        <w:t>” and the YA Note, as amended by the YA Note Amendment, the “</w:t>
      </w:r>
      <w:r>
        <w:rPr>
          <w:rFonts w:ascii="Times New Roman" w:hAnsi="Times New Roman"/>
          <w:b/>
          <w:i/>
          <w:color w:val="212529"/>
          <w:sz w:val="20"/>
        </w:rPr>
        <w:t>Amended YA Note</w:t>
      </w:r>
      <w:r>
        <w:rPr>
          <w:rFonts w:ascii="Times New Roman" w:hAnsi="Times New Roman"/>
          <w:color w:val="212529"/>
          <w:sz w:val="20"/>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pStyle w:val="TextBody"/>
        <w:bidi w:val="0"/>
        <w:spacing w:before="360" w:after="283"/>
        <w:jc w:val="left"/>
        <w:rPr>
          <w:rFonts w:ascii="Times New Roman" w:hAnsi="Times New Roman"/>
          <w:sz w:val="20"/>
        </w:rPr>
      </w:pPr>
      <w:r>
        <w:rPr>
          <w:rFonts w:ascii="Times New Roman" w:hAnsi="Times New Roman"/>
          <w:color w:val="212529"/>
          <w:sz w:val="20"/>
        </w:rPr>
        <w:t>Also in connection with the Second A&amp;R YA Agreement, on September 9, 2024, Rezolve issued YA a promissory note in the principal amount of $5,000,000 (the “</w:t>
      </w:r>
      <w:r>
        <w:rPr>
          <w:rFonts w:ascii="Times New Roman" w:hAnsi="Times New Roman"/>
          <w:b/>
          <w:i/>
          <w:color w:val="212529"/>
          <w:sz w:val="20"/>
        </w:rPr>
        <w:t>Second YA Note</w:t>
      </w:r>
      <w:r>
        <w:rPr>
          <w:rFonts w:ascii="Times New Roman" w:hAnsi="Times New Roman"/>
          <w:color w:val="212529"/>
          <w:sz w:val="20"/>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hAnsi="Times New Roman"/>
          <w:b/>
          <w:i/>
          <w:color w:val="212529"/>
          <w:sz w:val="20"/>
        </w:rPr>
        <w:t>Third YA Note</w:t>
      </w:r>
      <w:r>
        <w:rPr>
          <w:rFonts w:ascii="Times New Roman" w:hAnsi="Times New Roman"/>
          <w:color w:val="212529"/>
          <w:sz w:val="20"/>
        </w:rPr>
        <w:t>", and together with the Amended YA Note and Second YA Note, the "</w:t>
      </w:r>
      <w:r>
        <w:rPr>
          <w:rFonts w:ascii="Times New Roman" w:hAnsi="Times New Roman"/>
          <w:b/>
          <w:i/>
          <w:color w:val="212529"/>
          <w:sz w:val="20"/>
        </w:rPr>
        <w:t>YA Notes</w:t>
      </w:r>
      <w:r>
        <w:rPr>
          <w:rFonts w:ascii="Times New Roman" w:hAnsi="Times New Roman"/>
          <w:color w:val="212529"/>
          <w:sz w:val="20"/>
        </w:rPr>
        <w:t xml:space="preserve">"). </w:t>
      </w:r>
    </w:p>
    <w:p>
      <w:pPr>
        <w:pStyle w:val="TextBody"/>
        <w:bidi w:val="0"/>
        <w:spacing w:before="360" w:after="283"/>
        <w:jc w:val="left"/>
        <w:rPr>
          <w:rFonts w:ascii="Times New Roman" w:hAnsi="Times New Roman"/>
          <w:color w:val="212529"/>
          <w:sz w:val="20"/>
        </w:rPr>
      </w:pPr>
      <w:r>
        <w:rPr>
          <w:rFonts w:ascii="Times New Roman" w:hAnsi="Times New Roman"/>
          <w:color w:val="212529"/>
          <w:sz w:val="20"/>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pStyle w:val="TextBody"/>
        <w:bidi w:val="0"/>
        <w:spacing w:before="360" w:after="283"/>
        <w:jc w:val="left"/>
        <w:rPr>
          <w:rFonts w:ascii="Times New Roman" w:hAnsi="Times New Roman"/>
          <w:color w:val="212529"/>
          <w:sz w:val="20"/>
        </w:rPr>
      </w:pPr>
      <w:r>
        <w:rPr>
          <w:rFonts w:ascii="Times New Roman" w:hAnsi="Times New Roman"/>
          <w:color w:val="212529"/>
          <w:sz w:val="20"/>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Securities and Exchange Commission (the “SEC”) to register under the Securities Act the resale by YA of up to 4,838,779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(each such sale, an “Advance”) by delivering written notice to YA (each, an “Advance Notice”). While there is no mandatory minimum amount for any Advance, it may not to exceed the greater of (i) 2,000,000;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volume weighted average price of our ordinary shares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 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212529"/>
          <w:sz w:val="20"/>
        </w:rPr>
      </w:pPr>
      <w:r>
        <w:rPr>
          <w:rFonts w:ascii="Times New Roman" w:hAnsi="Times New Roman"/>
          <w:color w:val="212529"/>
          <w:sz w:val="20"/>
        </w:rPr>
        <w:t>Under the applicable rules of The Nasdaq Stock Market LLC (“Nasdaq”), in no event may we issue to YA under the Second A&amp;R YA Agreement more than 34,419,336 ordinary shares, which number of shares is equal to 19.99% of the aggregate number of shares of ordinary shares issued and outstanding as of the "Effective Date", as such term is defined in the Second A&amp;R YA Agreement (the “Exchange Cap”),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U.S. Securities Exchange Act of 1934, as amended (the “Exchange Act”), and Rule 13d-3 promulgated thereunder), would result in YA beneficially owning more than 4.99% of the then outstanding voting power or number of ordinary shares (the “Ownership Limitation”).</w:t>
      </w:r>
    </w:p>
    <w:p>
      <w:pPr>
        <w:pStyle w:val="TextBody"/>
        <w:bidi w:val="0"/>
        <w:spacing w:before="360" w:after="283"/>
        <w:jc w:val="left"/>
        <w:rPr>
          <w:rFonts w:ascii="Times New Roman" w:hAnsi="Times New Roman"/>
          <w:color w:val="212529"/>
          <w:sz w:val="20"/>
        </w:rPr>
      </w:pPr>
      <w:r>
        <w:rPr>
          <w:rFonts w:ascii="Times New Roman" w:hAnsi="Times New Roman"/>
          <w:color w:val="212529"/>
          <w:sz w:val="20"/>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pStyle w:val="TextBody"/>
        <w:bidi w:val="0"/>
        <w:spacing w:before="360" w:after="283"/>
        <w:jc w:val="left"/>
        <w:rPr>
          <w:rFonts w:ascii="Times New Roman" w:hAnsi="Times New Roman"/>
          <w:color w:val="212529"/>
          <w:sz w:val="20"/>
        </w:rPr>
      </w:pPr>
      <w:r>
        <w:rPr>
          <w:rFonts w:ascii="Times New Roman" w:hAnsi="Times New Roman"/>
          <w:color w:val="212529"/>
          <w:sz w:val="20"/>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 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pStyle w:val="TextBody"/>
        <w:bidi w:val="0"/>
        <w:spacing w:before="360" w:after="283"/>
        <w:jc w:val="left"/>
        <w:rPr>
          <w:rFonts w:ascii="Times New Roman" w:hAnsi="Times New Roman"/>
          <w:color w:val="212529"/>
          <w:sz w:val="20"/>
        </w:rPr>
      </w:pPr>
      <w:r>
        <w:rPr>
          <w:rFonts w:ascii="Times New Roman" w:hAnsi="Times New Roman"/>
          <w:color w:val="212529"/>
          <w:sz w:val="20"/>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Convertible Promissory Notes and Warrants</w:t>
      </w:r>
    </w:p>
    <w:p>
      <w:pPr>
        <w:pStyle w:val="TextBody"/>
        <w:bidi w:val="0"/>
        <w:spacing w:before="120" w:after="283"/>
        <w:jc w:val="left"/>
        <w:rPr>
          <w:rFonts w:ascii="Times New Roman" w:hAnsi="Times New Roman"/>
          <w:sz w:val="20"/>
        </w:rPr>
      </w:pPr>
      <w:r>
        <w:rPr>
          <w:rFonts w:ascii="Times New Roman" w:hAnsi="Times New Roman"/>
          <w:color w:val="000000"/>
          <w:sz w:val="20"/>
        </w:rPr>
        <w:t>In February 2024, certain persons (including Apeiron Investment Group Ltd and certain related parties of Rezolve) entered into subscription agreements (all on substantially the same terms) with Rezolve Limited and Rezolve (“</w:t>
      </w:r>
      <w:r>
        <w:rPr>
          <w:rFonts w:ascii="Times New Roman" w:hAnsi="Times New Roman"/>
          <w:b/>
          <w:i/>
          <w:color w:val="000000"/>
          <w:sz w:val="20"/>
        </w:rPr>
        <w:t>Subscription Agreements</w:t>
      </w:r>
      <w:r>
        <w:rPr>
          <w:rFonts w:ascii="Times New Roman" w:hAnsi="Times New Roman"/>
          <w:color w:val="000000"/>
          <w:sz w:val="20"/>
        </w:rPr>
        <w:t>”) to subscribe for convertible promissory notes with a total principal amount of $2,849,906 (the “</w:t>
      </w:r>
      <w:r>
        <w:rPr>
          <w:rFonts w:ascii="Times New Roman" w:hAnsi="Times New Roman"/>
          <w:b/>
          <w:i/>
          <w:color w:val="000000"/>
          <w:sz w:val="20"/>
        </w:rPr>
        <w:t>Promissory Notes</w:t>
      </w:r>
      <w:r>
        <w:rPr>
          <w:rFonts w:ascii="Times New Roman" w:hAnsi="Times New Roman"/>
          <w:color w:val="000000"/>
          <w:sz w:val="20"/>
        </w:rPr>
        <w:t>”) in consideration for an advance by each subscriber to Rezolve Limited of an amount equal to 80% of the principal amount subscribed (such amount being the “</w:t>
      </w:r>
      <w:r>
        <w:rPr>
          <w:rFonts w:ascii="Times New Roman" w:hAnsi="Times New Roman"/>
          <w:b/>
          <w:i/>
          <w:color w:val="000000"/>
          <w:sz w:val="20"/>
        </w:rPr>
        <w:t>Net Investment Amount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The Promissory Notes were issued during the course of February, 2024 pursuant to the terms of convertible promissory note instruments entered into by Rezolve Limited and Rezolve (all on substantially the same terms) in favour of the subscribers (“</w:t>
      </w:r>
      <w:r>
        <w:rPr>
          <w:rFonts w:ascii="Times New Roman" w:hAnsi="Times New Roman"/>
          <w:b/>
          <w:i/>
          <w:color w:val="000000"/>
          <w:sz w:val="20"/>
        </w:rPr>
        <w:t>Promissory Note Instruments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effect from the completion of the Pre-Closing Demerger, the rights and obligations of Rezolve Limited under the Subscription Agreements and the Promissory Note Instruments were novated to Rezolve AI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Promissory Note Instruments, the Promissory Notes will mature on the date falling 6 months from the date of their issue (or as extended at the option of the noteholder) unless an event of default occurs that triggers an acceleration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pStyle w:val="TextBody"/>
        <w:bidi w:val="0"/>
        <w:spacing w:before="240" w:after="283"/>
        <w:jc w:val="left"/>
        <w:rPr>
          <w:rFonts w:ascii="Times New Roman" w:hAnsi="Times New Roman"/>
          <w:sz w:val="20"/>
        </w:rPr>
      </w:pPr>
      <w:r>
        <w:rPr>
          <w:rFonts w:ascii="Times New Roman" w:hAnsi="Times New Roman"/>
          <w:color w:val="000000"/>
          <w:sz w:val="20"/>
        </w:rPr>
        <w:t>The Promissory Notes are convertible into Ordinary Shares pursuant to their terms. The noteholders may elect to convert all or part of the amount outstanding under their Promissory Note into Ordinary Shares at the “</w:t>
      </w:r>
      <w:r>
        <w:rPr>
          <w:rFonts w:ascii="Times New Roman" w:hAnsi="Times New Roman"/>
          <w:b/>
          <w:i/>
          <w:color w:val="000000"/>
          <w:sz w:val="20"/>
        </w:rPr>
        <w:t>Promissory Note Conversion Price</w:t>
      </w:r>
      <w:r>
        <w:rPr>
          <w:rFonts w:ascii="Times New Roman" w:hAnsi="Times New Roman"/>
          <w:color w:val="000000"/>
          <w:sz w:val="20"/>
        </w:rPr>
        <w:t>” (being the lower of (i) $10 per share (the “</w:t>
      </w:r>
      <w:r>
        <w:rPr>
          <w:rFonts w:ascii="Times New Roman" w:hAnsi="Times New Roman"/>
          <w:b/>
          <w:i/>
          <w:color w:val="000000"/>
          <w:sz w:val="20"/>
        </w:rPr>
        <w:t>Promissory Note Conversion Fixed Price</w:t>
      </w:r>
      <w:r>
        <w:rPr>
          <w:rFonts w:ascii="Times New Roman" w:hAnsi="Times New Roman"/>
          <w:color w:val="000000"/>
          <w:sz w:val="20"/>
        </w:rPr>
        <w:t>”) or (ii) 90% of the lowest daily VWAP during the ten (10) consecutive trading days immediately preceding the conversion date or other date of determination (the “</w:t>
      </w:r>
      <w:r>
        <w:rPr>
          <w:rFonts w:ascii="Times New Roman" w:hAnsi="Times New Roman"/>
          <w:b/>
          <w:i/>
          <w:color w:val="000000"/>
          <w:sz w:val="20"/>
        </w:rPr>
        <w:t>Variable Price</w:t>
      </w:r>
      <w:r>
        <w:rPr>
          <w:rFonts w:ascii="Times New Roman" w:hAnsi="Times New Roman"/>
          <w:color w:val="000000"/>
          <w:sz w:val="20"/>
        </w:rPr>
        <w:t>”) but which Variable Price shall not be lower than the “</w:t>
      </w:r>
      <w:r>
        <w:rPr>
          <w:rFonts w:ascii="Times New Roman" w:hAnsi="Times New Roman"/>
          <w:b/>
          <w:i/>
          <w:color w:val="000000"/>
          <w:sz w:val="20"/>
        </w:rPr>
        <w:t>Promissory Note Conversion Floor Price</w:t>
      </w:r>
      <w:r>
        <w:rPr>
          <w:rFonts w:ascii="Times New Roman" w:hAnsi="Times New Roman"/>
          <w:color w:val="000000"/>
          <w:sz w:val="20"/>
        </w:rPr>
        <w:t>” (being $2.00 per share unless reduced by Rezolve) then in effect), however subject to the conversion limitation whereby the issue of Ordinary Shares upon conversion would not exceed the number of Ordinary Shares that Rezolve AI Limited may issue in a transaction in compliance with its obligations under rules or regulations of Nasdaq (the “</w:t>
      </w:r>
      <w:r>
        <w:rPr>
          <w:rFonts w:ascii="Times New Roman" w:hAnsi="Times New Roman"/>
          <w:b/>
          <w:i/>
          <w:color w:val="000000"/>
          <w:sz w:val="20"/>
        </w:rPr>
        <w:t>Promissory Note Exchange Cap</w:t>
      </w:r>
      <w:r>
        <w:rPr>
          <w:rFonts w:ascii="Times New Roman" w:hAnsi="Times New Roman"/>
          <w:color w:val="000000"/>
          <w:sz w:val="20"/>
        </w:rPr>
        <w:t>”) (unless Rezolve AI Limited shareholders have approved such issuances, or if Rezolve AI Limited is permitted to follow (and has elected to do so) its home country practices instead of the stockholder approval requirements of Nasdaq Rule 5635).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 Limited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pStyle w:val="TextBody"/>
        <w:bidi w:val="0"/>
        <w:spacing w:before="240" w:after="283"/>
        <w:jc w:val="left"/>
        <w:rPr>
          <w:rFonts w:ascii="Times New Roman" w:hAnsi="Times New Roman"/>
          <w:sz w:val="20"/>
        </w:rPr>
      </w:pPr>
      <w:r>
        <w:rPr>
          <w:rFonts w:ascii="Times New Roman" w:hAnsi="Times New Roman"/>
          <w:color w:val="000000"/>
          <w:sz w:val="20"/>
        </w:rPr>
        <w:t>If a Trigger Event occurs (being where (i) the daily VWAP is less than the Floor Price for five (5) trading days during a period of seven (7) consecutive trading days (the “</w:t>
      </w:r>
      <w:r>
        <w:rPr>
          <w:rFonts w:ascii="Times New Roman" w:hAnsi="Times New Roman"/>
          <w:b/>
          <w:i/>
          <w:color w:val="000000"/>
          <w:sz w:val="20"/>
        </w:rPr>
        <w:t>Promissory Note Conversion Floor Price Trigger</w:t>
      </w:r>
      <w:r>
        <w:rPr>
          <w:rFonts w:ascii="Times New Roman" w:hAnsi="Times New Roman"/>
          <w:color w:val="000000"/>
          <w:sz w:val="20"/>
        </w:rPr>
        <w:t>”), or (ii) Rezolve AI Limited has issued in excess of 99% of the Ordinary Shares available under the Promissory Note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hAnsi="Times New Roman"/>
          <w:b/>
          <w:i/>
          <w:color w:val="000000"/>
          <w:sz w:val="20"/>
        </w:rPr>
        <w:t>Promissory Note Conversion Exchange Cap Trigger</w:t>
      </w:r>
      <w:r>
        <w:rPr>
          <w:rFonts w:ascii="Times New Roman" w:hAnsi="Times New Roman"/>
          <w:color w:val="000000"/>
          <w:sz w:val="20"/>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Promissory Note Floor Price (in accordance with its rights to do so under the Promissory Note Instruments), or (ii) in the event of a Promissory Note Exchange Cap Trigger, the date Rezolve AI Limited has obtained stockholder approval to increase the number of Ordinary Shares under the Promissory Note Exchange Cap (or if the Promissory Note Exchange Cap no longer applies), unless a subsequent Trigger Event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pStyle w:val="TextBody"/>
        <w:bidi w:val="0"/>
        <w:spacing w:before="240" w:after="283"/>
        <w:jc w:val="left"/>
        <w:rPr>
          <w:rFonts w:ascii="Times New Roman" w:hAnsi="Times New Roman"/>
          <w:sz w:val="20"/>
        </w:rPr>
      </w:pPr>
      <w:r>
        <w:rPr>
          <w:rFonts w:ascii="Times New Roman" w:hAnsi="Times New Roman"/>
          <w:color w:val="000000"/>
          <w:sz w:val="20"/>
        </w:rPr>
        <w:t>On August 14, 2024, Armada issued a promissory note to J.V.B. Financial Group, LLC (“</w:t>
      </w:r>
      <w:r>
        <w:rPr>
          <w:rFonts w:ascii="Times New Roman" w:hAnsi="Times New Roman"/>
          <w:b/>
          <w:i/>
          <w:color w:val="000000"/>
          <w:sz w:val="20"/>
        </w:rPr>
        <w:t>JVB</w:t>
      </w:r>
      <w:r>
        <w:rPr>
          <w:rFonts w:ascii="Times New Roman" w:hAnsi="Times New Roman"/>
          <w:color w:val="000000"/>
          <w:sz w:val="20"/>
        </w:rPr>
        <w:t>”) for an amount of $7,500,000 and agreed to pay interest on the principal amount outstanding from time to time from August 14, 2024, until the note is fully paid, at the rate of 4.95% per annum. The note is to be repaid in installments of $625,000 (the “</w:t>
      </w:r>
      <w:r>
        <w:rPr>
          <w:rFonts w:ascii="Times New Roman" w:hAnsi="Times New Roman"/>
          <w:b/>
          <w:i/>
          <w:color w:val="000000"/>
          <w:sz w:val="20"/>
        </w:rPr>
        <w:t>JVB Amortization Payment</w:t>
      </w:r>
      <w:r>
        <w:rPr>
          <w:rFonts w:ascii="Times New Roman" w:hAnsi="Times New Roman"/>
          <w:color w:val="000000"/>
          <w:sz w:val="20"/>
        </w:rPr>
        <w:t>”) beginning on January 31, 2025, and on each month end thereafter until December 31, 2025. Armada may, in its sole discretion, elect to pay all or any portion of the Amortization Payment or any interest due and payable on the maturity date in Ordinary Shares, with the number of such shares determined by dividing the JVB Amortization Payment by a price per Ordinary Share equal to 95% of the arithmetic average of the daily VWAP for the 5 days ending on the day immediately preceding the due date of the JVB Amortization Payment. All of Armada’s obligations under the Note were guaranteed by the Company and Rezolve Limited. On February 26, 2025, the Company issued 778,165 ordinary shares to settle $2,000,000 of principle outstanding to the JVB promissory note.</w:t>
      </w:r>
    </w:p>
    <w:p>
      <w:pPr>
        <w:pStyle w:val="TextBody"/>
        <w:bidi w:val="0"/>
        <w:spacing w:before="240" w:after="283"/>
        <w:jc w:val="left"/>
        <w:rPr>
          <w:rFonts w:ascii="Times New Roman" w:hAnsi="Times New Roman"/>
          <w:sz w:val="20"/>
        </w:rPr>
      </w:pPr>
      <w:r>
        <w:rPr>
          <w:rFonts w:ascii="Times New Roman" w:hAnsi="Times New Roman"/>
          <w:color w:val="000000"/>
          <w:sz w:val="20"/>
        </w:rPr>
        <w:t>On August 14, 2024 Armada issued a promissory note to pay to Cohen &amp; Company Financial Management LLC (“</w:t>
      </w:r>
      <w:r>
        <w:rPr>
          <w:rFonts w:ascii="Times New Roman" w:hAnsi="Times New Roman"/>
          <w:b/>
          <w:i/>
          <w:color w:val="000000"/>
          <w:sz w:val="20"/>
        </w:rPr>
        <w:t>Cohen</w:t>
      </w:r>
      <w:r>
        <w:rPr>
          <w:rFonts w:ascii="Times New Roman" w:hAnsi="Times New Roman"/>
          <w:color w:val="000000"/>
          <w:sz w:val="20"/>
        </w:rPr>
        <w:t>”) as an agent for the Sponsor, in the principal sum of $3,144,883.06 (the “</w:t>
      </w:r>
      <w:r>
        <w:rPr>
          <w:rFonts w:ascii="Times New Roman" w:hAnsi="Times New Roman"/>
          <w:b/>
          <w:i/>
          <w:color w:val="000000"/>
          <w:sz w:val="20"/>
        </w:rPr>
        <w:t>Original Cohen Amount</w:t>
      </w:r>
      <w:r>
        <w:rPr>
          <w:rFonts w:ascii="Times New Roman" w:hAnsi="Times New Roman"/>
          <w:color w:val="000000"/>
          <w:sz w:val="20"/>
        </w:rPr>
        <w:t>”), with the Original Cohen Amount, the accrued interest thereon and other amounts due and payable (unless prepaid earlier or converted into shares of common stock) on August 14, 2027 (the “</w:t>
      </w:r>
      <w:r>
        <w:rPr>
          <w:rFonts w:ascii="Times New Roman" w:hAnsi="Times New Roman"/>
          <w:b/>
          <w:i/>
          <w:color w:val="000000"/>
          <w:sz w:val="20"/>
        </w:rPr>
        <w:t>Maturity Date</w:t>
      </w:r>
      <w:r>
        <w:rPr>
          <w:rFonts w:ascii="Times New Roman" w:hAnsi="Times New Roman"/>
          <w:color w:val="000000"/>
          <w:sz w:val="20"/>
        </w:rPr>
        <w:t>’). The note bears interest at 4.95% per annum. Starting from January 31, 2025, upon Cohen’s request, the Company shall pay Cohen the principal amount plus all of the accrued interest in increments of 1/18 of the outstanding principal amount (the “</w:t>
      </w:r>
      <w:r>
        <w:rPr>
          <w:rFonts w:ascii="Times New Roman" w:hAnsi="Times New Roman"/>
          <w:b/>
          <w:i/>
          <w:color w:val="000000"/>
          <w:sz w:val="20"/>
        </w:rPr>
        <w:t>Cohen Amortization Payment</w:t>
      </w:r>
      <w:r>
        <w:rPr>
          <w:rFonts w:ascii="Times New Roman" w:hAnsi="Times New Roman"/>
          <w:color w:val="000000"/>
          <w:sz w:val="20"/>
        </w:rPr>
        <w:t>”) on a date determined by Cohen (a “</w:t>
      </w:r>
      <w:r>
        <w:rPr>
          <w:rFonts w:ascii="Times New Roman" w:hAnsi="Times New Roman"/>
          <w:b/>
          <w:i/>
          <w:color w:val="000000"/>
          <w:sz w:val="20"/>
        </w:rPr>
        <w:t>Payment Date</w:t>
      </w:r>
      <w:r>
        <w:rPr>
          <w:rFonts w:ascii="Times New Roman" w:hAnsi="Times New Roman"/>
          <w:color w:val="000000"/>
          <w:sz w:val="20"/>
        </w:rPr>
        <w:t xml:space="preserve">”) until the Original Cohen Amount has been paid in full prior to or on the Maturity Date or, if earlier, upon acceleration, of prepayment of the note in accordance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terms of the note. At the option of the Company, the Cohen Amortization Payments shall be made in cash or in shares of ordinary shares of the Company,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hAnsi="Times New Roman"/>
          <w:i/>
          <w:color w:val="000000"/>
          <w:sz w:val="20"/>
        </w:rPr>
        <w:t>www.rezolve.com.</w:t>
      </w:r>
      <w:r>
        <w:rPr>
          <w:rFonts w:ascii="Times New Roman" w:hAnsi="Times New Roman"/>
          <w:color w:val="000000"/>
          <w:sz w:val="20"/>
        </w:rPr>
        <w:t xml:space="preserve"> Our website and the information contained on, or that can be accessed through, our website is not deemed to be incorporated by reference in, and is not considered part of, this prospectus.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Private Issuer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short-swing profit and insider trading reporting obligations under Section 16 of the Exchange Act. They will, however, be subject to the obligations to report changes in share ownership under Section 13 of the Exchange Act and related SEC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sz w:val="20"/>
        </w:rPr>
      </w:pPr>
      <w:r>
        <w:rPr>
          <w:rFonts w:ascii="Times New Roman" w:hAnsi="Times New Roman"/>
          <w:color w:val="000000"/>
          <w:sz w:val="20"/>
        </w:rPr>
        <w:t>You should consider carefully the risks and uncertainties described in this prospectus before investing in our securities. These risks are discussed more fully in the section titled “</w:t>
      </w:r>
      <w:r>
        <w:rPr>
          <w:rFonts w:ascii="Times New Roman" w:hAnsi="Times New Roman"/>
          <w:i/>
          <w:color w:val="000000"/>
          <w:sz w:val="20"/>
        </w:rPr>
        <w:t>Risk Factors”</w:t>
      </w:r>
      <w:r>
        <w:rPr>
          <w:rFonts w:ascii="Times New Roman" w:hAnsi="Times New Roman"/>
          <w:color w:val="000000"/>
          <w:sz w:val="20"/>
        </w:rPr>
        <w:t xml:space="preserve"> following this summary. If any of these risks actually occur, our business, financial condition or results of operations would likely be materially adversely affected.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generated limited revenues from existing Channels and there is no guarantee that it will be able to attract and retain new merchants and increase sales to new merchants.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an early-stage company with a history of financial losses and expects to incur significant expenses and continuing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worldwide economic conditions, including the resulting effect on spending by small and medium-sized businesses (“SMBs”) and spending on technology, may adversely affect Rezolve’s business,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Uneven economic growth or downturns or international trade and other global disruptions, geopolitical tensions, or disputes could adversely affect our business and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limited operating history in a new and developing market makes it difficult to evaluate its current business and future prospects and may increase the risk that it will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growth depends in part on the success of its strategic relationships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Non-performance under, termination, non-renewal or material modification of agreements with Rezolve’s business partners could have a material adverse effect on Rezolve’s business, financial condition and/or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business could be harmed if it fails to manage its growth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does not have the history with its solutions or pricing models necessary to accurately predict optimal pricing necessary to attract new merchants and retain existing merchants.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Rezolve’s business model, it may not be able to accurately assess its financial position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business is susceptible to risks associated with international sales and the use of its platform in various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rate fluctuations may negatively affect Rezolve’s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operating results are expected to be subject to seasonal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fails to improve and enhance the functionality, performance, reliability, design, security and scalability of its platform in a manner that responds to merchants’ evolving needs, its business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not be able to compete successfully against current and future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transactions on Rezolve’s platform may be subject to regulatory requirements and other risks that could be costly and difficult to comply with or that could harm Rezolve’s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need to raise additional funds to pursue its growth strategy or continue its operations, and Rezolve may be unable to raise capital when needed or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effectively develop and expand Rezolve’s marketing, sales, customer service, and content management capabilities could harm its ability to increase Rezolve’s customer base and achieve broader market acceptance of Rezolve’s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availability of Rezolve’s platform does not meet its service-level commitments to customers, Rezolve’s current and future revenues may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does not intend to pay dividends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regional or global health pandemic, including the global COVID-19 pandemic, may adversely impact Rezolve’s business, results of operations and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is unable to hire, retain and motivate qualified personnel, its business will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dependent on the continued services and performance of its senior management and other key employees, the loss of any of whom could adversely affect Rezolve’s business,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expects to be dependent upon consumers’ and merchants’ willingness to use the internet and internet-enabled mobile devices for commerce.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Rezolve’s software or platform contains serious errors or defects, Rezolve may lose revenues and market acceptance and may incur costs to defend or settle claims with its merchants.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denial of service attack or security breach or incident could delay or interrupt service to Rezolve’s merchants and their customers, harm Rezolve’s reputation and subject Rezolve to significant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uses a limited number of data centers to deliver its services. Any disruption of service at these facilities could harm Rezolve’s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relies on computer hardware, purchased or leased, and software licensed from and services rendered by third parties in order to provide its solutions and run its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does not or cannot maintain the compatibility of its platform with third-party applications that its customers use in their businesses, Rezolve’s revenues will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store and process personal data of its merchants and their customers. If the security of this information is compromised or otherwise subjected to unauthorized access, Rezolve’s reputation may be harmed and Rezolve may be exposed to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brand is important to its success. If Rezolve fails to effectively maintain, promote and enhance Rezolve’s brand, Rezolve’s business and competitive advantage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of merchants or the content of their shops could damage Rezolve’s brand, subject Rezolve to liability and harm its business and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fails to maintain a consistently high level of customer service, Rezolve’s brand, business and financial results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 subject to claims by third parties of intellectual property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use of “open source” software could negatively affect its ability to sell its solutions and subject Rezolve to possible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for indemnification by Rezolve’s directors and officers may reduce Rezolve’s available funds to satisfy successful third-party claims against Rezolve and may reduce the amount of money available to Rezolve.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trade tariffs, import restrictions, export restrictions, United States regulations or other trade barriers may materially harm Rezolve’s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Rezolve may be involved in legal proceedings and commercial or contractual disputes, which could have an adverse impact on Rezolve’s profitability and consolidated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of the Articles and English law could deter takeover attempts.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Ordinary Shares could be volatile, and the value of Ordinary Shares may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the Public Warrants will ever be in the money at the time they become exercisable or otherwise, and they may expire worthless.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market for our securities may not be sustained, which would adversely affect the liquidity and price of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Rezolve will be able to comply with the continued listing standards of Nasdaq.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securities or industry analysts publish reports that are interpreted negatively by the investment community or publish negative research reports about our business, our share price and trading volume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and our election to comply with the reduced disclosure requirements as a public company may make our Ordinary Shares less attractive to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a “foreign private issuer” and, as a result, we are permitted to rely on exemptions from certain stock exchange corporate governance standards applicable to U.S. issuers. This may afford less protection to holders of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lose our foreign private issuer status in the future, which could result in significant additional cost and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issuance of additional Ordinary Shares in connection with financings, acquisitions, investments, our stock incentive plans, or otherwise will dilute all other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holders that directly or indirectly own 10% or more of our equity interests may be subject to adverse U.S. federal income tax consequences under rules applicable to U.S. shareholders of controlled foreign corporations.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 shareholders may suffer adverse tax consequences if we are classified as a “passive foreign investment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Internal Revenue Service may not agree that Rezolve should be treated as a non-U.S. corporation for U.S. federal income tax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7" w:name="the_offering"/>
      <w:bookmarkEnd w:id="7"/>
      <w:r>
        <w:rPr>
          <w:rFonts w:ascii="Times New Roman" w:hAnsi="Times New Roman"/>
          <w:b/>
          <w:caps/>
          <w:color w:val="000000"/>
          <w:sz w:val="20"/>
        </w:rPr>
        <w:t>THE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registering the issuance by us of up to 7,499,994 Ordinary Shares that may be issued upon the exercise of Public Warrants. </w:t>
      </w:r>
    </w:p>
    <w:p>
      <w:pPr>
        <w:pStyle w:val="TextBody"/>
        <w:bidi w:val="0"/>
        <w:jc w:val="left"/>
        <w:rPr>
          <w:rFonts w:ascii="Times New Roman" w:hAnsi="Times New Roman"/>
          <w:sz w:val="20"/>
        </w:rPr>
      </w:pPr>
      <w:r>
        <w:rPr>
          <w:rFonts w:ascii="Times New Roman" w:hAnsi="Times New Roman"/>
          <w:color w:val="000000"/>
          <w:sz w:val="20"/>
        </w:rPr>
        <w:t>We are also registering the resale by the Selling Holders or their permitted transferees of up to 185,068,790 Ordinary Shares. Any investment in the securities offered hereby is speculative and involves a high degree of risk. You should carefully consider the information set forth under “</w:t>
      </w:r>
      <w:r>
        <w:rPr>
          <w:rFonts w:ascii="Times New Roman" w:hAnsi="Times New Roman"/>
          <w:i/>
          <w:color w:val="000000"/>
          <w:sz w:val="20"/>
        </w:rPr>
        <w:t>Risk Factors”</w:t>
      </w:r>
      <w:r>
        <w:rPr>
          <w:rFonts w:ascii="Times New Roman" w:hAnsi="Times New Roman"/>
          <w:color w:val="000000"/>
          <w:sz w:val="20"/>
        </w:rPr>
        <w:t xml:space="preserve"> on page 12 of this prospectus.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information is as of May 9, 2025 and does not give effect to issuances of Ordinary Shares or Warrants after such date, or the exercise of Warrants after such date.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Issuance of Ordinary Shares</w:t>
      </w:r>
    </w:p>
    <w:tbl>
      <w:tblPr>
        <w:tblW w:w="10205" w:type="dxa"/>
        <w:jc w:val="left"/>
        <w:tblInd w:w="0" w:type="dxa"/>
        <w:tblLayout w:type="fixed"/>
        <w:tblCellMar>
          <w:top w:w="28" w:type="dxa"/>
          <w:left w:w="28" w:type="dxa"/>
          <w:bottom w:w="28" w:type="dxa"/>
          <w:right w:w="28" w:type="dxa"/>
        </w:tblCellMar>
      </w:tblPr>
      <w:tblGrid>
        <w:gridCol w:w="1924"/>
        <w:gridCol w:w="8281"/>
      </w:tblGrid>
      <w:tr>
        <w:trPr/>
        <w:tc>
          <w:tcPr>
            <w:tcW w:w="1924" w:type="dxa"/>
            <w:tcBorders/>
            <w:vAlign w:val="center"/>
          </w:tcPr>
          <w:p>
            <w:pPr>
              <w:pStyle w:val="TableContents"/>
              <w:bidi w:val="0"/>
              <w:spacing w:before="0" w:after="283"/>
              <w:jc w:val="left"/>
              <w:rPr>
                <w:sz w:val="4"/>
                <w:szCs w:val="4"/>
              </w:rPr>
            </w:pPr>
            <w:r>
              <w:rPr>
                <w:sz w:val="4"/>
                <w:szCs w:val="4"/>
              </w:rPr>
            </w:r>
          </w:p>
        </w:tc>
        <w:tc>
          <w:tcPr>
            <w:tcW w:w="8281" w:type="dxa"/>
            <w:tcBorders/>
            <w:vAlign w:val="center"/>
          </w:tcPr>
          <w:p>
            <w:pPr>
              <w:pStyle w:val="TableContents"/>
              <w:bidi w:val="0"/>
              <w:spacing w:before="0" w:after="283"/>
              <w:jc w:val="left"/>
              <w:rPr>
                <w:sz w:val="4"/>
                <w:szCs w:val="4"/>
              </w:rPr>
            </w:pPr>
            <w:r>
              <w:rPr>
                <w:sz w:val="4"/>
                <w:szCs w:val="4"/>
              </w:rPr>
            </w:r>
          </w:p>
        </w:tc>
      </w:tr>
      <w:tr>
        <w:trPr/>
        <w:tc>
          <w:tcPr>
            <w:tcW w:w="1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to be issued upon exercise of all Public Warrants</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7,499,994 Ordinary Shares.</w:t>
            </w:r>
          </w:p>
        </w:tc>
      </w:tr>
      <w:tr>
        <w:trPr/>
        <w:tc>
          <w:tcPr>
            <w:tcW w:w="1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Ordinary Shares outstanding prior to exercise of all Public Warrants </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172,182,769 Ordinary Shares.</w:t>
            </w:r>
          </w:p>
        </w:tc>
      </w:tr>
      <w:tr>
        <w:trPr/>
        <w:tc>
          <w:tcPr>
            <w:tcW w:w="1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proceeds</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will receive up to an aggregate of approximately $86 million from the exercise of all Public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Resale of Ordinary Shares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sz w:val="4"/>
                <w:szCs w:val="4"/>
              </w:rPr>
            </w:pPr>
            <w:r>
              <w:rPr>
                <w:sz w:val="4"/>
                <w:szCs w:val="4"/>
              </w:rPr>
            </w:r>
          </w:p>
        </w:tc>
        <w:tc>
          <w:tcPr>
            <w:tcW w:w="9014" w:type="dxa"/>
            <w:tcBorders/>
            <w:vAlign w:val="center"/>
          </w:tcPr>
          <w:p>
            <w:pPr>
              <w:pStyle w:val="TableContents"/>
              <w:bidi w:val="0"/>
              <w:spacing w:before="0" w:after="283"/>
              <w:jc w:val="left"/>
              <w:rPr>
                <w:sz w:val="4"/>
                <w:szCs w:val="4"/>
              </w:rPr>
            </w:pPr>
            <w:r>
              <w:rPr>
                <w:sz w:val="4"/>
                <w:szCs w:val="4"/>
              </w:rPr>
            </w:r>
          </w:p>
        </w:tc>
      </w:tr>
      <w:tr>
        <w:trPr/>
        <w:tc>
          <w:tcPr>
            <w:tcW w:w="1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offered by the Selling Holders</w:t>
            </w:r>
          </w:p>
        </w:tc>
        <w:tc>
          <w:tcPr>
            <w:tcW w:w="9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156,515,540 Ordinary Shares, consisting of (i) 121,156,424 Ordinary Shares; (ii) 544,982 Ordinary Shares underlying Private Warrants; (iii) 19,079,139 Ordinary Shares issuable upon conversion of the Convertible Notes; (iv) 15,207,479 Ordinary Shares issuable pursuant to the advanced subscription agreements; (v) and 527,516 Ordinary Shares issuable upon the conversion of the Promissory Notes.</w:t>
            </w:r>
          </w:p>
        </w:tc>
      </w:tr>
      <w:tr>
        <w:trPr/>
        <w:tc>
          <w:tcPr>
            <w:tcW w:w="1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proceeds</w:t>
            </w:r>
          </w:p>
        </w:tc>
        <w:tc>
          <w:tcPr>
            <w:tcW w:w="9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 will not receive any proceeds from the sale of the Ordinary Shares and Public Warrants to be offered by the Selling Holders. With respect to Ordinary Shares underlying the Private Warrants, we will not receive any proceeds from such shares except with respect to amounts received by us upon exercise of such Private Warrants to the extent such Warrants are exercised for cash. The Private Warrants are currently out- of-the money. We do not expect warrant holders to exercise their Private Warrants and, therefore, we do not expect to receive cash proceeds from any such exercise, for so long as the Private Warrants remain out-of-the money. See the risk factor entitled “</w:t>
            </w:r>
            <w:r>
              <w:rPr>
                <w:rFonts w:ascii="Times New Roman" w:hAnsi="Times New Roman"/>
                <w:i/>
                <w:color w:val="000000"/>
                <w:sz w:val="20"/>
              </w:rPr>
              <w:t xml:space="preserve">There can be no assurance that the Public Warrants will ever be in the money at the time they become exercisable or otherwise, and they may expire worthless” </w:t>
            </w:r>
            <w:r>
              <w:rPr>
                <w:rFonts w:ascii="Times New Roman" w:hAnsi="Times New Roman"/>
                <w:color w:val="000000"/>
                <w:sz w:val="20"/>
              </w:rPr>
              <w:t>for more information.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4"/>
        <w:gridCol w:w="8691"/>
      </w:tblGrid>
      <w:tr>
        <w:trPr/>
        <w:tc>
          <w:tcPr>
            <w:tcW w:w="1514" w:type="dxa"/>
            <w:tcBorders/>
            <w:vAlign w:val="center"/>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r>
      <w:tr>
        <w:trPr/>
        <w:tc>
          <w:tcPr>
            <w:tcW w:w="1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Lock-up agreements</w:t>
            </w:r>
          </w:p>
        </w:tc>
        <w:tc>
          <w:tcPr>
            <w:tcW w:w="8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Certain securities that are owned by the Selling Holders are subject to the lock-up provisions pursuant to the Investor Rights Agreement, which provide for certain restrictions on transfer until the termination of applicable lock-up periods. See the Investor Rights Agreement, which is filed as an exhibit to the registration statement of which this prospectus forms a part.</w:t>
            </w:r>
          </w:p>
        </w:tc>
      </w:tr>
      <w:tr>
        <w:trPr/>
        <w:tc>
          <w:tcPr>
            <w:tcW w:w="15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Risk factors</w:t>
            </w:r>
          </w:p>
        </w:tc>
        <w:tc>
          <w:tcPr>
            <w:tcW w:w="8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See the section titled “</w:t>
            </w:r>
            <w:r>
              <w:rPr>
                <w:rFonts w:ascii="Times New Roman" w:hAnsi="Times New Roman"/>
                <w:i/>
                <w:color w:val="000000"/>
                <w:sz w:val="20"/>
              </w:rPr>
              <w:t>Risk Factors”</w:t>
            </w:r>
            <w:r>
              <w:rPr>
                <w:rFonts w:ascii="Times New Roman" w:hAnsi="Times New Roman"/>
                <w:color w:val="000000"/>
                <w:sz w:val="20"/>
              </w:rPr>
              <w:t> beginning on page 12 of this prospectus and other information included in this prospectus for a discussion of factors that you should consider carefully before deciding to invest in Ordinary Shares and Warrants.</w:t>
            </w:r>
          </w:p>
        </w:tc>
      </w:tr>
      <w:tr>
        <w:trPr/>
        <w:tc>
          <w:tcPr>
            <w:tcW w:w="151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Nasdaq symbol for Ordinary Shares</w:t>
            </w:r>
          </w:p>
          <w:p>
            <w:pPr>
              <w:pStyle w:val="TableContents"/>
              <w:bidi w:val="0"/>
              <w:spacing w:before="0" w:after="283"/>
              <w:jc w:val="left"/>
              <w:rPr/>
            </w:pPr>
            <w:r>
              <w:rPr/>
              <w:t> </w:t>
            </w:r>
          </w:p>
        </w:tc>
        <w:tc>
          <w:tcPr>
            <w:tcW w:w="869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0"/>
              </w:rPr>
              <w:t>RZLV.”</w:t>
            </w:r>
          </w:p>
        </w:tc>
      </w:tr>
      <w:tr>
        <w:trPr/>
        <w:tc>
          <w:tcPr>
            <w:tcW w:w="15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symbol for our warrants</w:t>
            </w:r>
          </w:p>
        </w:tc>
        <w:tc>
          <w:tcPr>
            <w:tcW w:w="869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0"/>
              </w:rPr>
              <w:t>RZLVW.”</w:t>
            </w:r>
          </w:p>
        </w:tc>
      </w:tr>
    </w:tbl>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8" w:name="risk_factors"/>
      <w:bookmarkEnd w:id="8"/>
      <w:r>
        <w:rPr>
          <w:rFonts w:ascii="Times New Roman" w:hAnsi="Times New Roman"/>
          <w:b/>
          <w:caps/>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 has generated limited revenues from existing channels and there is no guarantee that it will be able to attract and retain new merchants and increase sales to new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may also fail to attract new partners and retain existing partners as a result of a number of other factors, including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competitive factors affecting the software as a service, or SaaS, business software applications market, including the introduction of competing platforms, discount pricing and other strategies that may be implemented by Rezolve’s competitors;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Rezolve’s ability to execute on Rezolve’s growth strategy and operating plans;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decline in Rezolve’s partners’ level of satisfaction with Rezolve’s platform and usage of Rezolve’s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Rezolve’s relationships with third parties, including Rezolve’s partners, app developers, theme designers, referral sources and payment processors;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timeliness and success of Rezolve’s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any system outages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change;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an early-stage company with a history of financial losses and expects to incur significant expenses and continuing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impact of worldwide economic conditions, including the resulting effect on spending by SMBs and spending on technology, may adversely affect Rezolve’s business,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Uneven economic growth or downturns or international trade and other global disruptions, geopolitical tensions, or disputes could adversely affect our business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limited operating history in a new and developing market makes it difficult to evaluate its current business and future prospects and may increase the risk that it will not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growth depends in part on the success of its strategic relationships with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Rezolve anticipates that the growth of its business will continue to depend on third-party relationships, including relationships with its referral sources, resellers, payment processors and other partners. Identifying, negotiating and documenting relationships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Non-performance under, termination, non-renewal or material modification of agreements with Rezolve’s business partners could have a material adverse effect on Rezolve’s business, financial condition and/or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business could be harmed if it fails to manage its growth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does not have the history with its solutions or pricing models necessary to accurately predict optimal pricing necessary to attract new merchants and retain existing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a result of Rezolve’s business model, it may not be able to accurately assess its financial position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business is susceptible to risks associated with international sales and the use of its platform in various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international sales and the use of its platform in various countries subject Rezolve to risks that include, but are not limited to: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familiarity and burdens and complexity involved with complying with multiple, conflicting and changing foreign laws, standards, regulatory requirements, tariffs, export controls and other barriers;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ensuring compliance with countries’ multiple, conflicting and changing international trade, customs and sanctions laws;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complying with laws relating to privacy, data protection, and cybersecurity, including the UK General Data Protection Regulation, some of which may require that merchant and customer data be stored and processed in a designated territory;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systems integrators and technology partners;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technology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adverse tax consequences, including the complexities of foreign value added tax (or other tax) systems and restrictions on the repatriation of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difficulty in enforcing contracts, including Rezolve’s universal terms of service and other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or uncertain protection for intellectual property rights in some countries; and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and different sources of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Exchange rate fluctuations may negatively affect Rezolve’s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operating results are expected to be subject to seasonal fluctuations.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fails to improve and enhance the functionality, performance, reliability, design, security and scalability of its platform in a manner that responds to merchants’ evolving needs, its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not be able to compete successfully against current and future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Payment transactions on Rezolve’s platform may be subject to regulatory requirements and other risks that could be costly and difficult to comply with or that could harm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become subject to a number of risks related to payments processed through Instant Buy,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payment of interchange and other fees, which may increase Rezolve’s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is unable to maintain its chargeback rate at acceptable levels, its credit card fees may increase or credit card issuers may terminate their relationship with Rezolve;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costs and diversion of management time and effort and other resources to deal with fraudulent transactions or chargeback disputes;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fraudulent or otherwise illegal activity by merchants, their customers, developers, employees or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funds or required reserves related to payments;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disclosure and other requirements, including new reporting regulations and new credit card association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Rezolve is currently subject to a variety of laws and regulations in the U.S., Mexico, the UK, Europe, India and elsewhere related to payment processing, including those governing cross-border and domestic money transmission, electronic funds transfers,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time and focus from operating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of resources that are needed in other areas of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implementation or remediation of controls, procedures and policies of the acquired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difficulty integrating the accounting systems and operations of the acquired company, including potential risks to Rezolve’s corporate culture;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retention and integration of employees from the acquired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effects to Rezolve’s existing business relationships with partners and merchants as a result of the acquisition or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of adverse tax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claims arising in connection with the acquired company or investment;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foreign acquisitions, the need to integrate operations across different cultures and languages and to address the particular economic, currency, political and regulatory risks associated with specific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need to raise additional funds to pursue its growth strategy or continue its operations, and Rezolve may be unable to raise capital when needed or on acceptable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effectively develop and expand Rezolve’s marketing, sales, customer service, and content management capabilities could harm its ability to increase Rezolve’s customer base and achieve broader market acceptance of Rezolve’s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availability of Rezolve’s platform does not meet its service-level commitments to customers, Rezolve’s current and future revenues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does not intend to pay dividends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regional or global health pandemic, including the global COVID-19 pandemic, may adversely impact Rezolve’s business, results of operations and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Rezolve’s results have not been materially affected by COVID-19 to date, Rezolve is unable to accurately predict the impact that other global health crises will have on Rezolve’s or its business partners’ or customers’ operations.</w:t>
      </w:r>
    </w:p>
    <w:p>
      <w:pPr>
        <w:pStyle w:val="TextBody"/>
        <w:bidi w:val="0"/>
        <w:spacing w:before="240" w:after="283"/>
        <w:jc w:val="left"/>
        <w:rPr>
          <w:rFonts w:ascii="Times New Roman" w:hAnsi="Times New Roman"/>
          <w:sz w:val="20"/>
        </w:rPr>
      </w:pPr>
      <w:r>
        <w:rPr>
          <w:rFonts w:ascii="Times New Roman" w:hAnsi="Times New Roman"/>
          <w:color w:val="000000"/>
          <w:sz w:val="20"/>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hAnsi="Times New Roman"/>
          <w:i/>
          <w:color w:val="000000"/>
          <w:sz w:val="20"/>
        </w:rPr>
        <w:t>Risk Factors</w:t>
      </w:r>
      <w:r>
        <w:rPr>
          <w:rFonts w:ascii="Times New Roman" w:hAnsi="Times New Roman"/>
          <w:color w:val="000000"/>
          <w:sz w:val="20"/>
        </w:rPr>
        <w:t>” section.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is unable to hire, retain and motivate qualified personnel, its business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dependent on the continued services and performance of its senior management and other key employees, the loss of any of whom could adversely affect Rezolve’s business,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expects to be dependent upon consumers’ and merchants’ willingness to use the internet and internet-enabled mobile devices for commerce.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Rezolve’s Software, Platform, and 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Rezolve’s software or platform contains serious errors or defects, Rezolve may lose revenues and market acceptance and may incur costs to defend or settle claims with its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denial of service attack or security breach or incident could delay or interrupt service to Rezolve’s merchants and their customers, harm Rezolve’s reputation and subject Rezolve to significant liability.</w:t>
      </w:r>
    </w:p>
    <w:p>
      <w:pPr>
        <w:pStyle w:val="TextBody"/>
        <w:bidi w:val="0"/>
        <w:spacing w:before="120" w:after="283"/>
        <w:jc w:val="left"/>
        <w:rPr>
          <w:rFonts w:ascii="Times New Roman" w:hAnsi="Times New Roman"/>
          <w:sz w:val="20"/>
        </w:rPr>
      </w:pPr>
      <w:r>
        <w:rPr>
          <w:rFonts w:ascii="Times New Roman" w:hAnsi="Times New Roman"/>
          <w:color w:val="000000"/>
          <w:sz w:val="20"/>
        </w:rPr>
        <w:t>Rezolve’s platform and systems may be subject to distributed denial-of-service (“</w:t>
      </w:r>
      <w:r>
        <w:rPr>
          <w:rFonts w:ascii="Times New Roman" w:hAnsi="Times New Roman"/>
          <w:b/>
          <w:i/>
          <w:color w:val="000000"/>
          <w:sz w:val="20"/>
        </w:rPr>
        <w:t>DDoS</w:t>
      </w:r>
      <w:r>
        <w:rPr>
          <w:rFonts w:ascii="Times New Roman" w:hAnsi="Times New Roman"/>
          <w:color w:val="000000"/>
          <w:sz w:val="20"/>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uses a limited number of data centers to deliver its services. Any disruption of service at these facilities could harm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relies on computer hardware, purchased or leased, and software licensed from and services rendered by third parties in order to provide its solutions and run its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does not or cannot maintain the compatibility of its platform with third-party applications that its customers use in their businesses, Rezolve’s revenues will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store and process personal data of its merchants and their customers. If the security of this information is compromised or otherwise subjected to unauthorized access, Rezolve’s reputation may be harmed and Rezolve may be exposed to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hAnsi="Times New Roman"/>
          <w:b/>
          <w:i/>
          <w:color w:val="000000"/>
          <w:sz w:val="20"/>
        </w:rPr>
        <w:t>European Data Protection Laws</w:t>
      </w:r>
      <w:r>
        <w:rPr>
          <w:rFonts w:ascii="Times New Roman" w:hAnsi="Times New Roman"/>
          <w:color w:val="000000"/>
          <w:sz w:val="20"/>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Rezolve’s Brand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Rezolve’s brand is important to its success. If Rezolve fails to effectively maintain, promote and enhance Rezolve’s brand, Rezolve’s business and competitive advantage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Activities of merchants or the content of their shops could damage Rezolve’s brand, subject Rezolve to liability and harm its business and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fails to maintain a consistently high level of customer service, Rezolve’s brand, business and financial results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Relating to Rezolve’s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be subject to claims by third parties of intellectual property 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use of “open source” software could negatively affect its ability to sell its solutions and subject Rezolve to possible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Relating to Legal and Regulatory Compliance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Claims for indemnification by Rezolve’s directors and officers may reduce Rezolve’s available funds to satisfy successful third-party claims against Rezolve and may reduce the amount of money available to Rezolve.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Enhanced trade tariffs, import restrictions, export restrictions, United States regulations or other trade barriers may materially harm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From time to time, Rezolve may be involved in legal proceedings and commercial or contractual disputes, which could have an adverse impact on Rezolve’s profitability and consolidated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provisions of the Articles and English law could deter takeover attempts.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Ordinary Shares and Rezolve Operating as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Ordinary Shares could be volatile, and the value of Ordinary Shares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in the market prices and trading volumes of technology company stocks;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other technology companies generally, or those in Rezolve’s industry in particular;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shares of Ordinary Shares by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Rezolve, changes in financial estimates by securities analysts who follow Rezolve, or Rezolve’s failure to meet these estimates or the expectations of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Rezolve may provide to the public, any changes in those projections, or Rezolve’s failure to meet those projections;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Rezolve or its competitors of new offerings or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public’s reaction to Rezolve’s press releases, other public announcements, and filings with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how customers perceive the benefits of Rezolve’s offerings and services, and future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payment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rumors and market speculation involving Rezolve or other companies in the same or similar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Rezolve’s results of operations or fluctuations in Rezolve’s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developments in Rezolve’s business, Rezolve’s competitors’ businesses, or the competitive landscape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Rezolve, Rezolve’s industry or both, or investigations by regulators into Rezolve’s operations or those of Rezolve’s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Rezolve’s intellectual property or other 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security breach or incident involving our offerings, services or site or data stored or processed by us or on our behalf;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announced or completed acquisitions of businesses, commercial relationships, offerings, services, or technologies by Rezolve or its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standards, policies, guidelines, interpretations, or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adverse consequences related to the Rezolve Founder weighted voting capital structure, such as stock index providers excluding companies with weighted voting capital structures from certain indices;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significant change in Rezolve’s management;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conditions and slow or negative growth of Rezolve’s markets and war or other hostilities.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can be no assurance that the Public Warrants will ever be in the money at the time they become exercisable or otherwise, and they may expire worthless.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for the Public Warrants is $11.50 per Ordinary Share. There is no guarantee that such Public Warrants will ever be in the money prior to their expiration, and as such, the warrants may expire worthless.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market for our securities may not be sustained, which would adversely affect the liquidity and price of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can be no assurance that Rezolve will be able to comply with the continued listing standards of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Nasdaq delists Rezolve’s securities from trading on its exchange for failure to continue to comply with its listing standards, Rezolve and its stockholders could face significant material adverse consequences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availability of market quotations for Rezolve’s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limited amount of analyst coverage;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publish reports that are interpreted negatively by the investment community or publish negative research reports about our business, our share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our election to comply with the reduced disclosure requirements as a public company may make our Ordinary Shares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a “foreign private issuer” and, as a result, we are permitted to rely on exemptions from certain stock exchange corporate governance standards applicable to U.S. issuers. This may afford less protection to holders of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under the Exchange Act requiring the filing with the SEC of quarterly reports on Form 10-Q or current reports on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sections of the Exchange Act regulating the solicitation of proxies, consents, or authorizations in respect of a security registered under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sections of the Exchange Act requiring insiders to file public reports of their stock ownership and trading activities and liability for insiders who profit from trades made in a short period of time;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Nasdaq Rule 5635 requiring that a listed company obtain shareholder approval prior to an issuance of securities, including for acquisitions, equity-based compensation, changes of control, and private placements.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240" w:after="283"/>
        <w:jc w:val="left"/>
        <w:rPr>
          <w:rFonts w:ascii="Times New Roman" w:hAnsi="Times New Roman"/>
          <w:sz w:val="20"/>
        </w:rPr>
      </w:pPr>
      <w:r>
        <w:rPr>
          <w:rFonts w:ascii="Times New Roman" w:hAnsi="Times New Roman"/>
          <w:color w:val="000000"/>
          <w:sz w:val="20"/>
        </w:rPr>
        <w:t>In addition, as a foreign private issuer we will be exempt from the provisions of Regulation Fair Disclosure (“</w:t>
      </w:r>
      <w:r>
        <w:rPr>
          <w:rFonts w:ascii="Times New Roman" w:hAnsi="Times New Roman"/>
          <w:b/>
          <w:i/>
          <w:color w:val="000000"/>
          <w:sz w:val="20"/>
        </w:rPr>
        <w:t>Regulation FD</w:t>
      </w:r>
      <w:r>
        <w:rPr>
          <w:rFonts w:ascii="Times New Roman" w:hAnsi="Times New Roman"/>
          <w:color w:val="000000"/>
          <w:sz w:val="20"/>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lose our foreign private issuer status in the future, which could result in significant additional cost and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issuance of additional Ordinary Shares in connection with financings, acquisitions, investments, our stock incentive plans, or otherwise will dilute all other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holders that directly or indirectly own 10% or more of our equity interests may be subject to adverse U.S. federal income tax consequences under rules applicable to U.S. shareholders of controlled foreign corporations.</w:t>
      </w:r>
    </w:p>
    <w:p>
      <w:pPr>
        <w:pStyle w:val="TextBody"/>
        <w:bidi w:val="0"/>
        <w:spacing w:before="120" w:after="283"/>
        <w:jc w:val="left"/>
        <w:rPr>
          <w:rFonts w:ascii="Times New Roman" w:hAnsi="Times New Roman"/>
          <w:sz w:val="20"/>
        </w:rPr>
      </w:pPr>
      <w:r>
        <w:rPr>
          <w:rFonts w:ascii="Times New Roman" w:hAnsi="Times New Roman"/>
          <w:color w:val="000000"/>
          <w:sz w:val="20"/>
        </w:rPr>
        <w:t>A non-U.S. corporation generally will be classified as a controlled foreign corporation for U.S. federal income tax purposes (a “</w:t>
      </w:r>
      <w:r>
        <w:rPr>
          <w:rFonts w:ascii="Times New Roman" w:hAnsi="Times New Roman"/>
          <w:b/>
          <w:i/>
          <w:color w:val="000000"/>
          <w:sz w:val="20"/>
        </w:rPr>
        <w:t>CFC</w:t>
      </w:r>
      <w:r>
        <w:rPr>
          <w:rFonts w:ascii="Times New Roman" w:hAnsi="Times New Roman"/>
          <w:color w:val="000000"/>
          <w:sz w:val="20"/>
        </w:rPr>
        <w:t xml:space="preserve">”),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 shareholders may suffer adverse tax consequences if we are classified as a “passive foreign investment company.”</w:t>
      </w:r>
    </w:p>
    <w:p>
      <w:pPr>
        <w:pStyle w:val="TextBody"/>
        <w:bidi w:val="0"/>
        <w:spacing w:before="120" w:after="283"/>
        <w:jc w:val="left"/>
        <w:rPr>
          <w:rFonts w:ascii="Times New Roman" w:hAnsi="Times New Roman"/>
          <w:sz w:val="20"/>
        </w:rPr>
      </w:pPr>
      <w:r>
        <w:rPr>
          <w:rFonts w:ascii="Times New Roman" w:hAnsi="Times New Roman"/>
          <w:color w:val="000000"/>
          <w:sz w:val="20"/>
        </w:rPr>
        <w:t>A non-U.S. corporation generally will be treated as a “passive foreign investment company” (“</w:t>
      </w:r>
      <w:r>
        <w:rPr>
          <w:rFonts w:ascii="Times New Roman" w:hAnsi="Times New Roman"/>
          <w:b/>
          <w:i/>
          <w:color w:val="000000"/>
          <w:sz w:val="20"/>
        </w:rPr>
        <w:t>PFIC</w:t>
      </w:r>
      <w:r>
        <w:rPr>
          <w:rFonts w:ascii="Times New Roman" w:hAnsi="Times New Roman"/>
          <w:color w:val="000000"/>
          <w:sz w:val="20"/>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2024.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w:t>
      </w:r>
      <w:r>
        <w:rPr>
          <w:rFonts w:ascii="Times New Roman" w:hAnsi="Times New Roman"/>
          <w:i/>
          <w:color w:val="000000"/>
          <w:sz w:val="20"/>
        </w:rPr>
        <w:t>Material Tax Considerations</w:t>
      </w:r>
      <w:r>
        <w:rPr>
          <w:rFonts w:ascii="Times New Roman" w:hAnsi="Times New Roman"/>
          <w:color w:val="000000"/>
          <w:sz w:val="20"/>
        </w:rPr>
        <w:t xml:space="preserve">”). Prospective U.S. Holders should consult their tax advisors regarding the potential application of the PFIC rules to them.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Internal Revenue Service may not agree that Rezolve should be treated as a non-U.S. corporation for U.S. federal income tax purposes.</w:t>
      </w:r>
    </w:p>
    <w:p>
      <w:pPr>
        <w:pStyle w:val="TextBody"/>
        <w:bidi w:val="0"/>
        <w:spacing w:before="120" w:after="283"/>
        <w:jc w:val="left"/>
        <w:rPr>
          <w:rFonts w:ascii="Times New Roman" w:hAnsi="Times New Roman"/>
          <w:sz w:val="20"/>
        </w:rPr>
      </w:pPr>
      <w:r>
        <w:rPr>
          <w:rFonts w:ascii="Times New Roman" w:hAnsi="Times New Roman"/>
          <w:color w:val="000000"/>
          <w:sz w:val="20"/>
        </w:rPr>
        <w:t>Although Rezolve is incorporated in England and Wales, the Internal Revenue Service (“</w:t>
      </w:r>
      <w:r>
        <w:rPr>
          <w:rFonts w:ascii="Times New Roman" w:hAnsi="Times New Roman"/>
          <w:b/>
          <w:i/>
          <w:color w:val="000000"/>
          <w:sz w:val="20"/>
        </w:rPr>
        <w:t>IRS</w:t>
      </w:r>
      <w:r>
        <w:rPr>
          <w:rFonts w:ascii="Times New Roman" w:hAnsi="Times New Roman"/>
          <w:color w:val="000000"/>
          <w:sz w:val="20"/>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9" w:name="use_of_proceeds"/>
      <w:bookmarkEnd w:id="9"/>
      <w:r>
        <w:rPr>
          <w:rFonts w:ascii="Times New Roman" w:hAnsi="Times New Roman"/>
          <w:b/>
          <w:caps/>
          <w:color w:val="000000"/>
          <w:sz w:val="20"/>
        </w:rPr>
        <w:t>USE OF PROCEEDS</w:t>
      </w:r>
    </w:p>
    <w:p>
      <w:pPr>
        <w:pStyle w:val="TextBody"/>
        <w:bidi w:val="0"/>
        <w:jc w:val="left"/>
        <w:rPr/>
      </w:pPr>
      <w:r>
        <w:rPr/>
        <w:t> </w:t>
      </w:r>
    </w:p>
    <w:p>
      <w:pPr>
        <w:pStyle w:val="TextBody"/>
        <w:bidi w:val="0"/>
        <w:jc w:val="left"/>
        <w:rPr>
          <w:rFonts w:ascii="Times New Roman" w:hAnsi="Times New Roman"/>
          <w:color w:val="000000"/>
          <w:sz w:val="20"/>
        </w:rPr>
      </w:pPr>
      <w:bookmarkStart w:id="10" w:name="dilution"/>
      <w:bookmarkEnd w:id="10"/>
      <w:r>
        <w:rPr>
          <w:rFonts w:ascii="Times New Roman" w:hAnsi="Times New Roman"/>
          <w:color w:val="000000"/>
          <w:sz w:val="20"/>
        </w:rPr>
        <w:t xml:space="preserve">All of the securities offered by the Selling Holders pursuant to this prospectus will be sold by the Selling Holders for their respective accounts. We will not receive any of the proceeds from these sales.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could receive up to an aggregate of approximately $86 million from the exercise of all Public Warrants, and up to an aggregate of approximately $4.5 million from the exercise of all Private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However, as of the date of this prospectus, our Public Warrants are “out-of-the money,” which means that the trading price of the Ordinary Shares underlying the Public Warrants is below the $11.50 exercise price of the Public Warrants. For so long as the warrants remain “out-of-the money,” we do not expect warrant holders to exercise their Public Warrants and, therefore, we do not expect to receive cash proceeds from any such exercise. See the risk factor entitled “</w:t>
      </w:r>
      <w:r>
        <w:rPr>
          <w:rFonts w:ascii="Times New Roman" w:hAnsi="Times New Roman"/>
          <w:i/>
          <w:color w:val="000000"/>
          <w:sz w:val="20"/>
        </w:rPr>
        <w:t>There can be no assurance that the Public Warrants will ever be in the money at the time they become exercisable or otherwise, and they may expire worthless”</w:t>
      </w:r>
      <w:r>
        <w:rPr>
          <w:rFonts w:ascii="Times New Roman" w:hAnsi="Times New Roman"/>
          <w:color w:val="000000"/>
          <w:sz w:val="20"/>
        </w:rPr>
        <w:t xml:space="preserve"> for more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MARKET PRICE OF OUR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May 9, 2025, there were approximately 2 shareholders of record of Ordinary Shares and one shareholder of record of Warrants. Such numbers do not include beneficial owners holding our securities through nominee names. On May 8, 2025, the last reported closing sale prices of our Ordinary Shares and Public Warrants were $2.30 and $0.62,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bookmarkStart w:id="11" w:name="unaudited_pro_forma_condensed"/>
      <w:bookmarkEnd w:id="11"/>
      <w:r>
        <w:rPr>
          <w:rFonts w:ascii="Times New Roman" w:hAnsi="Times New Roman"/>
          <w:b/>
          <w:color w:val="000000"/>
          <w:sz w:val="20"/>
        </w:rPr>
        <w:t>UNAUDITED PRO FORMA CONDENSED COMBINED FINANCIAL INFORMATION</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Defined terms included below have the same meaning as terms defined and included elsewhere in this prospectus.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DBLP is a related party and is wholly legally owned by Daniel Wagner and beneficially owned by John Wagner. Both Daniel Wagner and John Wagner are directors of DBLP.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Bluedot Industries, Inc., Bluedot Industries Pty. Ltd. and Bluedot Innovation Pty. Ltd, together “Bluedot”, is a developer of mobile location technology to enhance customer experiences.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and March 17, 2025, the Company closed the acquisition of Bluedot and issued the above mentioned ordinary shares as consideration to DBLP and the Tanist Group,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Bluedot was not deemed significant under Rule 3-05 of Regulation S-X (“Rule 3-05”).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GroupBy is an eCommerce Search and Product Discovery SaaS technology provider that powers some of the largest B2B and B2C brands.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2025, Rezolve closed the GroupBy acquisition. As consideration for the GroupBy acquisition, the Company issued an aggregate of 3,999,902 of its ordinary shares of the Company in a private placement to the Sellers.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acquisition of GroupBy was deemed significant under Rule 3-05 and separate financial statements for GroupBy are included elsewhere in this prospectus.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Unaudited Pro Forma Condensed Combined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pro forma condensed combined financial information is provided for illustrative purposes only and does not purport to represent what the actual consolidated results of operations of Rezolve would have been had the Bluedot acquisition and the 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pro forma financial statements have been developed from and should be read in conjunction 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historical audited consolidated financial statements of Rezolve as of, and for the years ended, December 31, 2024 and 2023, included elsewhere in this prospectus;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historical audited combined consolidated financial statements for GroupBy as of, and for the years ended, December 31, 2024 and 2023, included elsewhere in this prospectus;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section entitled “</w:t>
      </w:r>
      <w:r>
        <w:rPr>
          <w:rFonts w:ascii="Times New Roman" w:hAnsi="Times New Roman"/>
          <w:i/>
          <w:color w:val="000000"/>
          <w:sz w:val="20"/>
        </w:rPr>
        <w:t>Management’s Discussion and Analysis of Financial Condition and Results of Operation</w:t>
      </w:r>
      <w:r>
        <w:rPr>
          <w:rFonts w:ascii="Times New Roman" w:hAnsi="Times New Roman"/>
          <w:color w:val="000000"/>
          <w:sz w:val="20"/>
        </w:rPr>
        <w:t xml:space="preserve">s.” included elsewhere in this prospectus.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REZOLVE AI plc AND SUBSIDIARIES</w:t>
      </w:r>
    </w:p>
    <w:p>
      <w:pPr>
        <w:pStyle w:val="TextBody"/>
        <w:bidi w:val="0"/>
        <w:jc w:val="center"/>
        <w:rPr>
          <w:rFonts w:ascii="Times New Roman" w:hAnsi="Times New Roman"/>
          <w:b/>
          <w:color w:val="000000"/>
          <w:sz w:val="17"/>
        </w:rPr>
      </w:pPr>
      <w:r>
        <w:rPr>
          <w:rFonts w:ascii="Times New Roman" w:hAnsi="Times New Roman"/>
          <w:b/>
          <w:color w:val="000000"/>
          <w:sz w:val="17"/>
        </w:rPr>
        <w:t>UNAUDITED PRO FORMA CONDENSED COMBINED BALANCE SHEET</w:t>
      </w:r>
    </w:p>
    <w:tbl>
      <w:tblPr>
        <w:tblW w:w="10440" w:type="dxa"/>
        <w:jc w:val="left"/>
        <w:tblInd w:w="0" w:type="dxa"/>
        <w:tblLayout w:type="fixed"/>
        <w:tblCellMar>
          <w:top w:w="28" w:type="dxa"/>
          <w:left w:w="28" w:type="dxa"/>
          <w:bottom w:w="28" w:type="dxa"/>
          <w:right w:w="28" w:type="dxa"/>
        </w:tblCellMar>
      </w:tblPr>
      <w:tblGrid>
        <w:gridCol w:w="991"/>
        <w:gridCol w:w="146"/>
        <w:gridCol w:w="181"/>
        <w:gridCol w:w="886"/>
        <w:gridCol w:w="151"/>
        <w:gridCol w:w="146"/>
        <w:gridCol w:w="181"/>
        <w:gridCol w:w="811"/>
        <w:gridCol w:w="151"/>
        <w:gridCol w:w="146"/>
        <w:gridCol w:w="181"/>
        <w:gridCol w:w="811"/>
        <w:gridCol w:w="151"/>
        <w:gridCol w:w="146"/>
        <w:gridCol w:w="181"/>
        <w:gridCol w:w="736"/>
        <w:gridCol w:w="151"/>
        <w:gridCol w:w="146"/>
        <w:gridCol w:w="181"/>
        <w:gridCol w:w="811"/>
        <w:gridCol w:w="151"/>
        <w:gridCol w:w="211"/>
        <w:gridCol w:w="181"/>
        <w:gridCol w:w="811"/>
        <w:gridCol w:w="151"/>
        <w:gridCol w:w="241"/>
        <w:gridCol w:w="181"/>
        <w:gridCol w:w="886"/>
        <w:gridCol w:w="151"/>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5" w:type="dxa"/>
            <w:gridSpan w:val="1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Rezolve AI plc and Subsidiaries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GroupBy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Bluedot Industries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Bluedot Innovation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GroupBy</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 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 =</w:t>
              <w:br/>
              <w:t>A+B+C+D+E+F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9,450,944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6,482,298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16,211,876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1,148,861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682,432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1,852,567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960,848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Derivative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13,020,647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8,999,708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961,035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22,991,421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6,750,178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6,276,731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47,495,213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4,580,673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1,093,939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5,674,612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174,568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384,408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384,408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6,767,510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174,568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430,664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72,386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38,990,444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7,370,670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53,806,242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19,788,157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9,174,276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1,391,699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72,417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39,000,444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7,370,670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76,797,663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7,303,060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21,598,041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1,371,844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a,i</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32,065,839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1,054,429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1,054,429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9,513,932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1,089,012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10,602,944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Short term debt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5,102,211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589,940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5,692,151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Short term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10,288,123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10,288,123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Short term convertible debt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6,428,825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6,428,825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payment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Advisors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12,812,366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12,812,366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Bank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8,584,886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1,161,723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9,746,609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k</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57,784,739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42,246,145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4,333,757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(10,648,305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295,846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94,016,148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11,563,051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148,945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108,238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10,335,000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1,228,051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11,820,234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57,784,739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42,395,090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4,333,757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112,204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(313,305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1,523,897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105,836,382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£0.0001 nominal value 208,260,754 shares issued and outstanding as of December 31, 2024; 152,262,295 shares issued and outstanding as of December 31, 2023; 256,365,817 and 161,710,480 shares authorized as of December 31, 2024 and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shares, £0.0001 nominal value 4,575,983 shares issued, authorized and 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14,005,728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(14,005,728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194,062,767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6,291,080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21,626,882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3,324,360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11,767,156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(20,562,772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216,509,473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subscription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(232,075,815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(58,196,350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(24,831,035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(3,285,194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46,229,426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g,h,i</w:t>
              <w:br/>
              <w:t>k,l,p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26,592,332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j,m,p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(245,566,636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261,095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(261,095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4,678,728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(4,678,728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q</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shareholders'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(37,996,582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(33,220,814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(2,942,058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(39,787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39,313,749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5,846,773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(29,038,719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19,788,157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9,174,276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1,391,699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72,417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39,000,444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7,370,670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76,797,663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5"/>
        </w:rPr>
      </w:pPr>
      <w:r>
        <w:rPr>
          <w:rFonts w:ascii="Times New Roman" w:hAnsi="Times New Roman"/>
          <w:i/>
          <w:color w:val="000000"/>
          <w:sz w:val="15"/>
        </w:rPr>
        <w:t>See accompanying notes to the unaudited pro forma condensed combined financial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UNAUDITED PRO FORMA CONDENSED COMBINED STATEMENT OF OPERATIONS</w:t>
      </w:r>
    </w:p>
    <w:p>
      <w:pPr>
        <w:pStyle w:val="TextBody"/>
        <w:bidi w:val="0"/>
        <w:jc w:val="center"/>
        <w:rPr/>
      </w:pPr>
      <w:r>
        <w:rPr/>
        <w:t> </w:t>
      </w:r>
    </w:p>
    <w:tbl>
      <w:tblPr>
        <w:tblW w:w="10213" w:type="dxa"/>
        <w:jc w:val="left"/>
        <w:tblInd w:w="0" w:type="dxa"/>
        <w:tblLayout w:type="fixed"/>
        <w:tblCellMar>
          <w:top w:w="28" w:type="dxa"/>
          <w:left w:w="28" w:type="dxa"/>
          <w:bottom w:w="28" w:type="dxa"/>
          <w:right w:w="28" w:type="dxa"/>
        </w:tblCellMar>
      </w:tblPr>
      <w:tblGrid>
        <w:gridCol w:w="1036"/>
        <w:gridCol w:w="181"/>
        <w:gridCol w:w="886"/>
        <w:gridCol w:w="151"/>
        <w:gridCol w:w="146"/>
        <w:gridCol w:w="181"/>
        <w:gridCol w:w="766"/>
        <w:gridCol w:w="151"/>
        <w:gridCol w:w="146"/>
        <w:gridCol w:w="181"/>
        <w:gridCol w:w="691"/>
        <w:gridCol w:w="151"/>
        <w:gridCol w:w="146"/>
        <w:gridCol w:w="184"/>
        <w:gridCol w:w="597"/>
        <w:gridCol w:w="151"/>
        <w:gridCol w:w="196"/>
        <w:gridCol w:w="181"/>
        <w:gridCol w:w="811"/>
        <w:gridCol w:w="151"/>
        <w:gridCol w:w="256"/>
        <w:gridCol w:w="181"/>
        <w:gridCol w:w="736"/>
        <w:gridCol w:w="151"/>
        <w:gridCol w:w="226"/>
        <w:gridCol w:w="181"/>
        <w:gridCol w:w="886"/>
        <w:gridCol w:w="151"/>
        <w:gridCol w:w="361"/>
      </w:tblGrid>
      <w:tr>
        <w:trPr/>
        <w:tc>
          <w:tcPr>
            <w:tcW w:w="10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0" w:type="dxa"/>
            <w:gridSpan w:val="1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Proforma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Rezolve AI plc and Subsidiaries</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GroupBy </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 Industries</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 Innovation</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GroupBy</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 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 =</w:t>
              <w:br/>
              <w:t>A+B+C+D+E+F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187,788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18,890,934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2,092,315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485,860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21,656,897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Cost of 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11,874,137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Sales and marketing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6,285,446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4,906,824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402,441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11,594,711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General and administrative expenses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131,430,412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2,789,811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721,269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135,078,025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operating expenses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Depreciation and amortization expenses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200,370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5,652,966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s,z</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1,053,673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t,u</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7,170,282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Research and development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6,835,367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1,152,807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7,988,174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operating expenses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138,230,574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26,606,509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2,435,293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62,001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5,765,520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1,053,673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174,153,570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loss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(138,042,786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(7,715,575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(342,978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423,859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(5,765,520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(1,053,673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(152,496,673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(expense) income</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(expense)/income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(10,557,714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(1,152,396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(203,053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1,173,596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v,z</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(10,741,557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Gain/(loss) on derivatives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19,001,681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19,001,681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Gain/(loss) on extinguishment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(44,332,819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w:t>
              <w:br/>
              <w:t>aa</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(44,612,670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non-operating income (expense), net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1,329,781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(1,361,844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x</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(295,847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(348,079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other (expenses) / income, net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(34,559,071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(1,183,758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(191,860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(468,099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(295,847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(loss) before taxes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(172,601,857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(8,899,333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(534,838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421,869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(6,233,619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(1,349,520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(189,197,298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 expense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bb</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cc</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(11,712,061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 income</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(172,646,790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(8,932,857</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(555,324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371,802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(16,568,619</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(2,577,571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(200,909,358</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Earnings Per Share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3"/>
              </w:rPr>
              <w:t>dd</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Basic and diluted weighted average shares outstanding</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162,855,146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178,157,563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3"/>
              </w:rPr>
              <w:t>dd</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17"/>
        </w:rPr>
      </w:pPr>
      <w:r>
        <w:rPr>
          <w:rFonts w:ascii="Times New Roman" w:hAnsi="Times New Roman"/>
          <w:i/>
          <w:color w:val="000000"/>
          <w:sz w:val="17"/>
        </w:rPr>
        <w:t>See accompanying notes to the unaudited pro forma condensed combined financial information.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PRO FORMA CONDENSED COMBINED FINANCIAL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unaudited pro forma condensed combined financial information has been prepared in accordance with Article 11 of Regulation S-X as amended by the final rule, Release No. 33-10786 “Amendments to Financial Disclosures about Acquired and Disposed Businesses.”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GroupBy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accounted for the acquisition of Bluedot Industries, Inc. and Bluedot Industries Pty. Ltd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the acquisition of Bluedot Industries, Inc. and Bluedot Industries Pty. Ltd,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Unaudited Pro Forma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utilized the services of an independent valuation consultant, along with estimates and assumptions determined by management, to estimate the fair value of the assets acquired and liabilities assumed. Given the timing of the Bluedot acquisition and the GroupBy acquisition, the assets acquired is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does not give effect to any anticipated synergies, operating efficiencies, tax savings, or cost savings that may be associated with the Bluedot acquisition and the GroupBy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2—Unaudited pro forma condensed combined balance sheet adjustments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 forma adjustments to the unaudited pro forma condensed combined balance sheet as of December 31, 2024 are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adjustments to intangible assets of GroupBy based on the fair values assigned in the preliminary purchase price allocation to: (1) Technology intellectual property and (2) Customer contract and related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adjustments to intangible assets of acquisition of Bluedot Industries, Inc. and Bluedot Industries Pty. Ltd based on the fair values assigned in the preliminary purchase price allocation to: Customer contract and related relationships.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adjustments to intangible assets of Bluedot Innovation Pty. Ltd based on the preliminary allocation of costs for the asset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recognition of goodwill for GroupBy based on the preliminary purchase price allocation.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recognition of goodwill for Bluedot Industries, Inc. and Bluedot Industries Pty. Ltd based on the preliminary purchase price allocation.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GroupBy, including, but not limited to advisory fees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Bluedot Industries, Inc. and Bluedot Industries Pty. Ltd , including, but not limited to advisory fees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an adjustment for the cancellation all warrant liabilities to which GroupBy is a party as one of the conditions for the closing of the 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the issuance of ordinary shares as consideration for the acquisitions of Bluedot: the Company issued 819,737 ordinary shares of the Company to DBLP and 1,941,111 ordinary shares of the Company to the Tanist Group.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elimination of accumulated deficit and other consolidation adjustments as a result of acquisition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an adjustment for the cancellation all warrants recognized in equity to which GroupBy is a party as one of the conditions for the closing of the GroupBy acquisition.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3—Unaudited pro forma condensed combined statements of operations adjustments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for Bluedot Innovation Pty. Ltd for the year ended December 31, 2024 represents revenue from a government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add incremental depreciation expense for GroupBy based on the fair values assigned in the preliminary purchase price allocation to technology intellectual property and customer contract and related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add incremental depreciation expense for Bluedot Industries, Inc. and Bluedot Industries Pty. Ltd based on the fair values assigned in the preliminary purchase price allocation to customer contract and related relationships.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Adjustment to add incremental depreciation expense for Bluedot Innovation Pty. Ltd based on the values assigned to technology intellectual property based on the preliminary allocation of costs for the asset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GroupBy including, but not limited to advisory fees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Bluedot Industries, Inc. and Bluedot Industries Pty. Ltd including, but not limited to advisory fees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an adjustment for the cancellation all warrant liabilities to which GroupBy is a party as one of the conditions for the closing of the 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2" w:name="managements_discussion_and_analysis_of"/>
      <w:bookmarkEnd w:id="12"/>
      <w:r>
        <w:rPr>
          <w:rFonts w:ascii="Times New Roman" w:hAnsi="Times New Roman"/>
          <w:b/>
          <w:caps/>
          <w:color w:val="000000"/>
          <w:sz w:val="20"/>
        </w:rPr>
        <w:t>MANAGEMENT’S DISCUSSION AND ANALYSIS OF</w:t>
      </w:r>
    </w:p>
    <w:p>
      <w:pPr>
        <w:pStyle w:val="TextBody"/>
        <w:bidi w:val="0"/>
        <w:jc w:val="center"/>
        <w:rPr>
          <w:rFonts w:ascii="Times New Roman" w:hAnsi="Times New Roman"/>
          <w:b/>
          <w:caps/>
          <w:color w:val="000000"/>
          <w:sz w:val="20"/>
        </w:rPr>
      </w:pPr>
      <w:r>
        <w:rPr>
          <w:rFonts w:ascii="Times New Roman" w:hAnsi="Times New Roman"/>
          <w:b/>
          <w:caps/>
          <w:color w:val="000000"/>
          <w:sz w:val="20"/>
        </w:rPr>
        <w:t>FINANCIAL CONDITION AND RESULTS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recognized</w:t>
      </w:r>
      <w:r>
        <w:rPr>
          <w:rFonts w:ascii="Times New Roman" w:hAnsi="Times New Roman"/>
          <w:color w:val="000000"/>
          <w:sz w:val="13"/>
        </w:rPr>
        <w:t>2</w:t>
      </w:r>
      <w:r>
        <w:rPr>
          <w:rFonts w:ascii="Times New Roman" w:hAnsi="Times New Roman"/>
          <w:color w:val="000000"/>
          <w:sz w:val="20"/>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pStyle w:val="TextBody"/>
        <w:bidi w:val="0"/>
        <w:spacing w:before="240" w:after="283"/>
        <w:jc w:val="left"/>
        <w:rPr>
          <w:rFonts w:ascii="Times New Roman" w:hAnsi="Times New Roman"/>
          <w:sz w:val="20"/>
        </w:rPr>
      </w:pPr>
      <w:r>
        <w:rPr>
          <w:rFonts w:ascii="Times New Roman" w:hAnsi="Times New Roman"/>
          <w:color w:val="000000"/>
          <w:sz w:val="20"/>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hAnsi="Times New Roman"/>
          <w:i/>
          <w:color w:val="000000"/>
          <w:sz w:val="20"/>
        </w:rPr>
        <w:t>Partner Agreements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derive our revenue through the transaction fees based on sales of ticketing for La Liga football events in Spain.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additional capital through the issuance of debtor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Generating revenue by execution of successful trials and long-term partner arrangements..</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Please see Rezolve Press Release dated July 25, 2023, available at https://www.rezolve.com/investors/britainsbrain-heralds-new-era-of-commerce-enabled-ai/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Reducing expenses by taking restructuring actions and reducing the number of employees and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capital expenditures.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future performance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Growth from Transactions</w:t>
      </w:r>
      <w:r>
        <w:rPr>
          <w:rFonts w:ascii="Times New Roman" w:hAnsi="Times New Roman"/>
          <w:color w:val="000000"/>
          <w:sz w:val="20"/>
        </w:rPr>
        <w:t>: Our growth depends on SaaS subscription fees and commissions earned from merchant’s transactions with their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New Merchant Acquisition</w:t>
      </w:r>
      <w:r>
        <w:rPr>
          <w:rFonts w:ascii="Times New Roman" w:hAnsi="Times New Roman"/>
          <w:color w:val="000000"/>
          <w:sz w:val="20"/>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Successful Expansion to Additional Geographies</w:t>
      </w:r>
      <w:r>
        <w:rPr>
          <w:rFonts w:ascii="Times New Roman" w:hAnsi="Times New Roman"/>
          <w:color w:val="000000"/>
          <w:sz w:val="20"/>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Merchant Retention and Expansion</w:t>
      </w:r>
      <w:r>
        <w:rPr>
          <w:rFonts w:ascii="Times New Roman" w:hAnsi="Times New Roman"/>
          <w:color w:val="000000"/>
          <w:sz w:val="20"/>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Offering and service enhancement</w:t>
      </w:r>
      <w:r>
        <w:rPr>
          <w:rFonts w:ascii="Times New Roman" w:hAnsi="Times New Roman"/>
          <w:color w:val="000000"/>
          <w:sz w:val="20"/>
        </w:rPr>
        <w:t>: We intend to continue investing in the capabilities of our offerings and services to deliver better value for our users and merchants and address new market opportunities. Additionally, we will work to perfect our platform service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Growth through Mergers &amp; Acquisitions</w:t>
      </w:r>
      <w:r>
        <w:rPr>
          <w:rFonts w:ascii="Times New Roman" w:hAnsi="Times New Roman"/>
          <w:color w:val="000000"/>
          <w:sz w:val="20"/>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transaction revenues through the sale of ticketing of football events using our technology with La Liga in Spain.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consist of cost of revenues, employee benefit expenses, consultancy expense, sales and marketing expenses, business development expenses, general and administrative expenses, and depreciation and amortization.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Cost of revenues</w:t>
      </w:r>
      <w:r>
        <w:rPr>
          <w:rFonts w:ascii="Times New Roman" w:hAnsi="Times New Roman"/>
          <w:color w:val="000000"/>
          <w:sz w:val="20"/>
        </w:rPr>
        <w:t>: Our cost of revenues consists primarily of the materials and consumables.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Sales and marketing</w:t>
      </w:r>
      <w:r>
        <w:rPr>
          <w:rFonts w:ascii="Times New Roman" w:hAnsi="Times New Roman"/>
          <w:color w:val="000000"/>
          <w:sz w:val="20"/>
        </w:rPr>
        <w:t>: Costs primarily consist of consulting fees as well as salaries, pension contributions and share-based compensation for sales and marketing employees.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General and administrative</w:t>
      </w:r>
      <w:r>
        <w:rPr>
          <w:rFonts w:ascii="Times New Roman" w:hAnsi="Times New Roman"/>
          <w:color w:val="000000"/>
          <w:sz w:val="20"/>
        </w:rPr>
        <w:t xml:space="preserve">: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and fees and share-based compensation for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Depreciation and amortization</w:t>
      </w:r>
      <w:r>
        <w:rPr>
          <w:rFonts w:ascii="Times New Roman" w:hAnsi="Times New Roman"/>
          <w:color w:val="000000"/>
          <w:sz w:val="20"/>
        </w:rPr>
        <w:t xml:space="preserve">: primarily consists of amortization of software and acquired information technology intangible assets as well as depreciation of fixed tangible assets.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Other operating expenses</w:t>
      </w:r>
      <w:r>
        <w:rPr>
          <w:rFonts w:ascii="Times New Roman" w:hAnsi="Times New Roman"/>
          <w:color w:val="000000"/>
          <w:sz w:val="20"/>
        </w:rPr>
        <w:t xml:space="preserve">: consists of an impairment charges on loan receivables.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Interest expense consists primarily of costs associated with short term debt and convertible debt.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Non-Operating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years ended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consolidated statements of operations for the years ended December 31, 2024 and December 31, 2023:</w:t>
      </w:r>
    </w:p>
    <w:p>
      <w:pPr>
        <w:pStyle w:val="TextBody"/>
        <w:bidi w:val="0"/>
        <w:jc w:val="left"/>
        <w:rPr/>
      </w:pPr>
      <w:r>
        <w:rPr/>
        <w:t> </w:t>
      </w:r>
    </w:p>
    <w:tbl>
      <w:tblPr>
        <w:tblW w:w="7174" w:type="dxa"/>
        <w:jc w:val="left"/>
        <w:tblInd w:w="0" w:type="dxa"/>
        <w:tblLayout w:type="fixed"/>
        <w:tblCellMar>
          <w:top w:w="28" w:type="dxa"/>
          <w:left w:w="28" w:type="dxa"/>
          <w:bottom w:w="28" w:type="dxa"/>
          <w:right w:w="28" w:type="dxa"/>
        </w:tblCellMar>
      </w:tblPr>
      <w:tblGrid>
        <w:gridCol w:w="3686"/>
        <w:gridCol w:w="211"/>
        <w:gridCol w:w="146"/>
        <w:gridCol w:w="1201"/>
        <w:gridCol w:w="166"/>
        <w:gridCol w:w="211"/>
        <w:gridCol w:w="146"/>
        <w:gridCol w:w="1096"/>
        <w:gridCol w:w="311"/>
      </w:tblGrid>
      <w:tr>
        <w:trPr/>
        <w:tc>
          <w:tcPr>
            <w:tcW w:w="3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145,051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6,731,254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131,430,412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17,986,528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138,230,574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26,151,325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(26,006,274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(4,666,416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(30,672,690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for the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(172,646,790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(30,736,098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Comparison of the years ended December 31, 2024 and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shows total revenues from ticketing transactions for the year ended December 31, 2024, as compared to the year ended December 31, 2023:</w:t>
      </w:r>
    </w:p>
    <w:p>
      <w:pPr>
        <w:pStyle w:val="TextBody"/>
        <w:bidi w:val="0"/>
        <w:jc w:val="left"/>
        <w:rPr/>
      </w:pPr>
      <w:r>
        <w:rPr/>
        <w:t> </w:t>
      </w:r>
    </w:p>
    <w:tbl>
      <w:tblPr>
        <w:tblW w:w="5804" w:type="dxa"/>
        <w:jc w:val="left"/>
        <w:tblInd w:w="0" w:type="dxa"/>
        <w:tblLayout w:type="fixed"/>
        <w:tblCellMar>
          <w:top w:w="28" w:type="dxa"/>
          <w:left w:w="28" w:type="dxa"/>
          <w:bottom w:w="28" w:type="dxa"/>
          <w:right w:w="28" w:type="dxa"/>
        </w:tblCellMar>
      </w:tblPr>
      <w:tblGrid>
        <w:gridCol w:w="841"/>
        <w:gridCol w:w="211"/>
        <w:gridCol w:w="146"/>
        <w:gridCol w:w="781"/>
        <w:gridCol w:w="146"/>
        <w:gridCol w:w="146"/>
        <w:gridCol w:w="211"/>
        <w:gridCol w:w="146"/>
        <w:gridCol w:w="781"/>
        <w:gridCol w:w="146"/>
        <w:gridCol w:w="146"/>
        <w:gridCol w:w="211"/>
        <w:gridCol w:w="146"/>
        <w:gridCol w:w="676"/>
        <w:gridCol w:w="146"/>
        <w:gridCol w:w="146"/>
        <w:gridCol w:w="146"/>
        <w:gridCol w:w="31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shows operating expenses for the year ended December 31, 2024, as compared to the year ended December 31, 2023:</w:t>
      </w:r>
    </w:p>
    <w:p>
      <w:pPr>
        <w:pStyle w:val="TextBody"/>
        <w:bidi w:val="0"/>
        <w:jc w:val="left"/>
        <w:rPr/>
      </w:pPr>
      <w:r>
        <w:rPr/>
        <w:t> </w:t>
      </w:r>
    </w:p>
    <w:tbl>
      <w:tblPr>
        <w:tblW w:w="9604" w:type="dxa"/>
        <w:jc w:val="left"/>
        <w:tblInd w:w="0" w:type="dxa"/>
        <w:tblLayout w:type="fixed"/>
        <w:tblCellMar>
          <w:top w:w="28" w:type="dxa"/>
          <w:left w:w="28" w:type="dxa"/>
          <w:bottom w:w="28" w:type="dxa"/>
          <w:right w:w="28" w:type="dxa"/>
        </w:tblCellMar>
      </w:tblPr>
      <w:tblGrid>
        <w:gridCol w:w="3376"/>
        <w:gridCol w:w="211"/>
        <w:gridCol w:w="146"/>
        <w:gridCol w:w="1141"/>
        <w:gridCol w:w="146"/>
        <w:gridCol w:w="146"/>
        <w:gridCol w:w="211"/>
        <w:gridCol w:w="146"/>
        <w:gridCol w:w="1036"/>
        <w:gridCol w:w="146"/>
        <w:gridCol w:w="146"/>
        <w:gridCol w:w="211"/>
        <w:gridCol w:w="146"/>
        <w:gridCol w:w="1141"/>
        <w:gridCol w:w="166"/>
        <w:gridCol w:w="146"/>
        <w:gridCol w:w="146"/>
        <w:gridCol w:w="421"/>
        <w:gridCol w:w="376"/>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131,430,412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113,443,884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138,230,574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26,151,325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112,079,249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Percentages have been rounded for presentation purposes and may differ from unrounded results.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have remained unchanged at $34,053, for the year ended December 31, 2024 compared to $34,791 for the year ended December 31,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operating expenses decreased by $0.90 million for the year ended December 31, 2024 compared to the year ended December 31, 2023 . The higher operating expenses during the year ended December 31, 2023 as compared to the year ended December 31, 2024 was driven by higher impairment charges related to loan receivables from Swipeby and Moneymatic recognized in 2023 as compared to 2024.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expenses remained materially unchanged at $225,251, for the year ended December 31, 2024 compared to $242,436 for the year ended December 31,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shows interest expense and other non-operating income and expenses for the year ended December 31, 2024, as compared to the year ended December 31, 2023:</w:t>
      </w:r>
    </w:p>
    <w:p>
      <w:pPr>
        <w:pStyle w:val="TextBody"/>
        <w:bidi w:val="0"/>
        <w:jc w:val="left"/>
        <w:rPr/>
      </w:pPr>
      <w:r>
        <w:rPr/>
        <w:t> </w:t>
      </w:r>
    </w:p>
    <w:tbl>
      <w:tblPr>
        <w:tblW w:w="9859" w:type="dxa"/>
        <w:jc w:val="left"/>
        <w:tblInd w:w="0" w:type="dxa"/>
        <w:tblLayout w:type="fixed"/>
        <w:tblCellMar>
          <w:top w:w="28" w:type="dxa"/>
          <w:left w:w="28" w:type="dxa"/>
          <w:bottom w:w="28" w:type="dxa"/>
          <w:right w:w="28" w:type="dxa"/>
        </w:tblCellMar>
      </w:tblPr>
      <w:tblGrid>
        <w:gridCol w:w="3686"/>
        <w:gridCol w:w="211"/>
        <w:gridCol w:w="146"/>
        <w:gridCol w:w="1096"/>
        <w:gridCol w:w="166"/>
        <w:gridCol w:w="146"/>
        <w:gridCol w:w="211"/>
        <w:gridCol w:w="146"/>
        <w:gridCol w:w="991"/>
        <w:gridCol w:w="166"/>
        <w:gridCol w:w="146"/>
        <w:gridCol w:w="211"/>
        <w:gridCol w:w="146"/>
        <w:gridCol w:w="1096"/>
        <w:gridCol w:w="166"/>
        <w:gridCol w:w="146"/>
        <w:gridCol w:w="146"/>
        <w:gridCol w:w="421"/>
        <w:gridCol w:w="416"/>
      </w:tblGrid>
      <w:tr>
        <w:trPr/>
        <w:tc>
          <w:tcPr>
            <w:tcW w:w="3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(34,559,071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(4,666,416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(29,892,655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loss on extinguishment of $44.33 million is primarily due to an agreement entered into by the Company, Apeiron Investment Group Ltd. and Bradley Wickens, the beneficial holders of the majority of senior secured convertible notes to amend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losses increased to $138.04 million for the year ended December 31, 2024, as compared to $26.01 million for the year ended December 31, 2023. This was primarily due to the increase in general and administrative expenses as detailed above.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Key Business Metrics</w:t>
      </w:r>
    </w:p>
    <w:p>
      <w:pPr>
        <w:pStyle w:val="TextBody"/>
        <w:bidi w:val="0"/>
        <w:spacing w:before="120" w:after="283"/>
        <w:jc w:val="left"/>
        <w:rPr>
          <w:rFonts w:ascii="Times New Roman" w:hAnsi="Times New Roman"/>
          <w:sz w:val="20"/>
        </w:rPr>
      </w:pPr>
      <w:r>
        <w:rPr>
          <w:rFonts w:ascii="Times New Roman" w:hAnsi="Times New Roman"/>
          <w:color w:val="000000"/>
          <w:sz w:val="20"/>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hAnsi="Times New Roman"/>
          <w:i/>
          <w:color w:val="000000"/>
          <w:sz w:val="20"/>
        </w:rPr>
        <w:t>Components of Results of Operations</w:t>
      </w:r>
      <w:r>
        <w:rPr>
          <w:rFonts w:ascii="Times New Roman" w:hAnsi="Times New Roman"/>
          <w:color w:val="000000"/>
          <w:sz w:val="20"/>
        </w:rPr>
        <w:t xml:space="preserve">.” Period-on-period revenues growth, EBITDA and total number of merchants are discussed immediately below the following 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financial metrics are used by management to monitor and analyze the operational performance of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Ticketing: </w:t>
      </w:r>
      <w:r>
        <w:rPr>
          <w:rFonts w:ascii="Times New Roman" w:hAnsi="Times New Roman"/>
          <w:color w:val="000000"/>
          <w:sz w:val="20"/>
        </w:rPr>
        <w:t>Total Ticketing revenue transactions reflect the number of loyalty card transactions in a calendar year, loyalty is linked to the consumers football ticket. We track ticketing transactions as an indicator of customer transactions and as a key driver of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changes in, or cash requirements for, our working capital needs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our interest expense, or the cash requirements to service interest or principal payments on,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our tax expense or the cash requirements to pay our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the impact on earnings or changes resulting from matters that we consider not to be indicative of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need to be replaced in the future, and EBITDA does not reflect any cash requirements for these replacements;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may calculate EBITDA differently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reconciliation of our net income (loss) to EBITDA (non GAAP):</w:t>
      </w:r>
    </w:p>
    <w:p>
      <w:pPr>
        <w:pStyle w:val="TextBody"/>
        <w:bidi w:val="0"/>
        <w:jc w:val="left"/>
        <w:rPr/>
      </w:pPr>
      <w:r>
        <w:rPr/>
        <w:t> </w:t>
      </w:r>
    </w:p>
    <w:tbl>
      <w:tblPr>
        <w:tblW w:w="6355" w:type="dxa"/>
        <w:jc w:val="left"/>
        <w:tblInd w:w="0" w:type="dxa"/>
        <w:tblLayout w:type="fixed"/>
        <w:tblCellMar>
          <w:top w:w="28" w:type="dxa"/>
          <w:left w:w="28" w:type="dxa"/>
          <w:bottom w:w="28" w:type="dxa"/>
          <w:right w:w="28" w:type="dxa"/>
        </w:tblCellMar>
      </w:tblPr>
      <w:tblGrid>
        <w:gridCol w:w="2821"/>
        <w:gridCol w:w="211"/>
        <w:gridCol w:w="146"/>
        <w:gridCol w:w="1201"/>
        <w:gridCol w:w="166"/>
        <w:gridCol w:w="146"/>
        <w:gridCol w:w="211"/>
        <w:gridCol w:w="146"/>
        <w:gridCol w:w="109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(172,646,790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(non-GAAP)</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(161,818,892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(25,638,472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have booked transaction-related costs in each of the years ended December 31, 2024 and 2023. PCAOB audit and U.S. legal counsel costs for the periods under review have been accrued as incurred in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interest expense, or the cash requirements to service interest or principal payments on,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tax expense or the cash requirements to pay our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impact on earnings or changes resulting from matters that we consider not to be indicative of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need to be replaced in the future, and Adjusted EBITDA does not reflect any cash requirements for these replacements;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may calculate Adjusted EBITDA differently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is used by management to understand and track underlying earnings performance by excluding one-time and non-recurring costs. The Company believe it is appropriate to exclude these costs from Adjusted EBITDA as they relate 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made in the China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Impairments of loans and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based compensation related only to initial employees, consultants and related parties;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foreign exchange (gain)/loss are one-time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Loss/(gain) resulting from the remeasurement of derivative assets and derivative liabilities at fair value at the end of each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Loss/(gain) resulting from extinguishment of 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payment expense of $18,836,099 related to restricted employee shares. The articles of incorporation of the Company were amended to remove these restrictions prior to the completion of the Pre-Closing Demerger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Internally adjusted EBITDA and contribution margin by reportable segment are significant measures used by management for purposes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Supplementing the financial results and forecasts reported to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operating performance of which includes direct and incrementally controllable revenue and costs of operations but excludes items considered by management to be non-cash or non-operating;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internal operating budgets and target.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development expenses reflect the costs incurred by Rezolve Limited in funding our platform activities in China in 2024, prior to the Pre-Closing Demerger, and 2023 and are recorded within 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reconciliation of our net income (loss) to Adjusted EBITDA (non-GAAP):</w:t>
      </w:r>
    </w:p>
    <w:p>
      <w:pPr>
        <w:pStyle w:val="TextBody"/>
        <w:bidi w:val="0"/>
        <w:jc w:val="left"/>
        <w:rPr/>
      </w:pPr>
      <w:r>
        <w:rPr/>
        <w:t> </w:t>
      </w:r>
    </w:p>
    <w:tbl>
      <w:tblPr>
        <w:tblW w:w="8654" w:type="dxa"/>
        <w:jc w:val="left"/>
        <w:tblInd w:w="0" w:type="dxa"/>
        <w:tblLayout w:type="fixed"/>
        <w:tblCellMar>
          <w:top w:w="28" w:type="dxa"/>
          <w:left w:w="28" w:type="dxa"/>
          <w:bottom w:w="28" w:type="dxa"/>
          <w:right w:w="28" w:type="dxa"/>
        </w:tblCellMar>
      </w:tblPr>
      <w:tblGrid>
        <w:gridCol w:w="5266"/>
        <w:gridCol w:w="211"/>
        <w:gridCol w:w="146"/>
        <w:gridCol w:w="1201"/>
        <w:gridCol w:w="166"/>
        <w:gridCol w:w="211"/>
        <w:gridCol w:w="146"/>
        <w:gridCol w:w="1096"/>
        <w:gridCol w:w="211"/>
      </w:tblGrid>
      <w:tr>
        <w:trPr/>
        <w:tc>
          <w:tcPr>
            <w:tcW w:w="5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(172,646,790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(non-GAAP)</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(161,818,892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(25,638,472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foreign exchange (gain)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loan and accounts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development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 issued to related parties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3,270,040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 for consultancy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for employees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derivatives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 employees shares restrictions lifted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(non-GAAP)</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(43,782,632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(15,087,056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Total Number of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share 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additional capital through the issuance of debt or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Generating revenue by execution of successful trials and long-term partner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generate revenue from our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2024, we financed our operations in large part with cash flows from financing activities through cash proceeds from issuance of convertible debt, short term-debt and a rights issue.</w:t>
      </w:r>
    </w:p>
    <w:p>
      <w:pPr>
        <w:pStyle w:val="TextBody"/>
        <w:bidi w:val="0"/>
        <w:spacing w:before="240" w:after="283"/>
        <w:jc w:val="left"/>
        <w:rPr/>
      </w:pPr>
      <w:r>
        <w:rPr/>
        <w:t> </w:t>
      </w:r>
    </w:p>
    <w:tbl>
      <w:tblPr>
        <w:tblW w:w="7375" w:type="dxa"/>
        <w:jc w:val="left"/>
        <w:tblInd w:w="0" w:type="dxa"/>
        <w:tblLayout w:type="fixed"/>
        <w:tblCellMar>
          <w:top w:w="28" w:type="dxa"/>
          <w:left w:w="28" w:type="dxa"/>
          <w:bottom w:w="28" w:type="dxa"/>
          <w:right w:w="28" w:type="dxa"/>
        </w:tblCellMar>
      </w:tblPr>
      <w:tblGrid>
        <w:gridCol w:w="3616"/>
        <w:gridCol w:w="211"/>
        <w:gridCol w:w="185"/>
        <w:gridCol w:w="1315"/>
        <w:gridCol w:w="146"/>
        <w:gridCol w:w="211"/>
        <w:gridCol w:w="185"/>
        <w:gridCol w:w="1315"/>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8,223,928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31,088,259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convertible debt to 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37,333,443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46,981,299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Short-term debt to related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Unsecured interest free loans taken from related parties DBLP Sea Cow Ltd of $447,067 and Daniel Wagner of $4,655,144 are repayable on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maturity date was extended to three years from the date of an IPO or Business Combination, or December 31, 2024 if an IPO or Business Combination with a publicly listed company has not yet occurred by December 31,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was reduced to 7.5% per annum from the date that the amendment was executed.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Conversion into ordinary shares of the Company is at the option of the investor from any date of an IPO or Business Combination with a publicly listed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On December 5, 2024, all $8,000,000 of the senior secured convertible notes in favor of Igor Lychagov were converted into ordinary shares of the Company at a conversion price of $7 per ordinary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Ordinary shares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debt</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hAnsi="Times New Roman"/>
          <w:b/>
          <w:i/>
          <w:color w:val="000000"/>
          <w:sz w:val="20"/>
        </w:rPr>
        <w:t>Loan Note Instrument</w:t>
      </w:r>
      <w:r>
        <w:rPr>
          <w:rFonts w:ascii="Times New Roman" w:hAnsi="Times New Roman"/>
          <w:color w:val="000000"/>
          <w:sz w:val="20"/>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pStyle w:val="TextBody"/>
        <w:bidi w:val="0"/>
        <w:jc w:val="left"/>
        <w:rPr>
          <w:rFonts w:ascii="Times New Roman" w:hAnsi="Times New Roman"/>
          <w:color w:val="000000"/>
          <w:sz w:val="20"/>
        </w:rPr>
      </w:pPr>
      <w:r>
        <w:rPr>
          <w:rFonts w:ascii="Times New Roman" w:hAnsi="Times New Roman"/>
          <w:color w:val="000000"/>
          <w:sz w:val="20"/>
        </w:rPr>
        <w:t>On December 5, 2024, pursuant to the terms of the Loan Note Instrument, one of the holders of the Convertible Notes converted all of his approximately $8 million of outstanding Convertible Notes at a conversion price of $7 per ordinary share.</w:t>
      </w:r>
    </w:p>
    <w:p>
      <w:pPr>
        <w:pStyle w:val="TextBody"/>
        <w:bidi w:val="0"/>
        <w:jc w:val="left"/>
        <w:rPr>
          <w:rFonts w:ascii="Times New Roman" w:hAnsi="Times New Roman"/>
          <w:sz w:val="20"/>
        </w:rPr>
      </w:pPr>
      <w:r>
        <w:rPr>
          <w:rFonts w:ascii="Times New Roman" w:hAnsi="Times New Roman"/>
          <w:color w:val="000000"/>
          <w:sz w:val="20"/>
        </w:rPr>
        <w:t>On December 17, 2024, the Company, Apeiron Investment Group Ltd. and Bradley Wickens, the beneficial holders of the majority of Convertible Notes entered into an agreement (the “</w:t>
      </w:r>
      <w:r>
        <w:rPr>
          <w:rFonts w:ascii="Times New Roman" w:hAnsi="Times New Roman"/>
          <w:b/>
          <w:i/>
          <w:color w:val="000000"/>
          <w:sz w:val="20"/>
        </w:rPr>
        <w:t>Agreement</w:t>
      </w:r>
      <w:r>
        <w:rPr>
          <w:rFonts w:ascii="Times New Roman" w:hAnsi="Times New Roman"/>
          <w:color w:val="000000"/>
          <w:sz w:val="20"/>
        </w:rPr>
        <w:t>”) to amend the Loan Note Instrument (the “</w:t>
      </w:r>
      <w:r>
        <w:rPr>
          <w:rFonts w:ascii="Times New Roman" w:hAnsi="Times New Roman"/>
          <w:b/>
          <w:i/>
          <w:color w:val="000000"/>
          <w:sz w:val="20"/>
        </w:rPr>
        <w:t>Amendment</w:t>
      </w:r>
      <w:r>
        <w:rPr>
          <w:rFonts w:ascii="Times New Roman" w:hAnsi="Times New Roman"/>
          <w:color w:val="000000"/>
          <w:sz w:val="20"/>
        </w:rPr>
        <w:t xml:space="preserve">”)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2024, all of the remaining Convertible Note holders elected to convert. As of December 31, 2024, $0.4 million of the Convertible Notes remained outstanding under the Loan Note Instrument.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Short term convertible debt to a related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Short term convertible debt to a related party of $132,269 was also added to the Company’s senior secured convertible note including $125,000 of convertible debt and $7,269 of interest.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payment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Promissory notes</w:t>
      </w:r>
    </w:p>
    <w:p>
      <w:pPr>
        <w:pStyle w:val="TextBody"/>
        <w:bidi w:val="0"/>
        <w:jc w:val="left"/>
        <w:rPr/>
      </w:pPr>
      <w:r>
        <w:rPr/>
        <w:t> </w:t>
      </w:r>
    </w:p>
    <w:tbl>
      <w:tblPr>
        <w:tblW w:w="5961" w:type="dxa"/>
        <w:jc w:val="left"/>
        <w:tblInd w:w="0" w:type="dxa"/>
        <w:tblLayout w:type="fixed"/>
        <w:tblCellMar>
          <w:top w:w="28" w:type="dxa"/>
          <w:left w:w="28" w:type="dxa"/>
          <w:bottom w:w="28" w:type="dxa"/>
          <w:right w:w="28" w:type="dxa"/>
        </w:tblCellMar>
      </w:tblPr>
      <w:tblGrid>
        <w:gridCol w:w="2626"/>
        <w:gridCol w:w="245"/>
        <w:gridCol w:w="170"/>
        <w:gridCol w:w="1084"/>
        <w:gridCol w:w="146"/>
        <w:gridCol w:w="448"/>
        <w:gridCol w:w="310"/>
        <w:gridCol w:w="74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 notes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 from sponsor</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6,428,825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color w:val="000000"/>
          <w:sz w:val="20"/>
          <w:u w:val="single"/>
        </w:rPr>
        <w:t>Yorkville Standby Equity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12529"/>
          <w:sz w:val="20"/>
        </w:rPr>
        <w:t>On February 23, 2023, Rezolve Limited entered into a $250 million standby equity purchase agreement with YA II PN, LTD (“</w:t>
      </w:r>
      <w:r>
        <w:rPr>
          <w:rFonts w:ascii="Times New Roman" w:hAnsi="Times New Roman"/>
          <w:b/>
          <w:i/>
          <w:color w:val="212529"/>
          <w:sz w:val="20"/>
        </w:rPr>
        <w:t>YA</w:t>
      </w:r>
      <w:r>
        <w:rPr>
          <w:rFonts w:ascii="Times New Roman" w:hAnsi="Times New Roman"/>
          <w:color w:val="212529"/>
          <w:sz w:val="20"/>
        </w:rPr>
        <w:t>”), a Cayman Islands exempt limited company, which was amended and restated on February 2, 2024 to provide for, inter alia, Rezolve AI Limited joining as a party to the agreement (“</w:t>
      </w:r>
      <w:r>
        <w:rPr>
          <w:rFonts w:ascii="Times New Roman" w:hAnsi="Times New Roman"/>
          <w:b/>
          <w:i/>
          <w:color w:val="212529"/>
          <w:sz w:val="20"/>
        </w:rPr>
        <w:t>YA Agreement</w:t>
      </w:r>
      <w:r>
        <w:rPr>
          <w:rFonts w:ascii="Times New Roman" w:hAnsi="Times New Roman"/>
          <w:color w:val="212529"/>
          <w:sz w:val="20"/>
        </w:rPr>
        <w:t xml:space="preserve">”). Pursuant to the YA Agreement, Rezolve has the right to sell to YA up to $250,000,000 Ordinary Shares, subject to certain limitations and conditions set forth in the YA Agreement, from time to time during the term of the YA Agreement. </w:t>
      </w:r>
    </w:p>
    <w:p>
      <w:pPr>
        <w:pStyle w:val="TextBody"/>
        <w:bidi w:val="0"/>
        <w:spacing w:before="120" w:after="283"/>
        <w:jc w:val="left"/>
        <w:rPr>
          <w:rFonts w:ascii="Times New Roman" w:hAnsi="Times New Roman"/>
          <w:sz w:val="20"/>
        </w:rPr>
      </w:pPr>
      <w:r>
        <w:rPr>
          <w:rFonts w:ascii="Times New Roman" w:hAnsi="Times New Roman"/>
          <w:color w:val="212529"/>
          <w:sz w:val="20"/>
        </w:rPr>
        <w:t>In connection with the amendment and restatement of the YA Agreement, on February 2, 2024, Rezolve Limited and Rezolve issued a convertible note with a total principal amount of $2.5 million (the “</w:t>
      </w:r>
      <w:r>
        <w:rPr>
          <w:rFonts w:ascii="Times New Roman" w:hAnsi="Times New Roman"/>
          <w:b/>
          <w:i/>
          <w:color w:val="212529"/>
          <w:sz w:val="20"/>
        </w:rPr>
        <w:t>YA Note</w:t>
      </w:r>
      <w:r>
        <w:rPr>
          <w:rFonts w:ascii="Times New Roman" w:hAnsi="Times New Roman"/>
          <w:color w:val="212529"/>
          <w:sz w:val="20"/>
        </w:rPr>
        <w:t>”) to YA, pursuant to the terms of a convertible promissory note instrument entered into by Rezolve Limited and Rezolve (“</w:t>
      </w:r>
      <w:r>
        <w:rPr>
          <w:rFonts w:ascii="Times New Roman" w:hAnsi="Times New Roman"/>
          <w:b/>
          <w:i/>
          <w:color w:val="212529"/>
          <w:sz w:val="20"/>
        </w:rPr>
        <w:t>YA Note Instrument</w:t>
      </w:r>
      <w:r>
        <w:rPr>
          <w:rFonts w:ascii="Times New Roman" w:hAnsi="Times New Roman"/>
          <w:color w:val="212529"/>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September 6, 2024, YA and Rezolve amended and restated the YA Agreement (the “</w:t>
      </w:r>
      <w:r>
        <w:rPr>
          <w:rFonts w:ascii="Times New Roman" w:hAnsi="Times New Roman"/>
          <w:b/>
          <w:i/>
          <w:color w:val="000000"/>
          <w:sz w:val="20"/>
        </w:rPr>
        <w:t>Second A&amp;R YA Agreement</w:t>
      </w:r>
      <w:r>
        <w:rPr>
          <w:rFonts w:ascii="Times New Roman" w:hAnsi="Times New Roman"/>
          <w:color w:val="000000"/>
          <w:sz w:val="20"/>
        </w:rPr>
        <w:t xml:space="preserve">”)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 </w:t>
      </w:r>
    </w:p>
    <w:p>
      <w:pPr>
        <w:pStyle w:val="TextBody"/>
        <w:bidi w:val="0"/>
        <w:spacing w:before="120" w:after="283"/>
        <w:jc w:val="left"/>
        <w:rPr>
          <w:rFonts w:ascii="Times New Roman" w:hAnsi="Times New Roman"/>
          <w:sz w:val="20"/>
        </w:rPr>
      </w:pPr>
      <w:r>
        <w:rPr>
          <w:rFonts w:ascii="Times New Roman" w:hAnsi="Times New Roman"/>
          <w:color w:val="000000"/>
          <w:sz w:val="20"/>
        </w:rPr>
        <w:t>In connection with the execution of the Second A&amp;R YA Agreement, YA and Rezolve also entered into a second amendment to convertible promissory note and acknowledgement (the “</w:t>
      </w:r>
      <w:r>
        <w:rPr>
          <w:rFonts w:ascii="Times New Roman" w:hAnsi="Times New Roman"/>
          <w:b/>
          <w:i/>
          <w:color w:val="000000"/>
          <w:sz w:val="20"/>
        </w:rPr>
        <w:t>YA Note Amendment</w:t>
      </w:r>
      <w:r>
        <w:rPr>
          <w:rFonts w:ascii="Times New Roman" w:hAnsi="Times New Roman"/>
          <w:color w:val="000000"/>
          <w:sz w:val="20"/>
        </w:rPr>
        <w:t>” and the YA Note, as amended by the YA Note Amendment, the “</w:t>
      </w:r>
      <w:r>
        <w:rPr>
          <w:rFonts w:ascii="Times New Roman" w:hAnsi="Times New Roman"/>
          <w:b/>
          <w:i/>
          <w:color w:val="000000"/>
          <w:sz w:val="20"/>
        </w:rPr>
        <w:t>Amended YA Note</w:t>
      </w:r>
      <w:r>
        <w:rPr>
          <w:rFonts w:ascii="Times New Roman" w:hAnsi="Times New Roman"/>
          <w:color w:val="000000"/>
          <w:sz w:val="20"/>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pStyle w:val="TextBody"/>
        <w:bidi w:val="0"/>
        <w:spacing w:before="120" w:after="283"/>
        <w:jc w:val="left"/>
        <w:rPr>
          <w:rFonts w:ascii="Times New Roman" w:hAnsi="Times New Roman"/>
          <w:sz w:val="20"/>
        </w:rPr>
      </w:pPr>
      <w:r>
        <w:rPr>
          <w:rFonts w:ascii="Times New Roman" w:hAnsi="Times New Roman"/>
          <w:color w:val="000000"/>
          <w:sz w:val="20"/>
        </w:rPr>
        <w:t>Also in connection with the Second A&amp;R YA Agreement, on September 9, 2024, Rezolve issued YA a promissory note in the principal amount of $5,000,000 (the “</w:t>
      </w:r>
      <w:r>
        <w:rPr>
          <w:rFonts w:ascii="Times New Roman" w:hAnsi="Times New Roman"/>
          <w:b/>
          <w:i/>
          <w:color w:val="000000"/>
          <w:sz w:val="20"/>
        </w:rPr>
        <w:t>Second YA Note</w:t>
      </w:r>
      <w:r>
        <w:rPr>
          <w:rFonts w:ascii="Times New Roman" w:hAnsi="Times New Roman"/>
          <w:color w:val="000000"/>
          <w:sz w:val="20"/>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hAnsi="Times New Roman"/>
          <w:b/>
          <w:i/>
          <w:color w:val="000000"/>
          <w:sz w:val="20"/>
        </w:rPr>
        <w:t>Third YA Note</w:t>
      </w:r>
      <w:r>
        <w:rPr>
          <w:rFonts w:ascii="Times New Roman" w:hAnsi="Times New Roman"/>
          <w:color w:val="000000"/>
          <w:sz w:val="20"/>
        </w:rPr>
        <w:t>", and together with the Amended YA Note and Second YA Note, the "</w:t>
      </w:r>
      <w:r>
        <w:rPr>
          <w:rFonts w:ascii="Times New Roman" w:hAnsi="Times New Roman"/>
          <w:b/>
          <w:i/>
          <w:color w:val="000000"/>
          <w:sz w:val="20"/>
        </w:rPr>
        <w:t>YA Notes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Notes were issued during the course of February, 2024, pursuant to the terms of the Promissory Note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effect from the completion of the Pre-Closing Demerger, the rights and obligations of Rezolve Limited under the Subscription Agreements and the Promissory Note Instruments were novated to Rezolve AI plc.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Cohen &amp; Company Financial Management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Advisors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issued the following promissory notes to financial advisors which were contingently on the close of the Business Combination with Armada:</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1921"/>
        <w:gridCol w:w="227"/>
        <w:gridCol w:w="157"/>
        <w:gridCol w:w="1116"/>
        <w:gridCol w:w="146"/>
        <w:gridCol w:w="448"/>
        <w:gridCol w:w="310"/>
        <w:gridCol w:w="74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Advisors loans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Northland Securities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J.V.B Financial Group</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Northland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J.V.B. Financial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Cantor Fitzgerald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5, 2024 the Company issued 17,354,231 ordinary shares to Cantor to settle the Armada fee. A loss on extinguishment of $1,804,814 was recognized. No further amounts remain outstanding.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Fair value measurement and concentration of credit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3—Inputs are unobservable inputs for the asset or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level in the fair value hierarchy within which a fair value measurement in its entirety falls is based on the lowest-level input that is significant to the fair value measurement in its entirety.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measurement at reporting date:</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211"/>
        <w:gridCol w:w="631"/>
        <w:gridCol w:w="211"/>
        <w:gridCol w:w="146"/>
        <w:gridCol w:w="931"/>
        <w:gridCol w:w="146"/>
        <w:gridCol w:w="211"/>
        <w:gridCol w:w="146"/>
        <w:gridCol w:w="93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fair value of the share-based payment liability was valued using a discounted cash flow method using a risk adjusted discount rate of 10.8%.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Senior secured convertible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YA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Promissory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of the Company’s cash, accounts receivable, accounts payable and accrued expenses approximated their fair values due to their short term to maturity.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Balance Sheet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unrestricted cash and cash equivalents on our balance sheet and undrawn amounts under our revolving credit facility as of December 31, 2024 and December 31, 2023:</w:t>
      </w:r>
    </w:p>
    <w:p>
      <w:pPr>
        <w:pStyle w:val="TextBody"/>
        <w:bidi w:val="0"/>
        <w:jc w:val="left"/>
        <w:rPr/>
      </w:pPr>
      <w:r>
        <w:rPr/>
        <w:t> </w:t>
      </w:r>
    </w:p>
    <w:tbl>
      <w:tblPr>
        <w:tblW w:w="7015" w:type="dxa"/>
        <w:jc w:val="left"/>
        <w:tblInd w:w="0" w:type="dxa"/>
        <w:tblLayout w:type="fixed"/>
        <w:tblCellMar>
          <w:top w:w="28" w:type="dxa"/>
          <w:left w:w="28" w:type="dxa"/>
          <w:bottom w:w="28" w:type="dxa"/>
          <w:right w:w="28" w:type="dxa"/>
        </w:tblCellMar>
      </w:tblPr>
      <w:tblGrid>
        <w:gridCol w:w="3256"/>
        <w:gridCol w:w="211"/>
        <w:gridCol w:w="203"/>
        <w:gridCol w:w="1297"/>
        <w:gridCol w:w="146"/>
        <w:gridCol w:w="211"/>
        <w:gridCol w:w="265"/>
        <w:gridCol w:w="1235"/>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Unrestricted 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liquidity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w:t>
      </w:r>
    </w:p>
    <w:p>
      <w:pPr>
        <w:pStyle w:val="TextBody"/>
        <w:bidi w:val="0"/>
        <w:jc w:val="left"/>
        <w:rPr/>
      </w:pPr>
      <w:r>
        <w:rPr/>
        <w:t> </w:t>
      </w:r>
    </w:p>
    <w:tbl>
      <w:tblPr>
        <w:tblW w:w="7754" w:type="dxa"/>
        <w:jc w:val="left"/>
        <w:tblInd w:w="0" w:type="dxa"/>
        <w:tblLayout w:type="fixed"/>
        <w:tblCellMar>
          <w:top w:w="28" w:type="dxa"/>
          <w:left w:w="28" w:type="dxa"/>
          <w:bottom w:w="28" w:type="dxa"/>
          <w:right w:w="28" w:type="dxa"/>
        </w:tblCellMar>
      </w:tblPr>
      <w:tblGrid>
        <w:gridCol w:w="4471"/>
        <w:gridCol w:w="211"/>
        <w:gridCol w:w="146"/>
        <w:gridCol w:w="1096"/>
        <w:gridCol w:w="166"/>
        <w:gridCol w:w="211"/>
        <w:gridCol w:w="146"/>
        <w:gridCol w:w="1096"/>
        <w:gridCol w:w="211"/>
      </w:tblGrid>
      <w:tr>
        <w:trPr/>
        <w:tc>
          <w:tcPr>
            <w:tcW w:w="4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(1,781,524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34,585,896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14,712,061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w:t>
              <w:br/>
              <w:t>   cash equivalents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and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9,440,503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$3.5 million for the year ended December 31, 2024, which resulted primarily from costs incurred to continue the development of our Rezolve platform and related technology.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pStyle w:val="TextBody"/>
        <w:bidi w:val="0"/>
        <w:spacing w:before="120" w:after="283"/>
        <w:jc w:val="left"/>
        <w:rPr/>
      </w:pPr>
      <w:r>
        <w:rPr/>
        <w:t> </w:t>
      </w:r>
    </w:p>
    <w:tbl>
      <w:tblPr>
        <w:tblW w:w="4163" w:type="dxa"/>
        <w:jc w:val="left"/>
        <w:tblInd w:w="0" w:type="dxa"/>
        <w:tblLayout w:type="fixed"/>
        <w:tblCellMar>
          <w:top w:w="28" w:type="dxa"/>
          <w:left w:w="28" w:type="dxa"/>
          <w:bottom w:w="28" w:type="dxa"/>
          <w:right w:w="28" w:type="dxa"/>
        </w:tblCellMar>
      </w:tblPr>
      <w:tblGrid>
        <w:gridCol w:w="2176"/>
        <w:gridCol w:w="146"/>
        <w:gridCol w:w="250"/>
        <w:gridCol w:w="173"/>
        <w:gridCol w:w="1227"/>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1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2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3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period starting on November 15, 2024 and continuing for 12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period starting at the end of Commitment Period 1 and continuing for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The period starting at the end of Commitment Period 2 and continuing for 12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did not have any significant off-balance sheet arrangements, as defined in Item 303(a)(4)(ii) of Regulation 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i/>
          <w:color w:val="000000"/>
          <w:sz w:val="20"/>
        </w:rPr>
        <w:t>Research and development, patents and licenses, etc</w:t>
      </w:r>
      <w:r>
        <w:rPr>
          <w:rFonts w:ascii="Times New Roman" w:hAnsi="Times New Roman"/>
          <w:b/>
          <w:color w:val="000000"/>
          <w:sz w:val="20"/>
        </w:rPr>
        <w:t>.</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Please refer to “</w:t>
      </w:r>
      <w:r>
        <w:rPr>
          <w:rFonts w:ascii="Times New Roman" w:hAnsi="Times New Roman"/>
          <w:i/>
          <w:color w:val="000000"/>
          <w:sz w:val="20"/>
        </w:rPr>
        <w:t>Item 4. Information on the Company-B. Business Overview</w:t>
      </w:r>
      <w:r>
        <w:rPr>
          <w:rFonts w:ascii="Times New Roman" w:hAnsi="Times New Roman"/>
          <w:color w:val="000000"/>
          <w:sz w:val="20"/>
        </w:rPr>
        <w:t>” and “</w:t>
      </w:r>
      <w:r>
        <w:rPr>
          <w:rFonts w:ascii="Times New Roman" w:hAnsi="Times New Roman"/>
          <w:i/>
          <w:color w:val="000000"/>
          <w:sz w:val="20"/>
        </w:rPr>
        <w:t>Item 4. Information on the Company-B. Business Overview-Intellectual Property</w:t>
      </w:r>
      <w:r>
        <w:rPr>
          <w:rFonts w:ascii="Times New Roman" w:hAnsi="Times New Roman"/>
          <w:color w:val="000000"/>
          <w:sz w:val="2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i/>
          <w:color w:val="000000"/>
          <w:sz w:val="20"/>
        </w:rPr>
        <w:t>Trend information</w:t>
      </w:r>
      <w:r>
        <w:rPr>
          <w:rFonts w:ascii="Times New Roman" w:hAnsi="Times New Roman"/>
          <w:b/>
          <w:color w:val="000000"/>
          <w:sz w:val="20"/>
        </w:rPr>
        <w:t>.</w:t>
      </w:r>
      <w:r>
        <w:rPr>
          <w:color w:val="000000"/>
        </w:rPr>
        <w:t xml:space="preserve"> </w:t>
      </w:r>
      <w:bookmarkStart w:id="13" w:name="item_5e"/>
      <w:bookmarkEnd w:id="1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Please refer to “</w:t>
      </w:r>
      <w:r>
        <w:rPr>
          <w:rFonts w:ascii="Times New Roman" w:hAnsi="Times New Roman"/>
          <w:i/>
          <w:color w:val="000000"/>
          <w:sz w:val="20"/>
        </w:rPr>
        <w:t>Item 4.B—Business Overview—Industry Overview and Trends.”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significant accounting policies are described in Note 2, “Basis of presentation and summary of significant accounting policies” in the notes to the Rezolve AI plc and Subsidiaries Consolidated Financial Statements included elsewhere in this prospectus.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of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income taxes and related valuation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Capitalized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business_of_rezolve"/>
      <w:bookmarkEnd w:id="14"/>
      <w:r>
        <w:rPr>
          <w:rFonts w:ascii="Times New Roman" w:hAnsi="Times New Roman"/>
          <w:b/>
          <w:color w:val="000000"/>
          <w:sz w:val="20"/>
        </w:rPr>
        <w:t>BUSINESS OF REZOLVE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i/>
          <w:color w:val="000000"/>
          <w:sz w:val="20"/>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Rezolve Ai: Redefining Conversational Commerce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 is leading the Conversational Commerce revolution, delivering tailored Generative AI solutions for the retail and eCommerce sectors. Our mission is to drive sales, enhance customer satisfaction, and build loyalty through cutting-edge AI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Comprehensive AI Solutions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AI’s suite of solutions includes: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AI-Powered Customer Support: Delivering intelligent, responsive, and personalized support to improve customer satisfaction and loyalty.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Frictionless Checkout Solutions: Simplifying the checkout process to reduce friction and enhance the overall shopping experience.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Bridging the Gap Between Physical and Online Retail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Strategic Partnerships and Global Reach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Future of AI-First Commerce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 is the future of commerce—where innovation meets customer delight.</w:t>
      </w:r>
    </w:p>
    <w:p>
      <w:pPr>
        <w:pStyle w:val="TextBody"/>
        <w:bidi w:val="0"/>
        <w:spacing w:before="240" w:after="283"/>
        <w:jc w:val="center"/>
        <w:rPr/>
      </w:pPr>
      <w:r>
        <w:rPr/>
        <w:drawing>
          <wp:inline distT="0" distB="0" distL="0" distR="0">
            <wp:extent cx="6257925" cy="3543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57925" cy="35433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total revenues were $0.19 million and $0.15 million, for the years ended December 31, 2024 and 2023, respectively. We currently generate our revenue from Transaction fees based on sales of ticketing for La Liga football events in Spain.</w:t>
      </w:r>
    </w:p>
    <w:p>
      <w:pPr>
        <w:pStyle w:val="TextBody"/>
        <w:pBdr>
          <w:bottom w:val="single" w:sz="6" w:space="1" w:color="000000"/>
        </w:pBdr>
        <w:bidi w:val="0"/>
        <w:spacing w:before="0" w:after="40"/>
        <w:jc w:val="left"/>
        <w:rPr/>
      </w:pPr>
      <w:r>
        <w:rPr/>
        <w:t> </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Bluedot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4, 2025, Rezolve entered into a Purchase Agreement (the “Bluedot Purchase Agreement”), by and between the Company and DBLP Sea Cow Ltd, a limited company organized under the laws of the Seychelles (“DBLP”), pursuant to which the Company agreed to purchase, and DBLP agreed to sell, the entire issued and to be issued share capital of each of Bluedot Industries, Inc., a Delaware corporation, and Bluedot Industries Pty. Ltd. (together, “Bluedot”), an Australian proprietary limited company registered in Victoria on 7 December 2013 with Australian Company Number 165 206 566 (the “Blue Dot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20, 2025, Rezolve closed the Bluedot Acquisition. As consideration for the Bluedot Acquisition, Rezolve issued 819,737 ordinary shares of the Company in a private placement to DBLP.</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GroupBy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11, 2025, Rezolve entered into a Purchase Agreement (the “GroupBy Purchase Agreement”), by and among the Company, GroupBy Inc., an Ontario, Canada corporation (“GroupBy”), GroupBy International Ltd., an Ontario, Canada corporation (“GroupBy International” and together with GroupBy, the “Target Companies” and each a “Target Company”)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“Acquisition”).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2025, Rezolve closed the GroupBy Acquisition. As consideration for the GroupBy Acquisition, the Company issued an aggregate of 3,999,902 of its ordinary shares of the Company in a private placement to the Sellers.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Microsoft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Google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Tether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Industry Overview and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Consumers Are Increasingly Engaging Through Digital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Merchants have Lost Connectivity to the End Consumer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Consumers Expect a Seamless Interaction Between Offline and Online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Merchants Are Struggling to Differentiate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Complicated Experiences Result in Lost Opportunities with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provides the following key benefits to merchants: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pPr>
      <w:r>
        <w:rPr>
          <w:rFonts w:ascii="Times New Roman" w:hAnsi="Times New Roman"/>
          <w:i/>
          <w:color w:val="000000"/>
          <w:sz w:val="20"/>
        </w:rPr>
        <w:t>eCommerce-Specific AI Platform and Suite—</w:t>
      </w:r>
      <w:r>
        <w:rPr>
          <w:rFonts w:ascii="Times New Roman" w:hAnsi="Times New Roman"/>
          <w:color w:val="000000"/>
          <w:sz w:val="20"/>
        </w:rPr>
        <w:t>Brain Commerce allows customers, either online or instore, to ask, via voice or text and in any 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pPr>
      <w:r>
        <w:rPr>
          <w:rFonts w:ascii="Times New Roman" w:hAnsi="Times New Roman"/>
          <w:i/>
          <w:color w:val="000000"/>
          <w:sz w:val="20"/>
        </w:rPr>
        <w:t xml:space="preserve">Instant Checkout. </w:t>
      </w:r>
      <w:r>
        <w:rPr>
          <w:rFonts w:ascii="Times New Roman" w:hAnsi="Times New Roman"/>
          <w:color w:val="000000"/>
          <w:sz w:val="20"/>
        </w:rPr>
        <w:t>Rezolve’s Brain Checkout allows websites to convert passive browsers into actors or buyers with one click directly from 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pPr>
      <w:r>
        <w:rPr>
          <w:rFonts w:ascii="Times New Roman" w:hAnsi="Times New Roman"/>
          <w:i/>
          <w:color w:val="000000"/>
          <w:sz w:val="20"/>
        </w:rPr>
        <w:t xml:space="preserve">Brain Assistant. </w:t>
      </w:r>
      <w:r>
        <w:rPr>
          <w:rFonts w:ascii="Times New Roman" w:hAnsi="Times New Roman"/>
          <w:color w:val="000000"/>
          <w:sz w:val="20"/>
        </w:rPr>
        <w:t xml:space="preserve">Rezolve's Brain Assistant's advanced training allows customers to accelerate onboarding and answer customer service questions directly. Customers can create knowledge bases via Brain Assistant which can be interrogated by staff members who can quickly become subject matter experts.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pPr>
      <w:r>
        <w:rPr>
          <w:rFonts w:ascii="Times New Roman" w:hAnsi="Times New Roman"/>
          <w:i/>
          <w:color w:val="000000"/>
          <w:sz w:val="20"/>
        </w:rPr>
        <w:t xml:space="preserve">Brainpowa LLM. </w:t>
      </w:r>
      <w:r>
        <w:rPr>
          <w:rFonts w:ascii="Times New Roman" w:hAnsi="Times New Roman"/>
          <w:color w:val="000000"/>
          <w:sz w:val="20"/>
        </w:rPr>
        <w:t xml:space="preserve">Rezolve's brainpowa LLM has been engineered for commerce. The propriety LLM harnesses over 300 billion tokens and 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pPr>
      <w:r>
        <w:rPr>
          <w:rFonts w:ascii="Times New Roman" w:hAnsi="Times New Roman"/>
          <w:i/>
          <w:color w:val="000000"/>
          <w:sz w:val="20"/>
        </w:rPr>
        <w:t xml:space="preserve">Omnichannel Interactions. </w:t>
      </w:r>
      <w:r>
        <w:rPr>
          <w:rFonts w:ascii="Times New Roman" w:hAnsi="Times New Roman"/>
          <w:color w:val="000000"/>
          <w:sz w:val="20"/>
        </w:rPr>
        <w:t>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pPr>
      <w:r>
        <w:rPr>
          <w:rFonts w:ascii="Times New Roman" w:hAnsi="Times New Roman"/>
          <w:i/>
          <w:color w:val="000000"/>
          <w:sz w:val="20"/>
        </w:rPr>
        <w:t>Direct Brand Engagement</w:t>
      </w:r>
      <w:r>
        <w:rPr>
          <w:rFonts w:ascii="Times New Roman" w:hAnsi="Times New Roman"/>
          <w:color w:val="000000"/>
          <w:sz w:val="20"/>
        </w:rPr>
        <w:t>.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pPr>
      <w:r>
        <w:rPr>
          <w:rFonts w:ascii="Times New Roman" w:hAnsi="Times New Roman"/>
          <w:i/>
          <w:color w:val="000000"/>
          <w:sz w:val="20"/>
        </w:rPr>
        <w:t xml:space="preserve">Seamless Integration with Existing Applications. </w:t>
      </w:r>
      <w:r>
        <w:rPr>
          <w:rFonts w:ascii="Times New Roman" w:hAnsi="Times New Roman"/>
          <w:color w:val="000000"/>
          <w:sz w:val="20"/>
        </w:rPr>
        <w:t xml:space="preserve">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 xml:space="preserve">application </w:t>
      </w:r>
      <w:r>
        <w:rPr>
          <w:rFonts w:ascii="Times New Roman" w:hAnsi="Times New Roman"/>
          <w:i/>
          <w:color w:val="000000"/>
          <w:sz w:val="20"/>
        </w:rPr>
        <w:t xml:space="preserve">Shop Beautiful </w:t>
      </w:r>
      <w:r>
        <w:rPr>
          <w:rFonts w:ascii="Times New Roman" w:hAnsi="Times New Roman"/>
          <w:color w:val="000000"/>
          <w:sz w:val="20"/>
        </w:rPr>
        <w:t>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pPr>
      <w:r>
        <w:rPr>
          <w:rFonts w:ascii="Times New Roman" w:hAnsi="Times New Roman"/>
          <w:i/>
          <w:color w:val="000000"/>
          <w:sz w:val="20"/>
        </w:rPr>
        <w:t>Actionable Analytics and Insights</w:t>
      </w:r>
      <w:r>
        <w:rPr>
          <w:rFonts w:ascii="Times New Roman" w:hAnsi="Times New Roman"/>
          <w:color w:val="000000"/>
          <w:sz w:val="20"/>
        </w:rPr>
        <w:t>. With our platform, we expect merchants will be able to receive direct insights into consumer behavior that 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pPr>
      <w:r>
        <w:rPr>
          <w:rFonts w:ascii="Times New Roman" w:hAnsi="Times New Roman"/>
          <w:i/>
          <w:color w:val="000000"/>
          <w:sz w:val="20"/>
        </w:rPr>
        <w:t>A Frictionless Consumer Experience</w:t>
      </w:r>
      <w:r>
        <w:rPr>
          <w:rFonts w:ascii="Times New Roman" w:hAnsi="Times New Roman"/>
          <w:color w:val="000000"/>
          <w:sz w:val="20"/>
        </w:rPr>
        <w:t>. 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pStyle w:val="TextBody"/>
        <w:bidi w:val="0"/>
        <w:jc w:val="both"/>
        <w:rPr/>
      </w:pPr>
      <w:r>
        <w:rPr/>
        <w:t> </w:t>
      </w:r>
    </w:p>
    <w:p>
      <w:pPr>
        <w:pStyle w:val="TextBody"/>
        <w:bidi w:val="0"/>
        <w:jc w:val="center"/>
        <w:rPr/>
      </w:pPr>
      <w:r>
        <w:rPr/>
        <w:drawing>
          <wp:inline distT="0" distB="0" distL="0" distR="0">
            <wp:extent cx="2981325" cy="418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81325" cy="4181475"/>
                    </a:xfrm>
                    <a:prstGeom prst="rect">
                      <a:avLst/>
                    </a:prstGeom>
                  </pic:spPr>
                </pic:pic>
              </a:graphicData>
            </a:graphic>
          </wp:inline>
        </w:drawing>
      </w:r>
      <w:r>
        <w:rPr/>
        <w:drawing>
          <wp:inline distT="0" distB="0" distL="0" distR="0">
            <wp:extent cx="2962275" cy="419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62275" cy="4191000"/>
                    </a:xfrm>
                    <a:prstGeom prst="rect">
                      <a:avLst/>
                    </a:prstGeom>
                  </pic:spPr>
                </pic:pic>
              </a:graphicData>
            </a:graphic>
          </wp:inline>
        </w:drawing>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2962275" cy="416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62275" cy="4162425"/>
                    </a:xfrm>
                    <a:prstGeom prst="rect">
                      <a:avLst/>
                    </a:prstGeom>
                  </pic:spPr>
                </pic:pic>
              </a:graphicData>
            </a:graphic>
          </wp:inline>
        </w:drawing>
      </w:r>
      <w:r>
        <w:rPr/>
        <w:drawing>
          <wp:inline distT="0" distB="0" distL="0" distR="0">
            <wp:extent cx="2962275" cy="418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62275" cy="4181475"/>
                    </a:xfrm>
                    <a:prstGeom prst="rect">
                      <a:avLst/>
                    </a:prstGeom>
                  </pic:spPr>
                </pic:pic>
              </a:graphicData>
            </a:graphic>
          </wp:inline>
        </w:drawing>
      </w:r>
    </w:p>
    <w:p>
      <w:pPr>
        <w:pStyle w:val="TextBody"/>
        <w:bidi w:val="0"/>
        <w:jc w:val="center"/>
        <w:rPr/>
      </w:pPr>
      <w:r>
        <w:rPr/>
        <w:drawing>
          <wp:inline distT="0" distB="0" distL="0" distR="0">
            <wp:extent cx="3162300" cy="4476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162300" cy="4476750"/>
                    </a:xfrm>
                    <a:prstGeom prst="rect">
                      <a:avLst/>
                    </a:prstGeom>
                  </pic:spPr>
                </pic:pic>
              </a:graphicData>
            </a:graphic>
          </wp:inline>
        </w:drawing>
      </w:r>
      <w:r>
        <w:rPr/>
        <w:drawing>
          <wp:inline distT="0" distB="0" distL="0" distR="0">
            <wp:extent cx="3190875" cy="4476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90875" cy="447675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agreements with distribution and consumer-facing networks, which we refer to as our Channels, to sign up merchants to the Rezolve platform. Our Channels also receive significant benefits from deploying our solutions to their merchant base.</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Opportunity</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we have a significant opportunity to transform how retail customers discover, engage and shop online. Our mobile commerce provides a natural interactive experience for your customers where they may enjoy a conversational approach to shopping.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commercialize the Rezolve platform in quarter 2 of 2025, initially in Europe and the USA. Revenues from Brain 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the completion of the Pre-Closing Demerger, we ceased operations in China and are currently focused on growing our footprint in other geographic markets, but at a future date, we will consider re-engaging with the Chinese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 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in the future, a new Rezolve entity can be accredited to operate directly with CUP and AP, the board will consider re-entering the China market. However, the current focus is on rolling out our technologies with partners in other markets around the world.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web search statistics: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98% of consumers use the Internet to find a local business in 2022. (BrightLocal survey)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76% of consumers “always” or “regularly” read online reviews for local businesses. (BrightLocal survey)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29% of consumers search for local businesses at least every week. (BrightLocal survey)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Growth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elements of our strategy include: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 xml:space="preserve">Scaling Existing Channels. </w:t>
      </w:r>
      <w:r>
        <w:rPr>
          <w:rFonts w:ascii="Times New Roman" w:hAnsi="Times New Roman"/>
          <w:color w:val="000000"/>
          <w:sz w:val="20"/>
        </w:rPr>
        <w:t>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Win New Channels</w:t>
      </w:r>
      <w:r>
        <w:rPr>
          <w:rFonts w:ascii="Times New Roman" w:hAnsi="Times New Roman"/>
          <w:color w:val="000000"/>
          <w:sz w:val="20"/>
        </w:rPr>
        <w:t>.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New Offering Features</w:t>
      </w:r>
      <w:r>
        <w:rPr>
          <w:rFonts w:ascii="Times New Roman" w:hAnsi="Times New Roman"/>
          <w:color w:val="000000"/>
          <w:sz w:val="20"/>
        </w:rPr>
        <w:t>. We plan to add to and expand our platform with further functionality including live event notifications, dynamic coupons, more personalization and personal experiences as well as provided artificial intelligence layers to enable more convenient and segmented merchandising.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Upsell/Cross Sell</w:t>
      </w:r>
      <w:r>
        <w:rPr>
          <w:rFonts w:ascii="Times New Roman" w:hAnsi="Times New Roman"/>
          <w:color w:val="000000"/>
          <w:sz w:val="20"/>
        </w:rPr>
        <w:t>.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Enter New Geographies</w:t>
      </w:r>
      <w:r>
        <w:rPr>
          <w:rFonts w:ascii="Times New Roman" w:hAnsi="Times New Roman"/>
          <w:color w:val="000000"/>
          <w:sz w:val="20"/>
        </w:rPr>
        <w:t>. We intend to capitalize on our global growth momentum in India, the U.S., Latin America, East Asia, broader Europe, Australia, Canada and Brazil.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Strategic Acquisitions</w:t>
      </w:r>
      <w:r>
        <w:rPr>
          <w:rFonts w:ascii="Times New Roman" w:hAnsi="Times New Roman"/>
          <w:color w:val="000000"/>
          <w:sz w:val="20"/>
        </w:rPr>
        <w:t>.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Rezolve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cloud-based Rezolve AI platform integrates the features and functionalities that merchants need to seamlessly transact across different Channels. Capabilities include: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 xml:space="preserve">Ecommerce Chat and Search. </w:t>
      </w:r>
      <w:r>
        <w:rPr>
          <w:rFonts w:ascii="Times New Roman" w:hAnsi="Times New Roman"/>
          <w:color w:val="000000"/>
          <w:sz w:val="20"/>
        </w:rPr>
        <w:t xml:space="preserve">Rezolve’s </w:t>
      </w:r>
      <w:r>
        <w:rPr>
          <w:rFonts w:ascii="Times New Roman" w:hAnsi="Times New Roman"/>
          <w:i/>
          <w:color w:val="000000"/>
          <w:sz w:val="20"/>
        </w:rPr>
        <w:t>Brain Commerce</w:t>
      </w:r>
      <w:r>
        <w:rPr>
          <w:color w:val="000000"/>
        </w:rPr>
        <w:t xml:space="preserve"> </w:t>
      </w:r>
      <w:r>
        <w:rPr>
          <w:rFonts w:ascii="Times New Roman" w:hAnsi="Times New Roman"/>
          <w:color w:val="000000"/>
          <w:sz w:val="20"/>
        </w:rPr>
        <w:t>allows customers, either online or instore, to interact naturally in a conversational 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 xml:space="preserve">Customer Loyalty Programs. </w:t>
      </w:r>
      <w:r>
        <w:rPr>
          <w:rFonts w:ascii="Times New Roman" w:hAnsi="Times New Roman"/>
          <w:color w:val="000000"/>
          <w:sz w:val="20"/>
        </w:rPr>
        <w:t>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Direct Customer Insights</w:t>
      </w:r>
      <w:r>
        <w:rPr>
          <w:rFonts w:ascii="Times New Roman" w:hAnsi="Times New Roman"/>
          <w:color w:val="000000"/>
          <w:sz w:val="20"/>
        </w:rPr>
        <w:t>.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Mobile Vouchering</w:t>
      </w:r>
      <w:r>
        <w:rPr>
          <w:rFonts w:ascii="Times New Roman" w:hAnsi="Times New Roman"/>
          <w:color w:val="000000"/>
          <w:sz w:val="20"/>
        </w:rPr>
        <w:t>. We expect to enable merchants to be more flexible in their offerings to consumers. With the Rezolve platform integrated into merchants’ apps, consumers are able to scan products and buy them through the app, eliminating the need to wait online in retail stores.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 xml:space="preserve">Retailer Point-of-Sale / Back office. </w:t>
      </w:r>
      <w:r>
        <w:rPr>
          <w:rFonts w:ascii="Times New Roman" w:hAnsi="Times New Roman"/>
          <w:color w:val="000000"/>
          <w:sz w:val="20"/>
        </w:rPr>
        <w:t>We expect to provide merchants with a self-service portal, featuring an accessible dashboard to manage shoppable campaigns and to track consumers’ shopping trends.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 xml:space="preserve">Mobile Payments. </w:t>
      </w:r>
      <w:r>
        <w:rPr>
          <w:rFonts w:ascii="Times New Roman" w:hAnsi="Times New Roman"/>
          <w:color w:val="000000"/>
          <w:sz w:val="20"/>
        </w:rPr>
        <w:t>We expect to enhance merchants’ platforms by making the checkout process frictionless. Consumers only need a mobile device to use the Rezolve platform to instantly buy products that are featured in advertisements or scan and buy products in retail stores.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 xml:space="preserve">Ability to Pay Online or Offline. </w:t>
      </w:r>
      <w:r>
        <w:rPr>
          <w:rFonts w:ascii="Times New Roman" w:hAnsi="Times New Roman"/>
          <w:color w:val="000000"/>
          <w:sz w:val="20"/>
        </w:rPr>
        <w:t>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Engagement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platform to integrate with and address the following engagement opportunities: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Chat and Search</w:t>
      </w:r>
      <w:r>
        <w:rPr>
          <w:rFonts w:ascii="Times New Roman" w:hAnsi="Times New Roman"/>
          <w:color w:val="000000"/>
          <w:sz w:val="20"/>
        </w:rPr>
        <w:t>. Merchants can interact naturally with customers via Brain Commerc</w:t>
      </w:r>
      <w:r>
        <w:rPr>
          <w:rFonts w:ascii="Times New Roman" w:hAnsi="Times New Roman"/>
          <w:i/>
          <w:color w:val="000000"/>
          <w:sz w:val="20"/>
        </w:rPr>
        <w:t>e</w:t>
      </w:r>
      <w:r>
        <w:rPr>
          <w:rFonts w:ascii="Times New Roman" w:hAnsi="Times New Roman"/>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 xml:space="preserve">Instant Checkout. </w:t>
      </w:r>
      <w:r>
        <w:rPr>
          <w:rFonts w:ascii="Times New Roman" w:hAnsi="Times New Roman"/>
          <w:color w:val="000000"/>
          <w:sz w:val="20"/>
        </w:rPr>
        <w:t>Merchants can embed Buy Now and Act Now buttons on their websites and advertisements for instant engagement and conversion via Brain Checkout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 xml:space="preserve">GeoZones. </w:t>
      </w:r>
      <w:r>
        <w:rPr>
          <w:rFonts w:ascii="Times New Roman" w:hAnsi="Times New Roman"/>
          <w:color w:val="000000"/>
          <w:sz w:val="20"/>
        </w:rPr>
        <w:t>Merchants can interact with consumers based on proximity to certain locations.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 xml:space="preserve">Media with Audio. </w:t>
      </w:r>
      <w:r>
        <w:rPr>
          <w:rFonts w:ascii="Times New Roman" w:hAnsi="Times New Roman"/>
          <w:color w:val="000000"/>
          <w:sz w:val="20"/>
        </w:rPr>
        <w:t>Merchants can integrate watermarks in broadcast and streaming media.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 xml:space="preserve">Visual Events. </w:t>
      </w:r>
      <w:r>
        <w:rPr>
          <w:rFonts w:ascii="Times New Roman" w:hAnsi="Times New Roman"/>
          <w:color w:val="000000"/>
          <w:sz w:val="20"/>
        </w:rPr>
        <w:t>Merchants can integrate watermarks in posters, advertising, product labels and merchandise.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pPr>
      <w:r>
        <w:rPr>
          <w:rFonts w:ascii="Times New Roman" w:hAnsi="Times New Roman"/>
          <w:i/>
          <w:color w:val="000000"/>
          <w:sz w:val="20"/>
        </w:rPr>
        <w:t>Beacons</w:t>
      </w:r>
      <w:r>
        <w:rPr>
          <w:rFonts w:ascii="Times New Roman" w:hAnsi="Times New Roman"/>
          <w:color w:val="000000"/>
          <w:sz w:val="20"/>
        </w:rPr>
        <w:t>. Merchants can establish near-proximity beacons which allow near-field proximity engagements (3 inches to 36 inches plus) in both indoor and outdoor locations.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pPr>
      <w:r>
        <w:rPr>
          <w:rFonts w:ascii="Times New Roman" w:hAnsi="Times New Roman"/>
          <w:i/>
          <w:color w:val="000000"/>
          <w:sz w:val="20"/>
        </w:rPr>
        <w:t xml:space="preserve">SmartLinks. </w:t>
      </w:r>
      <w:r>
        <w:rPr>
          <w:rFonts w:ascii="Times New Roman" w:hAnsi="Times New Roman"/>
          <w:color w:val="000000"/>
          <w:sz w:val="20"/>
        </w:rPr>
        <w:t>Merchants can embed URL links into social media posts and email communications (amongst others) which trigger Instant Checkout and Instant Act engagements.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pPr>
      <w:r>
        <w:rPr>
          <w:rFonts w:ascii="Times New Roman" w:hAnsi="Times New Roman"/>
          <w:i/>
          <w:color w:val="000000"/>
          <w:sz w:val="20"/>
        </w:rPr>
        <w:t xml:space="preserve">SmartCodes. </w:t>
      </w:r>
      <w:r>
        <w:rPr>
          <w:rFonts w:ascii="Times New Roman" w:hAnsi="Times New Roman"/>
          <w:color w:val="000000"/>
          <w:sz w:val="20"/>
        </w:rPr>
        <w:t>Merchants can establish QR codes integrated with their media with a richer engagement experience for the consumer.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Rezolve platform is a multi-tenant cloud-based system that is engineered for high scalability, reliability and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 xml:space="preserve">Artificial Intelligence. </w:t>
      </w:r>
      <w:r>
        <w:rPr>
          <w:rFonts w:ascii="Times New Roman" w:hAnsi="Times New Roman"/>
          <w:color w:val="000000"/>
          <w:sz w:val="20"/>
        </w:rPr>
        <w:t>Our Large Language Model (“</w:t>
      </w:r>
      <w:r>
        <w:rPr>
          <w:rFonts w:ascii="Times New Roman" w:hAnsi="Times New Roman"/>
          <w:b/>
          <w:i/>
          <w:color w:val="000000"/>
          <w:sz w:val="20"/>
        </w:rPr>
        <w:t>LLM</w:t>
      </w:r>
      <w:r>
        <w:rPr>
          <w:color w:val="000000"/>
        </w:rPr>
        <w:t>”</w:t>
      </w:r>
      <w:r>
        <w:rPr>
          <w:rFonts w:ascii="Times New Roman" w:hAnsi="Times New Roman"/>
          <w:color w:val="000000"/>
          <w:sz w:val="20"/>
        </w:rPr>
        <w:t xml:space="preserve">)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AI-powered personalized recommendations enhance customer experiences by leveraging advanced algorithms to deliver tailored product suggestions based on individual preferences and behavior.</w:t>
      </w:r>
    </w:p>
    <w:p>
      <w:pPr>
        <w:pStyle w:val="TextBody"/>
        <w:bidi w:val="0"/>
        <w:jc w:val="both"/>
        <w:rPr/>
      </w:pPr>
      <w:r>
        <w:rPr/>
        <w:t> </w:t>
      </w:r>
    </w:p>
    <w:p>
      <w:pPr>
        <w:pStyle w:val="TextBody"/>
        <w:bidi w:val="0"/>
        <w:jc w:val="center"/>
        <w:rPr/>
      </w:pPr>
      <w:r>
        <w:rPr/>
        <w:drawing>
          <wp:inline distT="0" distB="0" distL="0" distR="0">
            <wp:extent cx="4800600" cy="2828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00600" cy="2828925"/>
                    </a:xfrm>
                    <a:prstGeom prst="rect">
                      <a:avLst/>
                    </a:prstGeom>
                  </pic:spPr>
                </pic:pic>
              </a:graphicData>
            </a:graphic>
          </wp:inline>
        </w:drawing>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i/>
          <w:color w:val="000000"/>
          <w:sz w:val="20"/>
        </w:rPr>
        <w:t xml:space="preserve">Security. </w:t>
      </w:r>
      <w:r>
        <w:rPr>
          <w:rFonts w:ascii="Times New Roman" w:hAnsi="Times New Roman"/>
          <w:color w:val="000000"/>
          <w:sz w:val="20"/>
        </w:rPr>
        <w:t>Our proprietary AI-Platform keeps both merchant and customer confidential and PII data secure and is regulated by the strict GDPR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i/>
          <w:color w:val="000000"/>
          <w:sz w:val="20"/>
        </w:rPr>
        <w:t xml:space="preserve">Encryption. </w:t>
      </w:r>
      <w:r>
        <w:rPr>
          <w:rFonts w:ascii="Times New Roman" w:hAnsi="Times New Roman"/>
          <w:color w:val="000000"/>
          <w:sz w:val="20"/>
        </w:rPr>
        <w:t>All data is encrypted at rest (AES-256) and in transit.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i/>
          <w:color w:val="000000"/>
          <w:sz w:val="20"/>
        </w:rPr>
        <w:t xml:space="preserve">Data usage. </w:t>
      </w:r>
      <w:r>
        <w:rPr>
          <w:rFonts w:ascii="Times New Roman" w:hAnsi="Times New Roman"/>
          <w:color w:val="000000"/>
          <w:sz w:val="20"/>
        </w:rPr>
        <w:t>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i/>
          <w:color w:val="000000"/>
          <w:sz w:val="20"/>
        </w:rPr>
        <w:t xml:space="preserve">Scalability. </w:t>
      </w:r>
      <w:r>
        <w:rPr>
          <w:rFonts w:ascii="Times New Roman" w:hAnsi="Times New Roman"/>
          <w:color w:val="000000"/>
          <w:sz w:val="20"/>
        </w:rPr>
        <w:t>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pPr>
      <w:r>
        <w:rPr>
          <w:rFonts w:ascii="Times New Roman" w:hAnsi="Times New Roman"/>
          <w:i/>
          <w:color w:val="000000"/>
          <w:sz w:val="20"/>
        </w:rPr>
        <w:t xml:space="preserve">Resilience. </w:t>
      </w:r>
      <w:r>
        <w:rPr>
          <w:rFonts w:ascii="Times New Roman" w:hAnsi="Times New Roman"/>
          <w:color w:val="000000"/>
          <w:sz w:val="20"/>
        </w:rPr>
        <w:t>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pPr>
      <w:r>
        <w:rPr>
          <w:rFonts w:ascii="Times New Roman" w:hAnsi="Times New Roman"/>
          <w:i/>
          <w:color w:val="000000"/>
          <w:sz w:val="20"/>
        </w:rPr>
        <w:t xml:space="preserve">Embedded Connectivity. </w:t>
      </w:r>
      <w:r>
        <w:rPr>
          <w:rFonts w:ascii="Times New Roman" w:hAnsi="Times New Roman"/>
          <w:color w:val="000000"/>
          <w:sz w:val="20"/>
        </w:rPr>
        <w:t>Rezolve’s mobile SDK provides a quick and easy solution to embed and enable Rezolve platform functionality in any Android and iOS app. The accompanying SDK sample app and documents allow third-party developers to quickly leverage the power of our 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pPr>
      <w:r>
        <w:rPr>
          <w:rFonts w:ascii="Times New Roman" w:hAnsi="Times New Roman"/>
          <w:i/>
          <w:color w:val="000000"/>
          <w:sz w:val="20"/>
        </w:rPr>
        <w:t xml:space="preserve">Central Management. </w:t>
      </w:r>
      <w:r>
        <w:rPr>
          <w:rFonts w:ascii="Times New Roman" w:hAnsi="Times New Roman"/>
          <w:color w:val="000000"/>
          <w:sz w:val="20"/>
        </w:rPr>
        <w:t>Rezolve maintains a central management and configuration tool that allows it to quickly setup partners, merchants, payments, apps and index content from its merchants so it’s available via the SDK.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pPr>
      <w:r>
        <w:rPr>
          <w:rFonts w:ascii="Times New Roman" w:hAnsi="Times New Roman"/>
          <w:i/>
          <w:color w:val="000000"/>
          <w:sz w:val="20"/>
        </w:rPr>
        <w:t xml:space="preserve">Analytics &amp; Reporting. </w:t>
      </w:r>
      <w:r>
        <w:rPr>
          <w:rFonts w:ascii="Times New Roman" w:hAnsi="Times New Roman"/>
          <w:color w:val="000000"/>
          <w:sz w:val="20"/>
        </w:rPr>
        <w:t>Rezolve SDK and Backend Data Ingestor Service gathers metrics on usage, transactions, interactions and feeds it to the Analytics Engine to churn out smart Dashboards and Reports.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pPr>
      <w:r>
        <w:rPr>
          <w:rFonts w:ascii="Times New Roman" w:hAnsi="Times New Roman"/>
          <w:i/>
          <w:color w:val="000000"/>
          <w:sz w:val="20"/>
        </w:rPr>
        <w:t xml:space="preserve">Snap-on Integrations. </w:t>
      </w:r>
      <w:r>
        <w:rPr>
          <w:rFonts w:ascii="Times New Roman" w:hAnsi="Times New Roman"/>
          <w:color w:val="000000"/>
          <w:sz w:val="20"/>
        </w:rPr>
        <w:t>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pPr>
      <w:r>
        <w:rPr>
          <w:rFonts w:ascii="Times New Roman" w:hAnsi="Times New Roman"/>
          <w:i/>
          <w:color w:val="000000"/>
          <w:sz w:val="20"/>
        </w:rPr>
        <w:t xml:space="preserve">Mass Onboarding. </w:t>
      </w:r>
      <w:r>
        <w:rPr>
          <w:rFonts w:ascii="Times New Roman" w:hAnsi="Times New Roman"/>
          <w:color w:val="000000"/>
          <w:sz w:val="20"/>
        </w:rPr>
        <w:t>Bulk Onboarding of Merchants is a new and unique offering of our platform that allows us to set up and configure more than 10,000 merchants. Admin portal provides an easy to operate tool for operations teams to quickly add a large merchant base in any market on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pPr>
      <w:r>
        <w:rPr>
          <w:rFonts w:ascii="Times New Roman" w:hAnsi="Times New Roman"/>
          <w:i/>
          <w:color w:val="000000"/>
          <w:sz w:val="20"/>
        </w:rPr>
        <w:t xml:space="preserve">Smart Triggers. </w:t>
      </w:r>
      <w:r>
        <w:rPr>
          <w:rFonts w:ascii="Times New Roman" w:hAnsi="Times New Roman"/>
          <w:color w:val="000000"/>
          <w:sz w:val="20"/>
        </w:rPr>
        <w:t>Rezolve’s implementation of GeoZones, Beacons and Watermarking are important elements of its platform. The creation of these triggers via Rezolve’s Experience Platform when combined with its SDK delivers a powerful tool to Merchants to deliver non spamming targeted engagements.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pPr>
      <w:r>
        <w:rPr>
          <w:rFonts w:ascii="Times New Roman" w:hAnsi="Times New Roman"/>
          <w:i/>
          <w:color w:val="000000"/>
          <w:sz w:val="20"/>
        </w:rPr>
        <w:t xml:space="preserve">Developer Friendly. </w:t>
      </w:r>
      <w:r>
        <w:rPr>
          <w:rFonts w:ascii="Times New Roman" w:hAnsi="Times New Roman"/>
          <w:color w:val="000000"/>
          <w:sz w:val="20"/>
        </w:rPr>
        <w:t>Rezolve’s REST API provides another integration point for any partner or client not using native mobile apps. We can easily support progressive web applications, hybrid applications, web-based services and other applications.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market is transforming, competitive and highly fragmented, and we expect competition to increase in the future. We believe the principal competitive factors in our market 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proprietary actionable AI-engineered products and solutions focused on commerce;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simplicity and ease of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integration of multiple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breadth and depth of functionality;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pace of innovation;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scale;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and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support for brand development;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recognition and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each of these factors, we believe that we provide a number of favorable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pStyle w:val="TextBody"/>
        <w:bidi w:val="0"/>
        <w:spacing w:before="240" w:after="283"/>
        <w:jc w:val="left"/>
        <w:rPr>
          <w:rFonts w:ascii="Times New Roman" w:hAnsi="Times New Roman"/>
          <w:sz w:val="20"/>
        </w:rPr>
      </w:pPr>
      <w:r>
        <w:rPr>
          <w:rFonts w:ascii="Times New Roman" w:hAnsi="Times New Roman"/>
          <w:color w:val="000000"/>
          <w:sz w:val="20"/>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hAnsi="Times New Roman"/>
          <w:i/>
          <w:color w:val="000000"/>
          <w:sz w:val="20"/>
        </w:rPr>
        <w:t>Risk Factors—Risks Related to our Business and Industry</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headquartered in London, England, United Kingdom.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aps/>
          <w:color w:val="000000"/>
          <w:sz w:val="20"/>
        </w:rPr>
      </w:pPr>
      <w:bookmarkStart w:id="15" w:name="management_and_compensation"/>
      <w:bookmarkEnd w:id="15"/>
      <w:r>
        <w:rPr>
          <w:rFonts w:ascii="Times New Roman" w:hAnsi="Times New Roman"/>
          <w:b/>
          <w:caps/>
          <w:color w:val="000000"/>
          <w:sz w:val="20"/>
        </w:rPr>
        <w:t>MANAGEMENT and compensation</w:t>
      </w:r>
    </w:p>
    <w:p>
      <w:pPr>
        <w:pStyle w:val="TextBody"/>
        <w:bidi w:val="0"/>
        <w:jc w:val="left"/>
        <w:rPr>
          <w:rFonts w:ascii="Times New Roman" w:hAnsi="Times New Roman"/>
          <w:sz w:val="20"/>
        </w:rPr>
      </w:pPr>
      <w:r>
        <w:rPr>
          <w:rFonts w:ascii="Times New Roman" w:hAnsi="Times New Roman"/>
          <w:color w:val="000000"/>
          <w:sz w:val="20"/>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hAnsi="Times New Roman"/>
          <w:b/>
          <w:i/>
          <w:color w:val="000000"/>
          <w:sz w:val="20"/>
        </w:rPr>
        <w:t>Company Board</w:t>
      </w:r>
      <w:r>
        <w:rPr>
          <w:rFonts w:ascii="Times New Roman" w:hAnsi="Times New Roman"/>
          <w:color w:val="000000"/>
          <w:sz w:val="20"/>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pStyle w:val="TextBody"/>
        <w:bidi w:val="0"/>
        <w:jc w:val="left"/>
        <w:rPr/>
      </w:pPr>
      <w:r>
        <w:rPr/>
        <w:t> </w:t>
      </w:r>
    </w:p>
    <w:tbl>
      <w:tblPr>
        <w:tblW w:w="7060" w:type="dxa"/>
        <w:jc w:val="left"/>
        <w:tblInd w:w="0" w:type="dxa"/>
        <w:tblLayout w:type="fixed"/>
        <w:tblCellMar>
          <w:top w:w="28" w:type="dxa"/>
          <w:left w:w="28" w:type="dxa"/>
          <w:bottom w:w="28" w:type="dxa"/>
          <w:right w:w="28" w:type="dxa"/>
        </w:tblCellMar>
      </w:tblPr>
      <w:tblGrid>
        <w:gridCol w:w="1636"/>
        <w:gridCol w:w="146"/>
        <w:gridCol w:w="391"/>
        <w:gridCol w:w="146"/>
        <w:gridCol w:w="47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Sharp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 David Wright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Perry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Herbert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Burchill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Commercial Officer and General Manager (EMEA)</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Sauvik Banerjjee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Products, Technology, and Digital Services</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Salman Ahmad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r>
    </w:tbl>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Executive Director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Daniel Wagner.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Non-Executive Directors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Stephen Perry.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Dr. Derek Smith.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John Wagner.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Anthony Sharp.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Sir David Wright.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Stephen Herbert.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Executive Officers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Peter Vesco.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Richard Burchill.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Sauvik Banerjjee.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Dr. Salman Ahmad.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Daniel Wagner, CEO and director, being the son of John Wagner, a non-executive director on the board of directors, there are no family relationships between any of the executive officers and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Private Issuer Exemption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filing quarterly reports on Form 10-Q containing unaudited financial and other specified information or current reports on Form 8-K upon the occurrence of specified significant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Section 16 under the Exchange Act, which requires insiders to file public reports of their securities ownership and trading activities and provides for liability for insiders who profit from trades in a short period of time;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Nasdaq rules applicable to domestic issuers requiring disclosure within four business days of any determination to grant a waiver of the code of business conduct and ethics to directors and officers;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requirement to obtain shareholder approval for certain issuances of securities, including shareholder approval of share option plans;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requirement that our board have a compensation committee that is composed entirely of independent directors with a written charter addressing the committee’s purpose and responsibilities; and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Controlled Company Exemption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Daniel Wagner, the Rezolve Founder and Chief Executive Officer controls 75% of the voting power of our outstanding capital stock. As a result, we are a “controlled company” within the meaning of the Nasdaq listing standards. Under these rules, a company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which more than 50% of the voting power is held by an individual, group or another company is a “controlled company” and may elect not to comply with certain corporate governance requirements, including: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a majority of the board of directors consist of independent directors;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we have a compensation committee that is composed entirely of independent directors with a written charter addressing the committee’s purpose and responsibilities;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we have a nominating and corporate governance committee that is composed entirely of independent directors with a written charter addressing the committee’s purpose and responsibilities; and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for an annual performance evaluation of the nominating and corporate governance and compensation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we cease to be a “controlled company” and our shares continue to be listed on the Nasdaq, we will be required to comply with these provisions within the applicable transition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an “emerging growth company” as defined in the JOBS Act and have elected to comply with certain reduced public company reporting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Independence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Independence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Rezolve Board of Directors Composition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Role of Rezolve Board of Directors in Risk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Committees of the Rezolve Board of Directors</w:t>
      </w:r>
    </w:p>
    <w:p>
      <w:pPr>
        <w:pStyle w:val="TextBody"/>
        <w:bidi w:val="0"/>
        <w:spacing w:before="120" w:after="283"/>
        <w:jc w:val="left"/>
        <w:rPr>
          <w:rFonts w:ascii="Times New Roman" w:hAnsi="Times New Roman"/>
          <w:sz w:val="20"/>
        </w:rPr>
      </w:pPr>
      <w:r>
        <w:rPr>
          <w:rFonts w:ascii="Times New Roman" w:hAnsi="Times New Roman"/>
          <w:color w:val="000000"/>
          <w:sz w:val="20"/>
        </w:rPr>
        <w:t>Following the Closing, the board of directors established three standing committees: (i) an audit committee (the "</w:t>
      </w:r>
      <w:r>
        <w:rPr>
          <w:rFonts w:ascii="Times New Roman" w:hAnsi="Times New Roman"/>
          <w:b/>
          <w:i/>
          <w:color w:val="000000"/>
          <w:sz w:val="20"/>
        </w:rPr>
        <w:t>Audit Committee</w:t>
      </w:r>
      <w:r>
        <w:rPr>
          <w:rFonts w:ascii="Times New Roman" w:hAnsi="Times New Roman"/>
          <w:color w:val="000000"/>
          <w:sz w:val="20"/>
        </w:rPr>
        <w:t>"), (ii) a remuneration committee (the "</w:t>
      </w:r>
      <w:r>
        <w:rPr>
          <w:rFonts w:ascii="Times New Roman" w:hAnsi="Times New Roman"/>
          <w:b/>
          <w:i/>
          <w:color w:val="000000"/>
          <w:sz w:val="20"/>
        </w:rPr>
        <w:t>Remuneration Committee</w:t>
      </w:r>
      <w:r>
        <w:rPr>
          <w:rFonts w:ascii="Times New Roman" w:hAnsi="Times New Roman"/>
          <w:color w:val="000000"/>
          <w:sz w:val="20"/>
        </w:rPr>
        <w:t>"), and (iii) a nominating and corporate governance committee (the "</w:t>
      </w:r>
      <w:r>
        <w:rPr>
          <w:rFonts w:ascii="Times New Roman" w:hAnsi="Times New Roman"/>
          <w:b/>
          <w:i/>
          <w:color w:val="000000"/>
          <w:sz w:val="20"/>
        </w:rPr>
        <w:t>Nominating and Corporate Governance Committee</w:t>
      </w:r>
      <w:r>
        <w:rPr>
          <w:rFonts w:ascii="Times New Roman" w:hAnsi="Times New Roman"/>
          <w:color w:val="000000"/>
          <w:sz w:val="20"/>
        </w:rPr>
        <w:t>"). In addition, from time to time, special committees may be established under the direction of our board of directors when necessary to address specific issues.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is responsible for, among other things: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meeting with our independent registered accounting firm regarding, among other issues, audits, and adequacy of our accounting and control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the independence of the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verifying the rotation of the lead (or coordinating) audit partner having primary responsibility for the audit and the audit partner responsible for reviewing the audit as required by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inquiring and discussing with management our compliance with applicable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pre-approving all audit services and permitted non-audit services to be performed by our independent registered public accounting firm, including the fees and terms of the services to be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appointing or replacing the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the receipt, retention and treatment of complaints received by us regarding accounting, internal accounting controls or reports which raise material issues regarding our financial statements or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policies on risk assessment and risk management;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related person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Remuneration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Remuneration Committee is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compensation of all of our other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executive compensation policies and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and administering our incentive compensation equity-based remuneration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management in complying with any disclosure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all special perquisites, special cash payments and other special compensation and benefit arrangements for our officers and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evaluating and recommending changes, if appropriate, to the remuneration for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retaining and overseeing any compensation consultants.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Remuneration Committee consists of Anthony Sharp and Steve Perry, with Steve Perry serving as the chair of the committee. Our board of directors has adopted a written terms of reference for the Remuneration Committee, which is available on our website.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is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individuals qualified to become members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to our board of directors the persons to be nominated for election as directors and to each of the committees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of directors with respect to our board leadership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of directors with respect to management succession planning;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our board of directors corporate governance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a Code of Ethics applicable to our directors, executive officers and team members that complies with the rules and regulations of the SEC and Nasdaq. The Code of Ethics is available on our website.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 on Liability and Indemnification of Officers and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these provisions, the insurance and the indemnity agreements are necessary to attract and retain talented and experienced officers and directors.</w:t>
      </w:r>
    </w:p>
    <w:p>
      <w:pPr>
        <w:pStyle w:val="TextBody"/>
        <w:bidi w:val="0"/>
        <w:spacing w:before="240" w:after="283"/>
        <w:jc w:val="both"/>
        <w:rPr>
          <w:rFonts w:ascii="Times New Roman" w:hAnsi="Times New Roman"/>
          <w:sz w:val="20"/>
        </w:rPr>
      </w:pPr>
      <w:r>
        <w:rPr>
          <w:rFonts w:ascii="Times New Roman" w:hAnsi="Times New Roman"/>
          <w:color w:val="000000"/>
          <w:sz w:val="20"/>
        </w:rPr>
        <w:t>For further details on the indemnity provisions referred to in our articles of association, see the section entitled “</w:t>
      </w:r>
      <w:r>
        <w:rPr>
          <w:rFonts w:ascii="Times New Roman" w:hAnsi="Times New Roman"/>
          <w:i/>
          <w:color w:val="000000"/>
          <w:sz w:val="20"/>
        </w:rPr>
        <w:t>Description of Ordinary Shares and Articles of Association</w:t>
      </w:r>
      <w:r>
        <w:rPr>
          <w:rFonts w:ascii="Times New Roman" w:hAnsi="Times New Roman"/>
          <w:color w:val="000000"/>
          <w:sz w:val="20"/>
        </w:rPr>
        <w:t>” of this prospectus, and for a summary of the indemnification agreement, see the section entitled “</w:t>
      </w:r>
      <w:r>
        <w:rPr>
          <w:rFonts w:ascii="Times New Roman" w:hAnsi="Times New Roman"/>
          <w:i/>
          <w:color w:val="000000"/>
          <w:sz w:val="20"/>
        </w:rPr>
        <w:t>Indemnification Agreements with Officers and Directors</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Rezolve Executive Officer and Director Compensation</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aggregate cash compensation paid by Rezolve and its subsidiaries to its executive officers and directors for the year ended December 31, 2024 was $2,164,680.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Rezolve Executive Officer and 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cash compensation paid by Rezolve and its subsidiaries to its executive officers and directors for the year ended December 31, 2024 was $2,164,680.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Officer and 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 Agreement with Daniel Wagner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 Agreement with Richard Burchill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Non-executive Director Letters of Appointment (John Wagner, Anthony Sharp, Sir David Wright, Derek Smith, Stephen Perry, and Stephen Herbert)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Terms of non-executive director appointment letters (John Wagner, Anthony Sharp, Sir David Wright, Derek Smith, and Stephen Perry)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Terms of non-executive director appointment letters (Stephen Herbert)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entered into letters of appointment with the above named non-executive director on the same terms as set out above with the exception of the term of appointment and compensation, which will be for a period of one year with no cash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6" w:name="certain_relationships_and_related_party"/>
      <w:bookmarkEnd w:id="16"/>
      <w:r>
        <w:rPr>
          <w:rFonts w:ascii="Times New Roman" w:hAnsi="Times New Roman"/>
          <w:b/>
          <w:caps/>
          <w:color w:val="000000"/>
          <w:sz w:val="20"/>
        </w:rPr>
        <w:t>CERTAIN RELATIONSHIPS AND RELATED PARTY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Investor Rights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Lock-In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Bluedot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4, 2025, the Company entered into the Bluedot Purchase Agreement, by and between the Company and DBLP Sea Cow Limited (a company incorporated in the Seychelles) (“DBLP”), pursuant to which the Company agreed to purchase, and DBLP agreed to sell, the entire issued and to be issued share capital of Bluedot.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20, 2025, Rezolve closed the Bluedot Acquisition. As consideration for the Bluedot Acquisition, Rezolve issued 819,737 ordinary shares of the Company in a private placement to DBLP.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DBLP is a related party and is wholly legally owned by Daniel Wagner and beneficially owned by John Wagner. Both Daniel Wagner and John Wagner are directors of DBLP.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Daniel Wagner</w:t>
      </w:r>
    </w:p>
    <w:p>
      <w:pPr>
        <w:pStyle w:val="TextBody"/>
        <w:bidi w:val="0"/>
        <w:spacing w:before="120" w:after="283"/>
        <w:jc w:val="left"/>
        <w:rPr>
          <w:rFonts w:ascii="Times New Roman" w:hAnsi="Times New Roman"/>
          <w:sz w:val="20"/>
        </w:rPr>
      </w:pPr>
      <w:r>
        <w:rPr>
          <w:rFonts w:ascii="Times New Roman" w:hAnsi="Times New Roman"/>
          <w:color w:val="000000"/>
          <w:sz w:val="20"/>
        </w:rPr>
        <w:t>We have debt outstanding to Daniel Wagner and DBLP Sea Cow Limited (a company incorporated in the Seychelles) (“</w:t>
      </w:r>
      <w:r>
        <w:rPr>
          <w:rFonts w:ascii="Times New Roman" w:hAnsi="Times New Roman"/>
          <w:i/>
          <w:color w:val="000000"/>
          <w:sz w:val="20"/>
        </w:rPr>
        <w:t>DBLP</w:t>
      </w:r>
      <w:r>
        <w:rPr>
          <w:rFonts w:ascii="Times New Roman" w:hAnsi="Times New Roman"/>
          <w:color w:val="000000"/>
          <w:sz w:val="20"/>
        </w:rPr>
        <w:t>”), which is wholly legally owned by Daniel Wagner and beneficially owned by John Wagner, in the amounts of $5,555,122 and $447,067, an aggregate of $6,002,189. The loans provided by DBLP were to provide liquidity to Rezolve. There are no formal loan documents in place and the loan is non-interest bearing and remains callable at any time. We expect the loan to be called and repaid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amounts due to related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2024, we have the $137,019 due to Arthur Yao and $17,433 due to Steve Perry. All of these outstanding amounts will be settled in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 with Officers and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Policies and Procedures for Related Person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person who is, or at any time during the applicable period was, one of Rezolve’s executive officers or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person who is known by Rezolve to be the beneficial owner of more than 5% of Rezolve voting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aps/>
          <w:color w:val="000000"/>
          <w:sz w:val="20"/>
        </w:rPr>
      </w:pPr>
      <w:bookmarkStart w:id="17" w:name="beneficial_ownership_of_securities"/>
      <w:bookmarkEnd w:id="17"/>
      <w:r>
        <w:rPr>
          <w:rFonts w:ascii="Times New Roman" w:hAnsi="Times New Roman"/>
          <w:b/>
          <w:caps/>
          <w:color w:val="000000"/>
          <w:sz w:val="20"/>
        </w:rPr>
        <w:t>BENEFICIAL OWNERSHIP OF SECURITIES</w:t>
      </w:r>
    </w:p>
    <w:p>
      <w:pPr>
        <w:pStyle w:val="TextBody"/>
        <w:bidi w:val="0"/>
        <w:jc w:val="left"/>
        <w:rPr>
          <w:rFonts w:ascii="Times New Roman" w:hAnsi="Times New Roman"/>
          <w:sz w:val="20"/>
        </w:rPr>
      </w:pPr>
      <w:r>
        <w:rPr>
          <w:rFonts w:ascii="Times New Roman" w:hAnsi="Times New Roman"/>
          <w:color w:val="000000"/>
          <w:sz w:val="20"/>
        </w:rPr>
        <w:t>The following table sets forth information relating to the beneficial ownership of our Ordinary Shares as of May 9, 2025</w:t>
      </w:r>
      <w:r>
        <w:rPr>
          <w:rFonts w:ascii="Times New Roman" w:hAnsi="Times New Roman"/>
          <w:color w:val="1F497D"/>
          <w:sz w:val="20"/>
        </w:rPr>
        <w:t xml:space="preserve"> </w:t>
      </w:r>
      <w:r>
        <w:rPr>
          <w:rFonts w:ascii="Times New Roman" w:hAnsi="Times New Roman"/>
          <w:color w:val="000000"/>
          <w:sz w:val="20"/>
        </w:rPr>
        <w:t>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of affiliated persons, known by us to beneficially own more than 5% of outstanding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 and executive officers;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directors and executive officers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percentage of Ordinary Shares beneficially owned is computed on the basis of 243,671,374 Ordinary Shares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pStyle w:val="TextBody"/>
        <w:bidi w:val="0"/>
        <w:jc w:val="left"/>
        <w:rPr/>
      </w:pPr>
      <w:r>
        <w:rPr/>
        <w:t> </w:t>
      </w:r>
    </w:p>
    <w:tbl>
      <w:tblPr>
        <w:tblW w:w="7023" w:type="dxa"/>
        <w:jc w:val="left"/>
        <w:tblInd w:w="0" w:type="dxa"/>
        <w:tblLayout w:type="fixed"/>
        <w:tblCellMar>
          <w:top w:w="28" w:type="dxa"/>
          <w:left w:w="28" w:type="dxa"/>
          <w:bottom w:w="28" w:type="dxa"/>
          <w:right w:w="28" w:type="dxa"/>
        </w:tblCellMar>
      </w:tblPr>
      <w:tblGrid>
        <w:gridCol w:w="3826"/>
        <w:gridCol w:w="146"/>
        <w:gridCol w:w="170"/>
        <w:gridCol w:w="1210"/>
        <w:gridCol w:w="146"/>
        <w:gridCol w:w="346"/>
        <w:gridCol w:w="146"/>
        <w:gridCol w:w="146"/>
        <w:gridCol w:w="571"/>
        <w:gridCol w:w="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Name of Beneficial Owners</w:t>
            </w:r>
            <w:r>
              <w:rPr>
                <w:rFonts w:ascii="Times New Roman" w:hAnsi="Times New Roman"/>
                <w:b/>
                <w:i/>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Directors and Executive Officers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53,429,933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49,554,221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 David Wright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Herbert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Vesco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Burchill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Sauvik Banerjee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directors and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58,893,222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Five Percent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DBLP Sea Cow Limited</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48,731,428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Igor Lychagov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Brooks Newmark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 Wickens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25,864,807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Aperion Investment Group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25,097,545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otherwise indicated, the business address of each of the following owners is 21 Sackville Street, London, W1S 3DN, United Kingdom.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Includes (i) 4,698,505 shares directly held by Daniel Wagner; (ii) 37,052,254 shares directly held by DBLP Sea Cow Limited (“</w:t>
      </w:r>
      <w:r>
        <w:rPr>
          <w:rFonts w:ascii="Times New Roman" w:hAnsi="Times New Roman"/>
          <w:b/>
          <w:i/>
          <w:color w:val="000000"/>
          <w:sz w:val="20"/>
        </w:rPr>
        <w:t>DBLP</w:t>
      </w:r>
      <w:r>
        <w:rPr>
          <w:color w:val="000000"/>
        </w:rPr>
        <w:t>”</w:t>
      </w:r>
      <w:r>
        <w:rPr>
          <w:rFonts w:ascii="Times New Roman" w:hAnsi="Times New Roman"/>
          <w:color w:val="000000"/>
          <w:sz w:val="20"/>
        </w:rPr>
        <w:t>); and (iii) 11,679,174 shares issuable to DBLP upon conversion of certain options granted under Rezolve's Long Term Incentive Plan ("LTIP"). DBLP is wholly legally owned by Mr. Wagner and Mr. Wagner is a director of DBLP and therefore Mr. Wagner may be deemed to share voting and investment power over the shares held by DBLP.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815,989 shares directly held by John Wagner; (ii) 2,835 Ordinary Shares issued upon conversion of the Promissory Note held by Mr. Wagnere; (iii) 3,969 Ordinary Shares underlying the Private Warrants held by Mr. Wagner (iv) 37,052,254 shares directly held by DBLP; and (v) 11,679,174 shares issuable to DBLP upon conversion of certain options granted under the LTIP. DBLP is beneficially owned by Mr. John Wagner and Mr. John Wagner is a director of DBLP and therefore Mr. Wagner may be deemed to share voting and investment power over the shares held by DBLP.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1,879,352 Ordinary Shares; and (ii) 42,441 Ordinary Shares issued upon the conversion of the Advance Subscription made by Mr. Sharp. Excludes 15,850 Ordinary Shares underlying the Private Warrants held by Mr. Sharp.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33,334 Ordinary Shares issued upon the conversion of the Advance Subscription made by Mr. Smith.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1,142,384 Ordinary Shares and (ii) 11,249 Ordinary Shares issued upon the conversion of the Advance Subscription made by Mr. Vesco.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is wholly legally owned by Daniel Wagner and is wholly beneficially owned by John Wagner. Both Daniel Wagner and John Wagner are directors of DBLP.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37,052,254 Ordinary Shares; and (ii) 11,679,174 shares issuable to DBLP upon conversion of certain options granted under the LTIP. Excludes (i) 3,592,193 shares subject to a call option currently exercisable by Brad Wickens.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(i) 34,649,207 Ordinary Shares; and (ii) 1,194,051 Ordinary Shares issued upon conversion of the Convertible Note held by Mr. Lychagov.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7,870,000 Ordinary Shares and (ii) 9,200,000 Ordinary Shares issued upon the conversion of the Advance Subscription made by Mr. Newmark.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 (i) 1,240,865 Ordinary Shares held by Apeiron on Brad Wickens' behalf.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bookmarkStart w:id="18" w:name="selling_holders"/>
      <w:bookmarkEnd w:id="18"/>
      <w:r>
        <w:rPr>
          <w:rFonts w:ascii="Times New Roman" w:hAnsi="Times New Roman"/>
          <w:b/>
          <w:color w:val="000000"/>
          <w:sz w:val="20"/>
        </w:rPr>
        <w:t>SELLING HOLDERS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This prospectus also relates to the resale by certain of the Selling Holders of up to 156,515,540 Ordinary Shares, consisting of (i) 121,156,424 Ordinary Shares; (ii) 544,982 Ordinary Shares issuable in respect of the Private Warrants; (iii) 19,079,139 Ordinary Shares issuable upon conversion of the Convertible Notes; (iv) 15,207,479 Ordinary Shares issuable pursuant to the advanced subscription agreements; and (v) and 527,516 Ordinary Shares issuable upon the conversion of the Promissory Notes.</w:t>
      </w:r>
    </w:p>
    <w:p>
      <w:pPr>
        <w:pStyle w:val="TextBody"/>
        <w:bidi w:val="0"/>
        <w:spacing w:before="0" w:after="200"/>
        <w:jc w:val="left"/>
        <w:rPr>
          <w:rFonts w:ascii="Times New Roman" w:hAnsi="Times New Roman"/>
          <w:sz w:val="20"/>
        </w:rPr>
      </w:pPr>
      <w:r>
        <w:rPr>
          <w:rFonts w:ascii="Times New Roman" w:hAnsi="Times New Roman"/>
          <w:color w:val="000000"/>
          <w:sz w:val="20"/>
        </w:rPr>
        <w:t>Following the expiration of the applicable lock-up restrictions described herein, the sale of all of the securities registered for resale hereunder (and the Ordinary Shares issuable upon exercise of the Private Warrants and the conversion of the Rezolve Convertible Notes, the YA Note and the Promissory Notes),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hAnsi="Times New Roman"/>
          <w:i/>
          <w:color w:val="000000"/>
          <w:sz w:val="20"/>
        </w:rPr>
        <w:t>Risk Factors—Risks Related to the Company</w:t>
      </w:r>
      <w:r>
        <w:rPr>
          <w:rFonts w:ascii="Times New Roman" w:hAnsi="Times New Roman"/>
          <w:color w:val="000000"/>
          <w:sz w:val="20"/>
        </w:rPr>
        <w:t>” for more information.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Armada’s Sponsor purchased an aggregate of 459,500 private shares at a price of $10.00 per share for an aggregate purchase price of $4,595,000.</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percentage ownership prior to this offering on 243,671,374 Ordinary Shares outstanding as of May 9, 2025.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otherwise indicated, the business address of each of the following owners is 21 Sackville Street, London, W1S 3DN.</w:t>
      </w:r>
    </w:p>
    <w:tbl>
      <w:tblPr>
        <w:tblW w:w="10205" w:type="dxa"/>
        <w:jc w:val="left"/>
        <w:tblInd w:w="0" w:type="dxa"/>
        <w:tblLayout w:type="fixed"/>
        <w:tblCellMar>
          <w:top w:w="28" w:type="dxa"/>
          <w:left w:w="28" w:type="dxa"/>
          <w:bottom w:w="28" w:type="dxa"/>
          <w:right w:w="28" w:type="dxa"/>
        </w:tblCellMar>
      </w:tblPr>
      <w:tblGrid>
        <w:gridCol w:w="2300"/>
        <w:gridCol w:w="1907"/>
        <w:gridCol w:w="1876"/>
        <w:gridCol w:w="2360"/>
        <w:gridCol w:w="1762"/>
      </w:tblGrid>
      <w:tr>
        <w:trPr/>
        <w:tc>
          <w:tcPr>
            <w:tcW w:w="2300"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r>
      <w:tr>
        <w:trPr/>
        <w:tc>
          <w:tcPr>
            <w:tcW w:w="230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7905" w:type="dxa"/>
            <w:gridSpan w:val="4"/>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60"/>
              <w:jc w:val="left"/>
              <w:rPr>
                <w:rFonts w:ascii="Times New Roman" w:hAnsi="Times New Roman"/>
                <w:b/>
                <w:i/>
                <w:color w:val="000000"/>
                <w:sz w:val="20"/>
              </w:rPr>
            </w:pPr>
            <w:r>
              <w:rPr>
                <w:rFonts w:ascii="Times New Roman" w:hAnsi="Times New Roman"/>
                <w:b/>
                <w:i/>
                <w:color w:val="000000"/>
                <w:sz w:val="20"/>
              </w:rPr>
              <w:t>Ordinary Shares(1)</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b/>
                <w:i/>
                <w:color w:val="000000"/>
                <w:sz w:val="20"/>
              </w:rPr>
            </w:pPr>
            <w:r>
              <w:rPr>
                <w:rFonts w:ascii="Times New Roman" w:hAnsi="Times New Roman"/>
                <w:b/>
                <w:i/>
                <w:color w:val="000000"/>
                <w:sz w:val="20"/>
              </w:rPr>
              <w:t>Name</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b/>
                <w:i/>
                <w:color w:val="000000"/>
                <w:sz w:val="20"/>
              </w:rPr>
            </w:pPr>
            <w:r>
              <w:rPr>
                <w:rFonts w:ascii="Times New Roman" w:hAnsi="Times New Roman"/>
                <w:b/>
                <w:i/>
                <w:color w:val="000000"/>
                <w:sz w:val="20"/>
              </w:rPr>
              <w:t>Number Beneficially Owned Prior to Offering</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b/>
                <w:i/>
                <w:color w:val="000000"/>
                <w:sz w:val="20"/>
              </w:rPr>
            </w:pPr>
            <w:r>
              <w:rPr>
                <w:rFonts w:ascii="Times New Roman" w:hAnsi="Times New Roman"/>
                <w:b/>
                <w:i/>
                <w:color w:val="000000"/>
                <w:sz w:val="20"/>
              </w:rPr>
              <w:t>Maximum Number Registered for Sale Hereby</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b/>
                <w:i/>
                <w:color w:val="000000"/>
                <w:sz w:val="20"/>
              </w:rPr>
            </w:pPr>
            <w:r>
              <w:rPr>
                <w:rFonts w:ascii="Times New Roman" w:hAnsi="Times New Roman"/>
                <w:b/>
                <w:i/>
                <w:color w:val="000000"/>
                <w:sz w:val="20"/>
              </w:rPr>
              <w:t>Number Beneficially Owned After the Offered Shares are Sold(2)</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b/>
                <w:i/>
                <w:color w:val="000000"/>
                <w:sz w:val="20"/>
              </w:rPr>
            </w:pPr>
            <w:r>
              <w:rPr>
                <w:rFonts w:ascii="Times New Roman" w:hAnsi="Times New Roman"/>
                <w:b/>
                <w:i/>
                <w:color w:val="000000"/>
                <w:sz w:val="20"/>
              </w:rPr>
              <w:t>Percent Owned After the Offered Shares are Sold</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Daniel Wagner(3)</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4,698,504(15)</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4,698,504</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John Wagner(4)</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822,793(5) (15)</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822,793</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Anthony Sharp(6)</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1,948,964(7)</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1,948,964</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Sir David Wright(8)</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495,343</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495,343</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Stephen Perry(9)</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791,556 (10)</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715,723</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75,833</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Douglas Lurio(11)</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357,647</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357,647</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Stephen Herbert(12)</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298,436</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298,436</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Peter Vesco(13)</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1,153,633(14)</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1,153,633</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DBLP Sea Cow Limited(15)</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48,731,428(16)</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37,052,254</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11,679,174</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4.79</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Igor Lychagov(17)</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35,843,258(18)</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35,792,064</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51,194</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Apeiron Investment Group Limited (19)</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25,097,545(20)</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25,097,545</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ACM Alameda Special Purpose Investment Fund II LP(21)</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45,634</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45,634</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ACM Alamosa (Cayman) Holdco LP(22)</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51,889</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51,889</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ACM ASOF VII (Cayman) Holdco LP(23)</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48,967</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48,967</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Adam Krupczynski(24) </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107,823(25)</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67,113</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40,710</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Adam Wagner</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940,000(26)</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10,714</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929,286</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Antara Capital Total Return SPAC(27)</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265,483</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131,250</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134,233</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Aperitus Limited</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1,665,310(28)</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33,333</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1,631,977</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AQR Absolute Return Master Account, L.P. (29)</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4,125(30)</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4,125 </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AQR Diversified Arbitrage Fund, a series of AQR Funds(31)</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19,875(32)</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19,875</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AQR Global Alternative Investment Offshore Fund, L.P(33)</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18,857(34)</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18,857</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Arthur Yao(35)</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1,311,816(36)</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82,094</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1,229,722</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23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ASJC Global LLC - Series 14 (37)</w:t>
            </w:r>
          </w:p>
        </w:tc>
        <w:tc>
          <w:tcPr>
            <w:tcW w:w="19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1,036,863</w:t>
            </w:r>
          </w:p>
        </w:tc>
        <w:tc>
          <w:tcPr>
            <w:tcW w:w="1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1,036,863</w:t>
            </w:r>
          </w:p>
        </w:tc>
        <w:tc>
          <w:tcPr>
            <w:tcW w:w="23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7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8" w:space="1" w:color="A0A0A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855" w:type="dxa"/>
        <w:jc w:val="left"/>
        <w:tblInd w:w="0" w:type="dxa"/>
        <w:tblLayout w:type="fixed"/>
        <w:tblCellMar>
          <w:top w:w="28" w:type="dxa"/>
          <w:left w:w="28" w:type="dxa"/>
          <w:bottom w:w="28" w:type="dxa"/>
          <w:right w:w="28" w:type="dxa"/>
        </w:tblCellMar>
      </w:tblPr>
      <w:tblGrid>
        <w:gridCol w:w="4531"/>
        <w:gridCol w:w="1411"/>
        <w:gridCol w:w="1366"/>
        <w:gridCol w:w="1036"/>
        <w:gridCol w:w="511"/>
      </w:tblGrid>
      <w:tr>
        <w:trPr/>
        <w:tc>
          <w:tcPr>
            <w:tcW w:w="453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53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Atalaya Special Purpose Investment Fund II LP(38)</w:t>
            </w:r>
          </w:p>
        </w:tc>
        <w:tc>
          <w:tcPr>
            <w:tcW w:w="141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35,177</w:t>
            </w:r>
          </w:p>
        </w:tc>
        <w:tc>
          <w:tcPr>
            <w:tcW w:w="136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35,177</w:t>
            </w:r>
          </w:p>
        </w:tc>
        <w:tc>
          <w:tcPr>
            <w:tcW w:w="103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Berenberg Capital Markets LLC</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50,000(39)</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50,000</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Boston Patriot Merrimack ST. LLC(40)</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29,495</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29,495</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Bradley Wickens</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25,864,807(41)</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12,544,460</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13,320,347</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5.47</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Brooks Newmark</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17,070,000 (42)</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17,070,000</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Cecil Levy</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30,553(43)</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10,000</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20,553</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Celso L. White(44)</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125,000</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125,000</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Cohen &amp; Company Financial Management LLC(45)</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0</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12,579,532(46)</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 xml:space="preserve">Cohen Sponsor LLC - A14 RS(47) </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494,203</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494,203</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Context Partners Master Fund LP(48)</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131,250</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131,250</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Corbin ERISA Opportunity Fund, Ltd. (49)</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24,583</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24,583</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Julius Meller Management Services LTD</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27,812(50)</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12,857</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14,955</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David Weinberger</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201,300(51)</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201,000</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300</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Derek Smith</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33,334(52)</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33,334</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color w:val="000000"/>
              </w:rPr>
            </w:pPr>
            <w:r>
              <w:rPr>
                <w:color w:val="000000"/>
              </w:rPr>
              <w:t> </w:t>
            </w: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color w:val="000000"/>
              </w:rPr>
            </w:pPr>
            <w:r>
              <w:rPr>
                <w:color w:val="000000"/>
              </w:rPr>
              <w:t> </w:t>
            </w: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Dionysios Kolyris(53)</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65,209(54)</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11,951</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DXG Deutsche Digital GmbH</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7,333(55)</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7,333</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 xml:space="preserve">EF Hutton LLC(56) </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50,000(57)</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50,000</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 xml:space="preserve">Ercan Kilic(58) </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18,175(59)</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18,175</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Fir Tree Capital Opportunity Master Fund LP(60)</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9,122</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9,122</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Fir Tree Capital Opportunity Master Fund III, LP(61)</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15,414</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15,414</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Fir Tree Value Master Fund, LP(62)</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14,048</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14,048</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FT SOF XIII (SPAC) Holdings, LLC(63)</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6,921</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6,921</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 xml:space="preserve">Fujian Limatong XinXi Keji Youxian Gongsi </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 xml:space="preserve">325,411 (64) </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225,714</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color w:val="000000"/>
              </w:rPr>
            </w:pPr>
            <w:r>
              <w:rPr>
                <w:color w:val="000000"/>
              </w:rPr>
              <w:t> </w:t>
            </w:r>
            <w:r>
              <w:rPr>
                <w:rFonts w:ascii="Times New Roman" w:hAnsi="Times New Roman"/>
                <w:color w:val="000000"/>
                <w:sz w:val="20"/>
              </w:rPr>
              <w:t>99,697</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color w:val="000000"/>
              </w:rPr>
            </w:pPr>
            <w:r>
              <w:rPr>
                <w:color w:val="000000"/>
              </w:rPr>
              <w:t> </w:t>
            </w: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George Bellow</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8,000(65)</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8,000</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 xml:space="preserve">-- </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Highbridge Tactical Credit Master Fund, L.P. (66)</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59,775</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59,775</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Highbridge Tactical Credit Institutional Fund Ltd.(67)</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15,225</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15,225</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w:t>
            </w:r>
          </w:p>
        </w:tc>
      </w:tr>
      <w:tr>
        <w:trPr/>
        <w:tc>
          <w:tcPr>
            <w:tcW w:w="45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Jamie Beadle</w:t>
            </w:r>
          </w:p>
        </w:tc>
        <w:tc>
          <w:tcPr>
            <w:tcW w:w="14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10,286(68)</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10,286</w:t>
            </w:r>
          </w:p>
        </w:tc>
        <w:tc>
          <w:tcPr>
            <w:tcW w:w="10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color w:val="000000"/>
              </w:rPr>
            </w:pPr>
            <w:r>
              <w:rPr>
                <w:color w:val="000000"/>
              </w:rPr>
              <w:t> </w:t>
            </w:r>
            <w:r>
              <w:rPr>
                <w:rFonts w:ascii="Times New Roman" w:hAnsi="Times New Roman"/>
                <w:color w:val="000000"/>
                <w:sz w:val="20"/>
              </w:rPr>
              <w:t>--</w:t>
            </w:r>
          </w:p>
        </w:tc>
        <w:tc>
          <w:tcPr>
            <w:tcW w:w="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40"/>
              <w:jc w:val="left"/>
              <w:rPr>
                <w:color w:val="000000"/>
              </w:rPr>
            </w:pPr>
            <w:r>
              <w:rPr>
                <w:color w:val="000000"/>
              </w:rPr>
              <w:t> </w:t>
            </w: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685" w:type="dxa"/>
        <w:jc w:val="left"/>
        <w:tblInd w:w="0" w:type="dxa"/>
        <w:tblLayout w:type="fixed"/>
        <w:tblCellMar>
          <w:top w:w="28" w:type="dxa"/>
          <w:left w:w="28" w:type="dxa"/>
          <w:bottom w:w="28" w:type="dxa"/>
          <w:right w:w="28" w:type="dxa"/>
        </w:tblCellMar>
      </w:tblPr>
      <w:tblGrid>
        <w:gridCol w:w="4246"/>
        <w:gridCol w:w="1156"/>
        <w:gridCol w:w="1306"/>
        <w:gridCol w:w="676"/>
        <w:gridCol w:w="301"/>
      </w:tblGrid>
      <w:tr>
        <w:trPr/>
        <w:tc>
          <w:tcPr>
            <w:tcW w:w="42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J.V.B. Financial Group, LLC</w:t>
            </w:r>
          </w:p>
        </w:tc>
        <w:tc>
          <w:tcPr>
            <w:tcW w:w="11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30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1,110,723 (69)</w:t>
            </w:r>
          </w:p>
        </w:tc>
        <w:tc>
          <w:tcPr>
            <w:tcW w:w="67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Justin King</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42,509 (70)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16,329</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26,180</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Julien Nurse</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59,102(71)</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43,275</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15,827</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Kantor Investment Company LLC</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79,785(72)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10,000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69,785</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Karen Kalaris</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111,632 (73)</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21,429</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24,924</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Kepos Alpha Master Fund L.P. (74)</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155,000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155,000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Kepos Special Opportunities Master Fund L.P. (75)</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51,250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51,250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Northland Securities Inc.</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Magnetar Capital Master Fund Ltd.(76)</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2,277</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2,277</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Magnetar Constellation Fund II, Ltd. (76) </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14,140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14,140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Magnetar Constellation Master Fund, Ltd. (76) </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44,075</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44,075</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Magnetar Discovery Master Fund Ltd. (76) </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1,587</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1,587</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Magnetar Lake Credit Fund LLC(76) </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13,503</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13,503</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Magnetar SC Fund Ltd. (76) </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11,592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11,592</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Magnetar Structured Credit Fund, LP(76) </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16,052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16,052</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Magnetar Xing He Master Fund Ltd.(76) </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17,323</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17,323</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Mark Israel</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71,785(77)</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40,000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31,785</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Maxim Group LLC</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50,000(78)</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50,000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Meteora Capital Partners, L.P. (79)</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131,250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131,250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Mohammad Anwar Khan(80)</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125,000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125,000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Patel Family Investment LLC</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206,398(81)</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166,667</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39,731</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 xml:space="preserve">* </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Purpose Alternative Credit Fund Ltd(76)</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7,898</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7,898</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Purpose Alternative Credit Fund T LLC(76)</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2,803</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2,803</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Quality Kiosk</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35,402(82)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35,402</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Radcliffe SPAC Master Fund, L.P. (83)</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175,566</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175,566</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r>
        <w:trPr/>
        <w:tc>
          <w:tcPr>
            <w:tcW w:w="42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JingQian Hou (84)</w:t>
            </w:r>
          </w:p>
        </w:tc>
        <w:tc>
          <w:tcPr>
            <w:tcW w:w="11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2,321(85)</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2,321</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740" w:type="dxa"/>
        <w:jc w:val="left"/>
        <w:tblInd w:w="0" w:type="dxa"/>
        <w:tblLayout w:type="fixed"/>
        <w:tblCellMar>
          <w:top w:w="28" w:type="dxa"/>
          <w:left w:w="28" w:type="dxa"/>
          <w:bottom w:w="28" w:type="dxa"/>
          <w:right w:w="28" w:type="dxa"/>
        </w:tblCellMar>
      </w:tblPr>
      <w:tblGrid>
        <w:gridCol w:w="3691"/>
        <w:gridCol w:w="1216"/>
        <w:gridCol w:w="781"/>
        <w:gridCol w:w="781"/>
        <w:gridCol w:w="271"/>
      </w:tblGrid>
      <w:tr>
        <w:trPr/>
        <w:tc>
          <w:tcPr>
            <w:tcW w:w="369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 xml:space="preserve">Roth Capital Partners, LLC </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10,000(86)</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10,000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Rong Lin</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25,603(87)</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9,283</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16,320</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Sam Lewis</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137,832(88)</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20,000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117,832</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Sandia Investment Management LP(89)</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53,503</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53,503</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Sharat Williams</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3,372(90)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3,372</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Susan Briggs</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128,530 (91)</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35,155</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93,375</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Techouts Solutions India Pvt ltd</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17,078(92)</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17,078</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color w:val="000000"/>
              </w:rPr>
            </w:pPr>
            <w:r>
              <w:rPr>
                <w:color w:val="000000"/>
              </w:rPr>
              <w:t> </w:t>
            </w: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Thomas Decker(93)</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125,000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125,000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Trustees of Risol Limited Pension</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486,987(94)</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21,429</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465,558</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UBIRY GmbH</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21,429(95)</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21,429</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Walleye Investments Fund LLC (96)</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7,166</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7,166</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Walleye Opportunities Master Fund Ltd(96)</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14,331 (97)</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14,331</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Vellar Opportunities Fund Master, Ltd.(98)</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33,000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33,000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Yi-Han Pao(99)</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1,000(100)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1,000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Zedfesto Holding Ltd.</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100,000(101)</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100,000</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Zheng Jie</w:t>
            </w:r>
          </w:p>
        </w:tc>
        <w:tc>
          <w:tcPr>
            <w:tcW w:w="12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1,857(102)</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1,857</w:t>
            </w:r>
          </w:p>
        </w:tc>
        <w:tc>
          <w:tcPr>
            <w:tcW w:w="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Less than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(1)Includes Ordinary Shares underlying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(2)Assumes the sale of all Ordinary Shares being offered pursuant to this prospectus.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(3)Mr. Daniel Wagner is the CEO and a director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(4)Mr. John Wagner is a director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(5)Consists of (i) 815,989 Ordinary Shares; (ii) 2,835 Ordinary Shares issued upon conversion of the Promissory Note held by Mr. Wagner; and (iii) 3,969 Ordinary Shares underlying the Private Warrants held by Mr. Wagner.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(6)Mr. Sharp is a director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(7)Consists of (i) 1,879,352 Ordinary Shares; (ii) 11,321 Ordinary Shares issued upon conversion of the Promissory Note held by Mr. Sharp; (iii) 42,441 Ordinary Shares issued upon the conversion of the Advance Subscription made by Mr. Sharp; and (iv) 15,850 Ordinary Shares underlying the Private Warrants held by Mr. Sharp.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(8)Sir David Wright is a director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(9)Mr. Perry is a director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 Consists of (i) 564,935 Ordinary Shares; (ii) 34,395 Ordinary Shares issued upon conversion of the Promissory Note held by Mr. Perry; (iii) 110,000 Ordinary Shares issued upon the conversion of the Advance Subscription made by Mr. Perry; (iv) 12,700 Ordinary Shares underlying the Private Warrants held by Mr. Perry; and (v) 69,526 Ordinary Shares issued upon conversion of the Convertible Note held by Mr. Perry. For the avoidance of doubt, (A)(i) the 564,935 Ordinary Shares, (ii) 9,071 of the 34,395 Ordinary Shares underlying the Promissory Note held by Mr. Perry, (iii) the 110,000 Ordinary Shares issued upon the conversion of the Advance Subscription made by Mr. Perry, (iv) the 12,700 Ordinary Shares underlying the Private Warrants held by Mr. Perry, and (v) 19,017 of the 69,526 Ordinary Shares issued upon conversion of the Convertible Note held by Mr. Perry are registered for resale hereby, and (B)(i) 25,324 of the 34,395 Ordinary Shares underlying the Promissory Note held by Mr. Perry and 50,509 of the 69,526 Ordinary Shares issued upon conversion of the Convertible Note held by Mr. Perry were registered on the Registration Statement on Form F-1, originally filed on January 13, 2025, and declared effective on January 31, 2025 (the “January Form F-1”)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(11)Mr. Lurio served as President and a director of Armada, which became a wholly owned subsidiary of the Company in connection with the Business Combination, since Armada’s inception in November 2020. Mr. Lurio became a director of Rezolve following the Business Combination and served in such capacity until his resignation on August 20, 2024. Mr. Lurio’s business address is 1007 Canterbury Lane, Villanova, PA 19805.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(12)Mr. Herbert is a director of Rezolve. Mr. Herbert served as Chief Executive Officer and Chairman of Armada, which became a wholly owned subsidiary of the Company in connection with the Business Combination, since Armada’s inception in November 2020. Mr. Herbert’s business address is PO Box 2339, Breckenridge, CO 80424.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(13)Mr. Vesco is the Chief Commercial Officer and General Manager (EMEA) of Rezolve.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(14)Consists of (i) 1,142,384 Ordinary Shares and (ii) 11,249 Ordinary Shares issued upon conversion of the Advance Subscription made by Mr. Vesco.</w:t>
      </w:r>
    </w:p>
    <w:p>
      <w:pPr>
        <w:pStyle w:val="TextBody"/>
        <w:bidi w:val="0"/>
        <w:spacing w:before="0" w:after="200"/>
        <w:jc w:val="left"/>
        <w:rPr>
          <w:rFonts w:ascii="Times New Roman" w:hAnsi="Times New Roman"/>
          <w:sz w:val="20"/>
        </w:rPr>
      </w:pPr>
      <w:r>
        <w:rPr>
          <w:rFonts w:ascii="Times New Roman" w:hAnsi="Times New Roman"/>
          <w:color w:val="000000"/>
          <w:sz w:val="20"/>
        </w:rPr>
        <w:t>(15)DBLP Sea Cow Limited ("</w:t>
      </w:r>
      <w:r>
        <w:rPr>
          <w:rFonts w:ascii="Times New Roman" w:hAnsi="Times New Roman"/>
          <w:b/>
          <w:i/>
          <w:color w:val="000000"/>
          <w:sz w:val="20"/>
        </w:rPr>
        <w:t>DBLP</w:t>
      </w:r>
      <w:r>
        <w:rPr>
          <w:rFonts w:ascii="Times New Roman" w:hAnsi="Times New Roman"/>
          <w:color w:val="000000"/>
          <w:sz w:val="20"/>
        </w:rPr>
        <w:t>") is wholly legally owned by Daniel Wagner and is wholly beneficially owned by John Wagner. Messrs. Daniel and John Wagner are each directors of DBLP and may be deemed to share voting and investment power over the shares held by DBLP. Messrs. Daniel and John Wagner are each directors of Rezolve.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(16)Consists of (i) 32,473,683 Ordinary Shares; and (ii) 11,679,174 shares issuable to DBLP upon conversion of certain options granted under the LTIPs; (ii) 178,571 Ordinary Shares issued upon conversion of the Promissory Note held by DBLP; (iii) 4,150,000 Ordinary Shares issued upon the conversion of the Advance Subscription made by DBLP; and (iv) 250,000 Ordinary Shares underlying the Private Warrants held by DBLP. For the avoidance of doubt, (i) 32,473,683 Ordinary Shares, (ii) 178,571 Ordinary Shares issued upon conversion of the Promissory Note held by DBLP; (iii) 4,150,000 Ordinary Shares issued upon the conversion of the Advanced Subscription made by DBLP and (iii) the 250,000 Ordinary Shares underlying the Private Warrants held by DBLP are registered for resale hereby.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(17)Mr. Lychagov has sole voting and investment power over these securities. 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(18)Consists of (i) 34,649,207 Ordinary Shares and (ii) 1,194,051 Ordinary Shares of the issued upon conversion of the Convertible Note held by Mr. Lychagov. For the avoidance of doubt, A(i) the 34,649,207 Ordinary Shares; and (ii) 1,142,857 of the 1,194,051 Ordinary Shares issued upon conversion of the Convertible Note held by Mr.Lychagov are registered for resale hereby, and (B) 51,594 of the 1,194,051 Ordinary Shares issued upon conversion of such Convertible Note were registered on the January Form F-1.</w:t>
      </w:r>
    </w:p>
    <w:p>
      <w:pPr>
        <w:pStyle w:val="TextBody"/>
        <w:bidi w:val="0"/>
        <w:spacing w:before="0" w:after="200"/>
        <w:jc w:val="left"/>
        <w:rPr>
          <w:rFonts w:ascii="Times New Roman" w:hAnsi="Times New Roman"/>
          <w:sz w:val="20"/>
        </w:rPr>
      </w:pPr>
      <w:r>
        <w:rPr>
          <w:rFonts w:ascii="Times New Roman" w:hAnsi="Times New Roman"/>
          <w:color w:val="000000"/>
          <w:sz w:val="20"/>
        </w:rPr>
        <w:t>(19)Christian Angermayer is the majority shareholder of Apeiron Investment Group Limited (“</w:t>
      </w:r>
      <w:r>
        <w:rPr>
          <w:rFonts w:ascii="Times New Roman" w:hAnsi="Times New Roman"/>
          <w:b/>
          <w:i/>
          <w:color w:val="000000"/>
          <w:sz w:val="20"/>
        </w:rPr>
        <w:t>Apeiron</w:t>
      </w:r>
      <w:r>
        <w:rPr>
          <w:rFonts w:ascii="Times New Roman" w:hAnsi="Times New Roman"/>
          <w:color w:val="000000"/>
          <w:sz w:val="20"/>
        </w:rPr>
        <w:t>”) and may be deemed to share beneficial ownership of the securities beneficially owned by Apeiron. The principal business address of Apeiron and Mr. Angermayer is 66 &amp; 67, Beatrice, Amery Street, Sliema SLM1707, Malta.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(20)In its Schedule 13G filing on September 24, 2024, Apeiron reported beneficial ownership of 18,281,638 Ordinary Shares representing 10.4% of the class of Ordinary Shares, comprised of (i) 14,712,645 Ordinary Shares held beneficially and of record by Apeiron, (ii) 62,500 Ordinary Shares underlying currently exercisable warrants which Apeiron may be deemed to beneficially own, (iii) 3,173,160 Ordinary Shares that Apeiron has the right to acquire upon conversion of various convertible debt instruments which Apeiron may be deemed to beneficially own and (iv) 333,333 Ordinary Shares that Apeiron has the right to acquire pursuant to a contractual obligation with the Issuer which Apeiron may be deemed to beneficially own. The number of Ordinary Shares registered for resale by Apeiron pursuant to this Registration Statement has been calculated based on the aggregate of: (i) 10,712,645 Ordinary Shares, (ii) 182,886 Ordinary Shares with respect to Ordinary Shares issuable upon potential conversion of the Promissory Note held by Apeiron, (iii) 333,333 Ordinary Shares with respect to the potential conversion of the Advance Subscription made by Apeiron, (iv) 62,500 Ordinary Shares underlying the Private Warrants held by Apeiron; and (v) 13,806,181 Ordinary Shares with respect to Ordinary Shares issued upon conversion of the Convertible Note held by Apeiron. Excludes 1,240,865 Ordinary Shares held by Apeiron on Brad Wickens' behalf.</w:t>
      </w:r>
    </w:p>
    <w:p>
      <w:pPr>
        <w:pStyle w:val="TextBody"/>
        <w:bidi w:val="0"/>
        <w:spacing w:before="0" w:after="200"/>
        <w:jc w:val="left"/>
        <w:rPr>
          <w:rFonts w:ascii="Times New Roman" w:hAnsi="Times New Roman"/>
          <w:sz w:val="20"/>
        </w:rPr>
      </w:pPr>
      <w:r>
        <w:rPr>
          <w:rFonts w:ascii="Times New Roman" w:hAnsi="Times New Roman"/>
          <w:color w:val="000000"/>
          <w:sz w:val="20"/>
        </w:rPr>
        <w:t>(21)The principal business address of ACM Almeda Special Purpose Investment Fund II LP is One Rockefeller Center, 32</w:t>
      </w:r>
      <w:r>
        <w:rPr>
          <w:rFonts w:ascii="Times New Roman" w:hAnsi="Times New Roman"/>
          <w:color w:val="000000"/>
          <w:sz w:val="13"/>
        </w:rPr>
        <w:t>nd</w:t>
      </w:r>
      <w:r>
        <w:rPr>
          <w:rFonts w:ascii="Times New Roman" w:hAnsi="Times New Roman"/>
          <w:color w:val="000000"/>
          <w:sz w:val="20"/>
        </w:rPr>
        <w:t xml:space="preserve"> Floor, New York, NY 10020. </w:t>
      </w:r>
    </w:p>
    <w:p>
      <w:pPr>
        <w:pStyle w:val="TextBody"/>
        <w:bidi w:val="0"/>
        <w:spacing w:before="0" w:after="200"/>
        <w:jc w:val="left"/>
        <w:rPr>
          <w:rFonts w:ascii="Times New Roman" w:hAnsi="Times New Roman"/>
          <w:sz w:val="20"/>
        </w:rPr>
      </w:pPr>
      <w:r>
        <w:rPr>
          <w:rFonts w:ascii="Times New Roman" w:hAnsi="Times New Roman"/>
          <w:color w:val="000000"/>
          <w:sz w:val="20"/>
        </w:rPr>
        <w:t>(22)Mr. Ivan Zinn may be deemed to share beneficial ownership of the securities beneficially owned by ACM Alamosa (Cayman) Holdco LP (“</w:t>
      </w:r>
      <w:r>
        <w:rPr>
          <w:rFonts w:ascii="Times New Roman" w:hAnsi="Times New Roman"/>
          <w:b/>
          <w:i/>
          <w:color w:val="000000"/>
          <w:sz w:val="20"/>
        </w:rPr>
        <w:t>ACM Alamosa</w:t>
      </w:r>
      <w:r>
        <w:rPr>
          <w:rFonts w:ascii="Times New Roman" w:hAnsi="Times New Roman"/>
          <w:color w:val="000000"/>
          <w:sz w:val="20"/>
        </w:rPr>
        <w:t>”). The principal business address of ACM Alamosa is One Rockefeller Center, 32</w:t>
      </w:r>
      <w:r>
        <w:rPr>
          <w:rFonts w:ascii="Times New Roman" w:hAnsi="Times New Roman"/>
          <w:color w:val="000000"/>
          <w:sz w:val="13"/>
        </w:rPr>
        <w:t>nd</w:t>
      </w:r>
      <w:r>
        <w:rPr>
          <w:rFonts w:ascii="Times New Roman" w:hAnsi="Times New Roman"/>
          <w:color w:val="000000"/>
          <w:sz w:val="20"/>
        </w:rPr>
        <w:t>Floor, New York, NY 10020.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(23)Mr. Ivan Zinn may be deemed to share beneficial ownership of the securities beneficially owned by ACM ASOF VII (Cayman) Holdco LP (“</w:t>
      </w:r>
      <w:r>
        <w:rPr>
          <w:rFonts w:ascii="Times New Roman" w:hAnsi="Times New Roman"/>
          <w:b/>
          <w:i/>
          <w:color w:val="000000"/>
          <w:sz w:val="20"/>
        </w:rPr>
        <w:t>ACM ASOF</w:t>
      </w:r>
      <w:r>
        <w:rPr>
          <w:rFonts w:ascii="Times New Roman" w:hAnsi="Times New Roman"/>
          <w:color w:val="000000"/>
          <w:sz w:val="20"/>
        </w:rPr>
        <w:t>”). The principal business address of ACM ASOF is One Rockefeller Center, 32</w:t>
      </w:r>
      <w:r>
        <w:rPr>
          <w:rFonts w:ascii="Times New Roman" w:hAnsi="Times New Roman"/>
          <w:color w:val="000000"/>
          <w:sz w:val="13"/>
        </w:rPr>
        <w:t>nd</w:t>
      </w:r>
      <w:r>
        <w:rPr>
          <w:rFonts w:ascii="Times New Roman" w:hAnsi="Times New Roman"/>
          <w:color w:val="000000"/>
          <w:sz w:val="20"/>
        </w:rPr>
        <w:t xml:space="preserve"> Floor, New York, NY 10020.</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(24)Mr. Krupczynski is a long-term employee of Rezolve and currently holds an active employment contract with the Company. The principal business address for Mr. Krupczynski is Przy Agorze 26/191, 01-930 Warsaw, Poland.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(25)Consists of (i) 24,480 Ordinary Shares; (ii) 67,113 Ordinary Shares issued upon the conversion of the Advance Subscription made by Mr. Krupczynski; and (iii) 16,230 Rezolve Options pursuant to an option grant agreement between Mr. Krupczynski and the Company.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(26)Consists of (i) 929,286 Ordinary Shares, (ii) 4,464 Ordinary Shares issued upon conversion of the Promissory Note held by Mr. Adam Wagner, and (iii) 6,250 Ordinary Shares underlying the Private Warrants held by Mr. Adam Wagner.</w:t>
      </w:r>
    </w:p>
    <w:p>
      <w:pPr>
        <w:pStyle w:val="TextBody"/>
        <w:bidi w:val="0"/>
        <w:spacing w:before="0" w:after="200"/>
        <w:jc w:val="left"/>
        <w:rPr>
          <w:rFonts w:ascii="Times New Roman" w:hAnsi="Times New Roman"/>
          <w:sz w:val="20"/>
        </w:rPr>
      </w:pPr>
      <w:r>
        <w:rPr>
          <w:rFonts w:ascii="Times New Roman" w:hAnsi="Times New Roman"/>
          <w:color w:val="000000"/>
          <w:sz w:val="20"/>
        </w:rPr>
        <w:t>(27)Mr. Himanshu Gulati is the Managing Member of the general partner of Antara Capital Total Return SPAC Master Fund L.P. ("</w:t>
      </w:r>
      <w:r>
        <w:rPr>
          <w:rFonts w:ascii="Times New Roman" w:hAnsi="Times New Roman"/>
          <w:b/>
          <w:i/>
          <w:color w:val="000000"/>
          <w:sz w:val="20"/>
        </w:rPr>
        <w:t>Antara Capital Total Return</w:t>
      </w:r>
      <w:r>
        <w:rPr>
          <w:rFonts w:ascii="Times New Roman" w:hAnsi="Times New Roman"/>
          <w:color w:val="000000"/>
          <w:sz w:val="20"/>
        </w:rPr>
        <w:t>") and may be deemed to beneficially own the securities owned by Antara Capital Total Return. The principal business address of Antara Capital Total Return is 2005 Market Street, Suite 3120, Philadelphia, PA 19103.</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(28)Consists of (i) 1,631,977 Ordinary Shares and (ii) 33,333 Ordinary Shares issued upon the conversion of the Advance Subscription made by Aperitus Limited.</w:t>
      </w:r>
    </w:p>
    <w:p>
      <w:pPr>
        <w:pStyle w:val="TextBody"/>
        <w:bidi w:val="0"/>
        <w:spacing w:before="0" w:after="200"/>
        <w:jc w:val="left"/>
        <w:rPr>
          <w:rFonts w:ascii="Times New Roman" w:hAnsi="Times New Roman"/>
          <w:sz w:val="20"/>
        </w:rPr>
      </w:pPr>
      <w:r>
        <w:rPr>
          <w:rFonts w:ascii="Times New Roman" w:hAnsi="Times New Roman"/>
          <w:color w:val="000000"/>
          <w:sz w:val="20"/>
        </w:rPr>
        <w:t>(29)AQR Absolute Return Master Account, L.P. (“</w:t>
      </w:r>
      <w:r>
        <w:rPr>
          <w:rFonts w:ascii="Times New Roman" w:hAnsi="Times New Roman"/>
          <w:b/>
          <w:i/>
          <w:color w:val="000000"/>
          <w:sz w:val="20"/>
        </w:rPr>
        <w:t>AQR Absolute Return</w:t>
      </w:r>
      <w:r>
        <w:rPr>
          <w:rFonts w:ascii="Times New Roman" w:hAnsi="Times New Roman"/>
          <w:color w:val="000000"/>
          <w:sz w:val="20"/>
        </w:rPr>
        <w:t>”) is a Cayman Islands exempted limited partnership. AQR Principal Global Asset Allocation LLC, a Delaware limited liability company, is its general partner. AQR Capital Management, LLC (“</w:t>
      </w:r>
      <w:r>
        <w:rPr>
          <w:rFonts w:ascii="Times New Roman" w:hAnsi="Times New Roman"/>
          <w:b/>
          <w:i/>
          <w:color w:val="000000"/>
          <w:sz w:val="20"/>
        </w:rPr>
        <w:t>AQR Capital Management</w:t>
      </w:r>
      <w:r>
        <w:rPr>
          <w:rFonts w:ascii="Times New Roman" w:hAnsi="Times New Roman"/>
          <w:color w:val="000000"/>
          <w:sz w:val="20"/>
        </w:rPr>
        <w:t>”) and AQR Arbitrage, LLC (“</w:t>
      </w:r>
      <w:r>
        <w:rPr>
          <w:rFonts w:ascii="Times New Roman" w:hAnsi="Times New Roman"/>
          <w:b/>
          <w:i/>
          <w:color w:val="000000"/>
          <w:sz w:val="20"/>
        </w:rPr>
        <w:t>AQR Arbitrage</w:t>
      </w:r>
      <w:r>
        <w:rPr>
          <w:rFonts w:ascii="Times New Roman" w:hAnsi="Times New Roman"/>
          <w:color w:val="000000"/>
          <w:sz w:val="20"/>
        </w:rPr>
        <w:t>”), each a Delaware limited liability company, act as investment adviser to AQR Absolute Return. AQR Arbitrage is deemed to be controlled by AQR Capital Management. AQR Capital Management is a wholly-owned subsidiary of AQR Capital Management Holdings, LLC, a Delaware limited liability company (“</w:t>
      </w:r>
      <w:r>
        <w:rPr>
          <w:rFonts w:ascii="Times New Roman" w:hAnsi="Times New Roman"/>
          <w:b/>
          <w:i/>
          <w:color w:val="000000"/>
          <w:sz w:val="20"/>
        </w:rPr>
        <w:t>AQR Capital Management Holdings</w:t>
      </w:r>
      <w:r>
        <w:rPr>
          <w:rFonts w:ascii="Times New Roman" w:hAnsi="Times New Roman"/>
          <w:color w:val="000000"/>
          <w:sz w:val="20"/>
        </w:rPr>
        <w:t>”). Each of the parties in this footnote disclaims any beneficial ownership of the reported shares other than to the extent of any pecuniary interest the party may have therein. AQR Absolute Return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Absolute Return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Absolute Return is One Greenwich Plaza, Suite 130, Greenwich, CT 06830.</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(30)Consists of 4,125 Ordinary Shares directly held.</w:t>
      </w:r>
    </w:p>
    <w:p>
      <w:pPr>
        <w:pStyle w:val="TextBody"/>
        <w:bidi w:val="0"/>
        <w:spacing w:before="0" w:after="200"/>
        <w:jc w:val="left"/>
        <w:rPr>
          <w:rFonts w:ascii="Times New Roman" w:hAnsi="Times New Roman"/>
          <w:sz w:val="20"/>
        </w:rPr>
      </w:pPr>
      <w:r>
        <w:rPr>
          <w:rFonts w:ascii="Times New Roman" w:hAnsi="Times New Roman"/>
          <w:color w:val="000000"/>
          <w:sz w:val="20"/>
        </w:rPr>
        <w:t>(31)AQR Diversified Arbitrage Fund (“</w:t>
      </w:r>
      <w:r>
        <w:rPr>
          <w:rFonts w:ascii="Times New Roman" w:hAnsi="Times New Roman"/>
          <w:b/>
          <w:i/>
          <w:color w:val="000000"/>
          <w:sz w:val="20"/>
        </w:rPr>
        <w:t>AQR Diversified Arbitrage</w:t>
      </w:r>
      <w:r>
        <w:rPr>
          <w:rFonts w:ascii="Times New Roman" w:hAnsi="Times New Roman"/>
          <w:color w:val="000000"/>
          <w:sz w:val="20"/>
        </w:rPr>
        <w:t xml:space="preserve">”) is a series of AQR Funds, a Delaware statutory trust registered as an open-end management investment company with the U.S. Securities and Exchange Commission. AQR Capital Management and AQR Arbitrage act as investment adviser and sub-adviser, respectively, to AQR Diversified Arbitrage. AQR Arbitrage is deemed to be controlled by AQR Capital Management. AQR Capital Management is a wholly-owned subsidiary of AQR Capital Management Holdings. Each of the parties in this footnote disclaims any beneficial ownership of the reported shares other than to the extent of any pecuniary interest the party may have therein. AQR Diversified Arbitrage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Diversified Arbitrage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Diversified Arbitrage is One Greenwich Plaza, Suite 130, Greenwich, CT 06830.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(32) Consists of 19,875 Ordinary Shares directly held.</w:t>
      </w:r>
    </w:p>
    <w:p>
      <w:pPr>
        <w:pStyle w:val="TextBody"/>
        <w:bidi w:val="0"/>
        <w:spacing w:before="0" w:after="200"/>
        <w:jc w:val="left"/>
        <w:rPr>
          <w:rFonts w:ascii="Times New Roman" w:hAnsi="Times New Roman"/>
          <w:sz w:val="20"/>
        </w:rPr>
      </w:pPr>
      <w:r>
        <w:rPr>
          <w:rFonts w:ascii="Times New Roman" w:hAnsi="Times New Roman"/>
          <w:color w:val="000000"/>
          <w:sz w:val="20"/>
        </w:rPr>
        <w:t>(33)AQR Global Alternative Investment Offshore Fund, L.P. (“</w:t>
      </w:r>
      <w:r>
        <w:rPr>
          <w:rFonts w:ascii="Times New Roman" w:hAnsi="Times New Roman"/>
          <w:b/>
          <w:i/>
          <w:color w:val="000000"/>
          <w:sz w:val="20"/>
        </w:rPr>
        <w:t>AQR Global</w:t>
      </w:r>
      <w:r>
        <w:rPr>
          <w:rFonts w:ascii="Times New Roman" w:hAnsi="Times New Roman"/>
          <w:color w:val="000000"/>
          <w:sz w:val="20"/>
        </w:rPr>
        <w:t xml:space="preserve">”) is a Cayman Islands exempted limited partnership AQR Capital Management GP Ltd., a Cayman Islands company, is its general partner. AQR Capital Management and AQR Arbitrage act as investment adviser to AQR Global. AQR Arbitrage is deemed to be controlled by AQR Capital Management. AQR Capital Management is a wholly owned subsidiary of AQR Capital Management Holdings. Each of the parties in this footnote disclaims any beneficial ownership of the reported shares other than to the extent of any pecuniary interest the party may have therein. AQR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Global did not acquire their Ordinary Shares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Global is One Greenwich Plaza, Suite 130, Greenwich, CT 06830.</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(34)Consists of 18,857 Ordinary Shares directly held.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(35)Mr. Yao is the Chief Executive Officer of Rezolve’s China office. The principal business address for Mr. Yao is No. 2 Zhuang, 268 Hao, Qinggong Lu, Fengxianqu, Shanghai, China.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(36) Consists of (i) 1,192,335 Ordinary Shares; (ii) 50,780 Ordinary Shares issued upon conversion of the Promissory Note held by Mr. Yao; (iii) 49,951 Ordinary Shares issued upon conversion of the Advance Subscription made by Mr. Yao; and (iv) 18,750 Ordinary Shares underlying the Private Warrants held by Mr. Yao. For the avoidance of doubt, A(i) 13,393 of the 50,780 Ordinary Shares issued upon conversion of the Promissory Note; (ii) the 49,951 Ordinary Shares issued upon the conversion of the Advance Subscription made by Mr. Yao; and (iii) the 18,750 Ordinary Shares underlying the Private Warrants held by Mr. Yao are registered for resale hereby, and (B)(i) 37,387 the 50,780 Ordinary Shares issued upon conversion of such Promissory Note were registered on the January Form F-1.</w:t>
      </w:r>
    </w:p>
    <w:p>
      <w:pPr>
        <w:pStyle w:val="TextBody"/>
        <w:bidi w:val="0"/>
        <w:spacing w:before="0" w:after="200"/>
        <w:jc w:val="left"/>
        <w:rPr>
          <w:rFonts w:ascii="Times New Roman" w:hAnsi="Times New Roman"/>
          <w:sz w:val="20"/>
        </w:rPr>
      </w:pPr>
      <w:r>
        <w:rPr>
          <w:rFonts w:ascii="Times New Roman" w:hAnsi="Times New Roman"/>
          <w:color w:val="000000"/>
          <w:sz w:val="20"/>
        </w:rPr>
        <w:t>(37)Mr. Andrew Davilman, in his capacity as the Chief Operating Officer, may be deemed to control the securities owned by ASJC Global LLC - Series 14 ("</w:t>
      </w:r>
      <w:r>
        <w:rPr>
          <w:rFonts w:ascii="Times New Roman" w:hAnsi="Times New Roman"/>
          <w:b/>
          <w:i/>
          <w:color w:val="000000"/>
          <w:sz w:val="20"/>
        </w:rPr>
        <w:t>ASJC Global</w:t>
      </w:r>
      <w:r>
        <w:rPr>
          <w:rFonts w:ascii="Times New Roman" w:hAnsi="Times New Roman"/>
          <w:color w:val="000000"/>
          <w:sz w:val="20"/>
        </w:rPr>
        <w:t xml:space="preserve">"). ASJC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ASJC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ASJC Global is 3 Columbus Circle, 24th Floor, New York, NY 10019. </w:t>
      </w:r>
    </w:p>
    <w:p>
      <w:pPr>
        <w:pStyle w:val="TextBody"/>
        <w:bidi w:val="0"/>
        <w:spacing w:before="0" w:after="200"/>
        <w:jc w:val="left"/>
        <w:rPr>
          <w:rFonts w:ascii="Times New Roman" w:hAnsi="Times New Roman"/>
          <w:sz w:val="20"/>
        </w:rPr>
      </w:pPr>
      <w:r>
        <w:rPr>
          <w:rFonts w:ascii="Times New Roman" w:hAnsi="Times New Roman"/>
          <w:color w:val="000000"/>
          <w:sz w:val="20"/>
        </w:rPr>
        <w:t>(38)The principal business address of Atalaya Special Purpose Investment Fund II LP is One Rockefeller Center, 32</w:t>
      </w:r>
      <w:r>
        <w:rPr>
          <w:rFonts w:ascii="Times New Roman" w:hAnsi="Times New Roman"/>
          <w:color w:val="000000"/>
          <w:sz w:val="13"/>
        </w:rPr>
        <w:t>nd</w:t>
      </w:r>
      <w:r>
        <w:rPr>
          <w:rFonts w:ascii="Times New Roman" w:hAnsi="Times New Roman"/>
          <w:color w:val="000000"/>
          <w:sz w:val="20"/>
        </w:rPr>
        <w:t xml:space="preserve"> Floor, New York, NY 10020.</w:t>
      </w:r>
    </w:p>
    <w:p>
      <w:pPr>
        <w:pStyle w:val="TextBody"/>
        <w:bidi w:val="0"/>
        <w:spacing w:before="0" w:after="200"/>
        <w:jc w:val="left"/>
        <w:rPr>
          <w:rFonts w:ascii="Times New Roman" w:hAnsi="Times New Roman"/>
          <w:sz w:val="20"/>
        </w:rPr>
      </w:pPr>
      <w:r>
        <w:rPr>
          <w:rFonts w:ascii="Times New Roman" w:hAnsi="Times New Roman"/>
          <w:color w:val="000000"/>
          <w:sz w:val="20"/>
        </w:rPr>
        <w:t>(39)Offered securities consist of the maximum number of Ordinary Shares that may be issued in relation to those Ordinary Shares the Company issued to Berenberg Capital Markets LLC (“</w:t>
      </w:r>
      <w:r>
        <w:rPr>
          <w:rFonts w:ascii="Times New Roman" w:hAnsi="Times New Roman"/>
          <w:b/>
          <w:i/>
          <w:color w:val="000000"/>
          <w:sz w:val="20"/>
        </w:rPr>
        <w:t>Berenberg</w:t>
      </w:r>
      <w:r>
        <w:rPr>
          <w:rFonts w:ascii="Times New Roman" w:hAnsi="Times New Roman"/>
          <w:color w:val="000000"/>
          <w:sz w:val="20"/>
        </w:rPr>
        <w:t>”), a registered broker-dealer, as transaction-based compensation for the performance of investment banking services rendered to the Company in connection with the recently completed Business Combination. The business address of Berenberg is 1251 Avenue of the Americas, 53rd Floor, New York, NY 10020. Berenberg's sole member is Berenberg Asset Management LLC ("</w:t>
      </w:r>
      <w:r>
        <w:rPr>
          <w:rFonts w:ascii="Times New Roman" w:hAnsi="Times New Roman"/>
          <w:b/>
          <w:i/>
          <w:color w:val="000000"/>
          <w:sz w:val="20"/>
        </w:rPr>
        <w:t>BAM</w:t>
      </w:r>
      <w:r>
        <w:rPr>
          <w:rFonts w:ascii="Times New Roman" w:hAnsi="Times New Roman"/>
          <w:color w:val="000000"/>
          <w:sz w:val="20"/>
        </w:rPr>
        <w:t>"). BAM's sole member is Berenberg Americas LLC, which in turn is a wholly owned subsidiary of Berenberg Beteiligungsholding GmbH ("</w:t>
      </w:r>
      <w:r>
        <w:rPr>
          <w:rFonts w:ascii="Times New Roman" w:hAnsi="Times New Roman"/>
          <w:b/>
          <w:i/>
          <w:color w:val="000000"/>
          <w:sz w:val="20"/>
        </w:rPr>
        <w:t>BBH</w:t>
      </w:r>
      <w:r>
        <w:rPr>
          <w:rFonts w:ascii="Times New Roman" w:hAnsi="Times New Roman"/>
          <w:color w:val="000000"/>
          <w:sz w:val="20"/>
        </w:rPr>
        <w:t xml:space="preserve">"). BBH is the holding company for Joh. Berenberg, Gossler &amp; Co. KG, a German regulated bank. 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held by the Selling Holder.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(40)The principal business address of Boston Patriot Merrimack ST. LLC is c/o PRIM Board, 84 State St. Suite 250, Boston, MA 02109.</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(41) Consists of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 For the avoidance of doubt, (A)(i) 7,897,913 of the 9,638,692 Ordinary Shares, (ii) the 1,240,865 Ordinary Shares currently held by Apeiron on Mr. Wickens' behalf, (iii) 44,643 of the 156,250 Ordinary Shares issued upon conversion of the Promissory Note held by Mr. Wickens, (iv) 333,333 Ordinary Shares issued upon the conversion of the Advance Subscription made by Mr. Wickens, (v) the 62,500 Ordinary Shares underlying the Private Warrants held by Mr. Wickens, and (vi) 2,965,206 of the 10,840,973 Ordinary Shares issued upon conversion of the Convertible Note held by Mr. Wickens are registered for resale hereby, and (B)(i) 111,607 of the 156,250 Ordinary Shares issued upon conversion of the Promissory Note held by Mr. Wickens and (ii) 7,875,767 of the 10,840,973 Ordinary Shares issued upon conversion of the Convertible Note held by Mr. Wickens were registered for resale on the January Form F-1.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(42)Consists of (i) 7,870,000 Ordinary Shares and (ii) 9,200,000 Ordinary Shares issued upon the conversion of the Advance Subscription made by Mr. Newmark.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(43)Consists of (i) 20,553 Ordinary Shares and (ii) 10,000 Ordinary Shares issued upon the conversion of the Advance Subscription made by Cecil Levy.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(44)Mr. White served as a director of Armada, which became a wholly owned subsidiary of the Company in connection with the Business Combination, since August 2021. Mr. White’s principal business address is 34 N. Calibogue Cay Road, Hilton Head Island, SC 29928.</w:t>
      </w:r>
    </w:p>
    <w:p>
      <w:pPr>
        <w:pStyle w:val="TextBody"/>
        <w:bidi w:val="0"/>
        <w:spacing w:before="0" w:after="200"/>
        <w:jc w:val="left"/>
        <w:rPr>
          <w:rFonts w:ascii="Times New Roman" w:hAnsi="Times New Roman"/>
          <w:sz w:val="20"/>
        </w:rPr>
      </w:pPr>
      <w:r>
        <w:rPr>
          <w:rFonts w:ascii="Times New Roman" w:hAnsi="Times New Roman"/>
          <w:color w:val="000000"/>
          <w:sz w:val="20"/>
        </w:rPr>
        <w:t>(45)Cohen &amp; Company Financial Management LLC ("</w:t>
      </w:r>
      <w:r>
        <w:rPr>
          <w:rFonts w:ascii="Times New Roman" w:hAnsi="Times New Roman"/>
          <w:b/>
          <w:i/>
          <w:color w:val="000000"/>
          <w:sz w:val="20"/>
        </w:rPr>
        <w:t>Cohen</w:t>
      </w:r>
      <w:r>
        <w:rPr>
          <w:rFonts w:ascii="Times New Roman" w:hAnsi="Times New Roman"/>
          <w:color w:val="000000"/>
          <w:sz w:val="20"/>
        </w:rPr>
        <w:t>")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is 2929 Arch Street, Suite 1703, Philadelphia, PA.</w:t>
      </w:r>
    </w:p>
    <w:p>
      <w:pPr>
        <w:pStyle w:val="TextBody"/>
        <w:bidi w:val="0"/>
        <w:spacing w:before="0" w:after="200"/>
        <w:jc w:val="left"/>
        <w:rPr>
          <w:rFonts w:ascii="Times New Roman" w:hAnsi="Times New Roman"/>
          <w:sz w:val="20"/>
        </w:rPr>
      </w:pPr>
      <w:r>
        <w:rPr>
          <w:rFonts w:ascii="Times New Roman" w:hAnsi="Times New Roman"/>
          <w:color w:val="000000"/>
          <w:sz w:val="20"/>
        </w:rPr>
        <w:t>(46)Consists of 12,579,532 Ordinary Shares, which is the maximum number of Ordinary Shares issuable upon the conversion of the unsecured convertible loan (the "</w:t>
      </w:r>
      <w:r>
        <w:rPr>
          <w:rFonts w:ascii="Times New Roman" w:hAnsi="Times New Roman"/>
          <w:b/>
          <w:i/>
          <w:color w:val="000000"/>
          <w:sz w:val="20"/>
        </w:rPr>
        <w:t>Cohen Note</w:t>
      </w:r>
      <w:r>
        <w:rPr>
          <w:rFonts w:ascii="Times New Roman" w:hAnsi="Times New Roman"/>
          <w:color w:val="000000"/>
          <w:sz w:val="20"/>
        </w:rPr>
        <w:t>") issued to Cohen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(47)Cohen Sponsor LLC - A14 RS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Sponsor LLC - A14 RS is 2929 Arch Street, Suite 1703, Philadelphia, PA.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(48)The principal business address of Context Partners Master Fund, LP is 27 Hospital Road, George Town, Grand Cayman KY1-9008 C. </w:t>
      </w:r>
    </w:p>
    <w:p>
      <w:pPr>
        <w:pStyle w:val="TextBody"/>
        <w:bidi w:val="0"/>
        <w:spacing w:before="0" w:after="200"/>
        <w:jc w:val="left"/>
        <w:rPr>
          <w:rFonts w:ascii="Times New Roman" w:hAnsi="Times New Roman"/>
          <w:sz w:val="20"/>
        </w:rPr>
      </w:pPr>
      <w:r>
        <w:rPr>
          <w:rFonts w:ascii="Times New Roman" w:hAnsi="Times New Roman"/>
          <w:color w:val="000000"/>
          <w:sz w:val="20"/>
        </w:rPr>
        <w:t>(49)Corbin Capital Partners, L.P. (“</w:t>
      </w:r>
      <w:r>
        <w:rPr>
          <w:rFonts w:ascii="Times New Roman" w:hAnsi="Times New Roman"/>
          <w:b/>
          <w:i/>
          <w:color w:val="000000"/>
          <w:sz w:val="20"/>
        </w:rPr>
        <w:t>Corbin</w:t>
      </w:r>
      <w:r>
        <w:rPr>
          <w:rFonts w:ascii="Times New Roman" w:hAnsi="Times New Roman"/>
          <w:color w:val="000000"/>
          <w:sz w:val="20"/>
        </w:rPr>
        <w:t>”) is the investment manager of Corbin ERISA Opportunity Fund, Ltd (“</w:t>
      </w:r>
      <w:r>
        <w:rPr>
          <w:rFonts w:ascii="Times New Roman" w:hAnsi="Times New Roman"/>
          <w:b/>
          <w:i/>
          <w:color w:val="000000"/>
          <w:sz w:val="20"/>
        </w:rPr>
        <w:t>Corbin ERISA</w:t>
      </w:r>
      <w:r>
        <w:rPr>
          <w:rFonts w:ascii="Times New Roman" w:hAnsi="Times New Roman"/>
          <w:color w:val="000000"/>
          <w:sz w:val="20"/>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 ownership. The principal business address of Corbin ERISA is 474 Madison Avenue, 21</w:t>
      </w:r>
      <w:r>
        <w:rPr>
          <w:rFonts w:ascii="Times New Roman" w:hAnsi="Times New Roman"/>
          <w:color w:val="000000"/>
          <w:sz w:val="13"/>
        </w:rPr>
        <w:t>st</w:t>
      </w:r>
      <w:r>
        <w:rPr>
          <w:rFonts w:ascii="Times New Roman" w:hAnsi="Times New Roman"/>
          <w:color w:val="000000"/>
          <w:sz w:val="20"/>
        </w:rPr>
        <w:t xml:space="preserve"> Floor, New York, NY 10022.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(50) Consists of (i) 20,312 Ordinary Shares issued upon conversion of the Promissory Note held by Mr. Meller; and (ii) 7,500 Ordinary Shares underlying the Private Warrants held by Mr. Meller. For the avoidance of doubt, A(i) 5,357 of the 20,312 Ordinary Shares underlying the Promissory Note held by Mr. Meller; and (ii) the 7,500 Shares underlying the Private Warrants held by Mr. Meller are registered for resale hereby, and (B)(ii) 14,955 of the 20,312 Ordinary Shares underlying such Promissory Note were registered on the Prior F-1.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(51)Consists of (i) 300 Ordinary Shares and (ii) 201,000 Ordinary Shares issued upon conversion of the Advance Subscription made by Mr. Weinberger.</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(52)Consists of 33,334 Ordinary Shares issued upon the conversion of the Advance Subscription made by Mr. Smith.</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(53)Mr. Kolyris has provided services to Rezolve as a contractor since November 2018. The principal business address for Mr. Kolyris is Noyaroy 12, Maroysi, 15126, Athens, Greece.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(54)Consists of 65,209 Ordinary Shares, of which 11,951 Ordinary Shares are beneficially owned by Mr. Kolyris and is the number of Ordinary Shares issued upon the conversion of the Advance Subscription made by Nadenco P.C., a company Mr. Kolyris may be deemed to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(55)Consists of 7,333 Ordinary Shares issued upon the conversion of the Advance Subscription made by DXG Deutsche Digital GmbH. </w:t>
      </w:r>
    </w:p>
    <w:p>
      <w:pPr>
        <w:pStyle w:val="TextBody"/>
        <w:bidi w:val="0"/>
        <w:spacing w:before="0" w:after="200"/>
        <w:jc w:val="left"/>
        <w:rPr>
          <w:rFonts w:ascii="Times New Roman" w:hAnsi="Times New Roman"/>
          <w:sz w:val="20"/>
        </w:rPr>
      </w:pPr>
      <w:r>
        <w:rPr>
          <w:rFonts w:ascii="Times New Roman" w:hAnsi="Times New Roman"/>
          <w:color w:val="000000"/>
          <w:sz w:val="20"/>
        </w:rPr>
        <w:t>(56)Mr. David Boral, CEO and Manager of EF Hutton LLC (“</w:t>
      </w:r>
      <w:r>
        <w:rPr>
          <w:rFonts w:ascii="Times New Roman" w:hAnsi="Times New Roman"/>
          <w:b/>
          <w:i/>
          <w:color w:val="000000"/>
          <w:sz w:val="20"/>
        </w:rPr>
        <w:t>EF Hutton</w:t>
      </w:r>
      <w:r>
        <w:rPr>
          <w:rFonts w:ascii="Times New Roman" w:hAnsi="Times New Roman"/>
          <w:color w:val="000000"/>
          <w:sz w:val="20"/>
        </w:rPr>
        <w:t>”), may be deemed to beneficially own the securities owned by EF Hutton. Mr. Ben Reed, in his capacity as the Head of Wealth Management and Power of Attorney, may also be deemed to control the securities owned by EF Hutton and thereby may be deemed to beneficially own the securities owned by EF Hutton. Mr. Reed has sole investment power over these securities. The principal address of EF Hutton LLC is 590 Madison Avenue, 39th Floor New York, NY 10022.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(57)Offered securities consist of the maximum number of Ordinary Shares that may be issued in relation to those Ordinary Shares the Company issued to EF Hutton, a registered broker-dealer, as transaction-based compensation for the performance of advisory services rendered to the Company in connection with the recently completed Business Combination.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(58)Mr. Kilic is employed as Vice President Global Head of Payments and Director DACH &amp; TR at Rezolve. The principal business address for Mr. Kilic is Manstedtener Berg 19, 50259, Pulheim, Germany.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(59)Consists of 18,175 Ordinary Shares issued upon the conversion of the Advance Subscription made by Mr. Kilic. </w:t>
      </w:r>
    </w:p>
    <w:p>
      <w:pPr>
        <w:pStyle w:val="TextBody"/>
        <w:bidi w:val="0"/>
        <w:spacing w:before="0" w:after="200"/>
        <w:jc w:val="left"/>
        <w:rPr>
          <w:rFonts w:ascii="Times New Roman" w:hAnsi="Times New Roman"/>
          <w:sz w:val="20"/>
        </w:rPr>
      </w:pPr>
      <w:r>
        <w:rPr>
          <w:rFonts w:ascii="Times New Roman" w:hAnsi="Times New Roman"/>
          <w:color w:val="000000"/>
          <w:sz w:val="20"/>
        </w:rPr>
        <w:t>(60)Messrs. Clinton Biondo and David Sultan are Managing Partners of Fir Capital Management LP (“</w:t>
      </w:r>
      <w:r>
        <w:rPr>
          <w:rFonts w:ascii="Times New Roman" w:hAnsi="Times New Roman"/>
          <w:b/>
          <w:i/>
          <w:color w:val="000000"/>
          <w:sz w:val="20"/>
        </w:rPr>
        <w:t>Fir Capital Management</w:t>
      </w:r>
      <w:r>
        <w:rPr>
          <w:rFonts w:ascii="Times New Roman" w:hAnsi="Times New Roman"/>
          <w:color w:val="000000"/>
          <w:sz w:val="20"/>
        </w:rPr>
        <w:t>”), the Investment Manager of Fir Tree Capital Opportunity Master Fund LP (“</w:t>
      </w:r>
      <w:r>
        <w:rPr>
          <w:rFonts w:ascii="Times New Roman" w:hAnsi="Times New Roman"/>
          <w:b/>
          <w:i/>
          <w:color w:val="000000"/>
          <w:sz w:val="20"/>
        </w:rPr>
        <w:t>Fir Tree Opportunity Master Fund</w:t>
      </w:r>
      <w:r>
        <w:rPr>
          <w:rFonts w:ascii="Times New Roman" w:hAnsi="Times New Roman"/>
          <w:color w:val="000000"/>
          <w:sz w:val="20"/>
        </w:rPr>
        <w:t xml:space="preserve">”) and may be deemed to share beneficial ownership of the securities beneficially owned by Fir Tree Opportunity Master Fund. The principal business address of Fir Tree Master Fund is 89 Nexus Way, Camana Bay, Grand Cayman, KY1-1205. </w:t>
      </w:r>
    </w:p>
    <w:p>
      <w:pPr>
        <w:pStyle w:val="TextBody"/>
        <w:bidi w:val="0"/>
        <w:spacing w:before="0" w:after="200"/>
        <w:jc w:val="left"/>
        <w:rPr>
          <w:rFonts w:ascii="Times New Roman" w:hAnsi="Times New Roman"/>
          <w:sz w:val="20"/>
        </w:rPr>
      </w:pPr>
      <w:r>
        <w:rPr>
          <w:rFonts w:ascii="Times New Roman" w:hAnsi="Times New Roman"/>
          <w:color w:val="000000"/>
          <w:sz w:val="20"/>
        </w:rPr>
        <w:t>(61)Messrs. Clinton Biondo and David Sultan are Managing Partners of Fir Capital Management, the Investment Manager of Fir Tree Capital Opportunity Master Fund III, LP (“</w:t>
      </w:r>
      <w:r>
        <w:rPr>
          <w:rFonts w:ascii="Times New Roman" w:hAnsi="Times New Roman"/>
          <w:b/>
          <w:i/>
          <w:color w:val="000000"/>
          <w:sz w:val="20"/>
        </w:rPr>
        <w:t>Fir Tree Capital Opportunity Master Fund III</w:t>
      </w:r>
      <w:r>
        <w:rPr>
          <w:rFonts w:ascii="Times New Roman" w:hAnsi="Times New Roman"/>
          <w:color w:val="000000"/>
          <w:sz w:val="20"/>
        </w:rPr>
        <w:t>”) and may be deemed to share beneficial ownership of the securities beneficially owned by Fir Tree Capital Opportunity Master Fund III. The principal business address of Fir Tree Capital Opportunity Master Fund III is 89 Nexus Way, Camana Bay, Grand Cayman, KY1-1205.</w:t>
      </w:r>
    </w:p>
    <w:p>
      <w:pPr>
        <w:pStyle w:val="TextBody"/>
        <w:bidi w:val="0"/>
        <w:spacing w:before="0" w:after="200"/>
        <w:jc w:val="left"/>
        <w:rPr>
          <w:rFonts w:ascii="Times New Roman" w:hAnsi="Times New Roman"/>
          <w:sz w:val="20"/>
        </w:rPr>
      </w:pPr>
      <w:r>
        <w:rPr>
          <w:rFonts w:ascii="Times New Roman" w:hAnsi="Times New Roman"/>
          <w:color w:val="000000"/>
          <w:sz w:val="20"/>
        </w:rPr>
        <w:t>(62)Messrs. Clinton Biondo and David Sultan are Managing Partners of Fir Capital Management, the Investment Manager of Fir Tree Value Master Fund, LP (“</w:t>
      </w:r>
      <w:r>
        <w:rPr>
          <w:rFonts w:ascii="Times New Roman" w:hAnsi="Times New Roman"/>
          <w:b/>
          <w:i/>
          <w:color w:val="000000"/>
          <w:sz w:val="20"/>
        </w:rPr>
        <w:t>Fir Tree Value Master Fund</w:t>
      </w:r>
      <w:r>
        <w:rPr>
          <w:rFonts w:ascii="Times New Roman" w:hAnsi="Times New Roman"/>
          <w:color w:val="000000"/>
          <w:sz w:val="20"/>
        </w:rPr>
        <w:t>”) and may be deemed to share beneficial ownership of the securities beneficially owned by Fir Tree Value Master Fund. The principal business address of Fir Tree Fir Tree Value Master Fund is 89 Nexus Way, Camana Bay, Grand Cayman, KY1-1205.</w:t>
      </w:r>
    </w:p>
    <w:p>
      <w:pPr>
        <w:pStyle w:val="TextBody"/>
        <w:bidi w:val="0"/>
        <w:spacing w:before="0" w:after="200"/>
        <w:jc w:val="left"/>
        <w:rPr>
          <w:rFonts w:ascii="Times New Roman" w:hAnsi="Times New Roman"/>
          <w:sz w:val="20"/>
        </w:rPr>
      </w:pPr>
      <w:r>
        <w:rPr>
          <w:rFonts w:ascii="Times New Roman" w:hAnsi="Times New Roman"/>
          <w:color w:val="000000"/>
          <w:sz w:val="20"/>
        </w:rPr>
        <w:t>(63)The principal business address of FT SOF XIII (SPAC) Holdings, LLC is 500 Fifth Ave, 9</w:t>
      </w:r>
      <w:r>
        <w:rPr>
          <w:rFonts w:ascii="Times New Roman" w:hAnsi="Times New Roman"/>
          <w:color w:val="000000"/>
          <w:sz w:val="13"/>
        </w:rPr>
        <w:t>th</w:t>
      </w:r>
      <w:r>
        <w:rPr>
          <w:rFonts w:ascii="Times New Roman" w:hAnsi="Times New Roman"/>
          <w:color w:val="000000"/>
          <w:sz w:val="20"/>
        </w:rPr>
        <w:t xml:space="preserve">Floor, New York, NY 10110. </w:t>
      </w:r>
    </w:p>
    <w:p>
      <w:pPr>
        <w:pStyle w:val="TextBody"/>
        <w:bidi w:val="0"/>
        <w:spacing w:before="0" w:after="200"/>
        <w:jc w:val="left"/>
        <w:rPr>
          <w:rFonts w:ascii="Times New Roman" w:hAnsi="Times New Roman"/>
          <w:sz w:val="20"/>
        </w:rPr>
      </w:pPr>
      <w:r>
        <w:rPr>
          <w:rFonts w:ascii="Times New Roman" w:hAnsi="Times New Roman"/>
          <w:color w:val="000000"/>
          <w:sz w:val="20"/>
        </w:rPr>
        <w:t>(64) Consists of (i) 135,411 Ordinary Shares issued upon conversion of the Promissory Note held by FMS China; (ii) 50,000 Ordinary Shares underlying the Private Warrants held by FMS China; and (iii) 140,000 Ordinary Shares issued upon the conversion of the Advance Subscription made by Fujian Global Services Co., Ltd. (collectively, with FMS China “</w:t>
      </w:r>
      <w:r>
        <w:rPr>
          <w:rFonts w:ascii="Times New Roman" w:hAnsi="Times New Roman"/>
          <w:b/>
          <w:i/>
          <w:color w:val="000000"/>
          <w:sz w:val="20"/>
        </w:rPr>
        <w:t>Fujian Limatong XinXi Keji Youxian Gongsi</w:t>
      </w:r>
      <w:r>
        <w:rPr>
          <w:rFonts w:ascii="Times New Roman" w:hAnsi="Times New Roman"/>
          <w:color w:val="000000"/>
          <w:sz w:val="20"/>
        </w:rPr>
        <w:t>”). For the avoidance of doubt, (A)(i) 35,714 of the 135,411 Ordinary Shares issued upon conversion of the Promissory Note held by FMS China; (ii) the 50,000 Ordinary Shares underlying the Private Warrants held by FMS China; and (iii) the 140,000 Ordinary Shares issued upon the conversion of the Advance Subscriptions made by Fujian Global Services Co., Ltd. are registered for resale hereby, and (B) 99,697 of the 135,411 Ordinary Shares underlying such Promissory Note were registered on the January Form F-1.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(65)Consists of 8,000 Ordinary Shares issued upon the conversion of the Advance Subscription made by Mr. Bellow.</w:t>
      </w:r>
    </w:p>
    <w:p>
      <w:pPr>
        <w:pStyle w:val="TextBody"/>
        <w:bidi w:val="0"/>
        <w:spacing w:before="0" w:after="200"/>
        <w:jc w:val="left"/>
        <w:rPr>
          <w:rFonts w:ascii="Times New Roman" w:hAnsi="Times New Roman"/>
          <w:sz w:val="20"/>
        </w:rPr>
      </w:pPr>
      <w:r>
        <w:rPr>
          <w:rFonts w:ascii="Times New Roman" w:hAnsi="Times New Roman"/>
          <w:color w:val="000000"/>
          <w:sz w:val="20"/>
        </w:rPr>
        <w:t>(66)Highbridge Capital Management, LLC (“</w:t>
      </w:r>
      <w:r>
        <w:rPr>
          <w:rFonts w:ascii="Times New Roman" w:hAnsi="Times New Roman"/>
          <w:b/>
          <w:i/>
          <w:color w:val="000000"/>
          <w:sz w:val="20"/>
        </w:rPr>
        <w:t>Highbridge Capital Management</w:t>
      </w:r>
      <w:r>
        <w:rPr>
          <w:rFonts w:ascii="Times New Roman" w:hAnsi="Times New Roman"/>
          <w:color w:val="000000"/>
          <w:sz w:val="20"/>
        </w:rPr>
        <w:t>”) is the trading manager of Highbridge Tactical Credit Master Fund, L.P. (“</w:t>
      </w:r>
      <w:r>
        <w:rPr>
          <w:rFonts w:ascii="Times New Roman" w:hAnsi="Times New Roman"/>
          <w:b/>
          <w:i/>
          <w:color w:val="000000"/>
          <w:sz w:val="20"/>
        </w:rPr>
        <w:t>Highbridge Tactical Credit Master Fund</w:t>
      </w:r>
      <w:r>
        <w:rPr>
          <w:rFonts w:ascii="Times New Roman" w:hAnsi="Times New Roman"/>
          <w:color w:val="000000"/>
          <w:sz w:val="20"/>
        </w:rPr>
        <w:t>”). Highbridge Tactical Credit Master Fund disclaims beneficial ownership over these shares. The address of Highbridge Capital Management is 277 Park Avenue, 23rd Floor, New York, NY 10172, and the address of Highbridge tactical Credit Master Fund is c/o Maples Corporate Services Limited #309 Ugland House, South Church Street, George Town, Grand Cayman KY1-1104, Cayman Islands.</w:t>
      </w:r>
    </w:p>
    <w:p>
      <w:pPr>
        <w:pStyle w:val="TextBody"/>
        <w:bidi w:val="0"/>
        <w:spacing w:before="0" w:after="200"/>
        <w:jc w:val="left"/>
        <w:rPr>
          <w:rFonts w:ascii="Times New Roman" w:hAnsi="Times New Roman"/>
          <w:sz w:val="20"/>
        </w:rPr>
      </w:pPr>
      <w:r>
        <w:rPr>
          <w:rFonts w:ascii="Times New Roman" w:hAnsi="Times New Roman"/>
          <w:color w:val="000000"/>
          <w:sz w:val="20"/>
        </w:rPr>
        <w:t>(67)Highbridge Capital Management is the trading manager of Highbridge Tactical Credit Institutional Fund, Ltd. (“</w:t>
      </w:r>
      <w:r>
        <w:rPr>
          <w:rFonts w:ascii="Times New Roman" w:hAnsi="Times New Roman"/>
          <w:b/>
          <w:i/>
          <w:color w:val="000000"/>
          <w:sz w:val="20"/>
        </w:rPr>
        <w:t>Highbridge Tactical Credit Institutional Fund</w:t>
      </w:r>
      <w:r>
        <w:rPr>
          <w:rFonts w:ascii="Times New Roman" w:hAnsi="Times New Roman"/>
          <w:color w:val="000000"/>
          <w:sz w:val="20"/>
        </w:rPr>
        <w:t>”) Highbridge Tactical Credit Institutional Fund disclaims beneficial ownership over these shares. The address of Highbridge Capital Management is 277 Park Avenue, 23rd Floor, New York, NY 10172, and the address of Highbridge tactical Credit Master Fund is c/o Maples Corporate Services Limited #309 Ugland House, South Church Street, George Town, Grand Cayman KY1-1104, Cayman Islands.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(68)Consists of 10,286 Ordinary Shares issued upon the conversion of the Advance Subscription made by Jamie Beadle.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(69)Consists of up to 1,110,723 of Ordinary Shares that may be issued upon conversion of the convertible note issued to J.V.B. Financial Group, LLC ("</w:t>
      </w:r>
      <w:r>
        <w:rPr>
          <w:rFonts w:ascii="Times New Roman" w:hAnsi="Times New Roman"/>
          <w:b/>
          <w:i/>
          <w:color w:val="000000"/>
          <w:sz w:val="20"/>
        </w:rPr>
        <w:t>JVB</w:t>
      </w:r>
      <w:r>
        <w:rPr>
          <w:rFonts w:ascii="Times New Roman" w:hAnsi="Times New Roman"/>
          <w:color w:val="000000"/>
          <w:sz w:val="20"/>
        </w:rPr>
        <w:t>"), a registered broker-dealer, on August 14, 2024 (the “</w:t>
      </w:r>
      <w:r>
        <w:rPr>
          <w:rFonts w:ascii="Times New Roman" w:hAnsi="Times New Roman"/>
          <w:b/>
          <w:i/>
          <w:color w:val="000000"/>
          <w:sz w:val="20"/>
        </w:rPr>
        <w:t>JVB Note</w:t>
      </w:r>
      <w:r>
        <w:rPr>
          <w:rFonts w:ascii="Times New Roman" w:hAnsi="Times New Roman"/>
          <w:color w:val="000000"/>
          <w:sz w:val="20"/>
        </w:rPr>
        <w:t xml:space="preserve">”).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 The Company issued the JVB Note and the shares of Ordinary Shares underlying the JVB Note as transaction-based compensation for the performance of investment banking services rendered to the Company in connection with the recently completed Business Combination. The business address of JVB is 2929 Arch Street Ste. 1703, Philadelphia, PA 19104.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(70) Consists of (i) 7,188 Ordinary Shares; (ii) 25,796 Ordinary Shares issued upon conversion of the Promissory Note held by Mr. King; and (iii) 9,525 Ordinary Shares underlying the Private Warrants held by Mr. King. For the avoidance of doubt, (A)(i) 6,804 of the 25,796 Ordinary Shares underlying the Promissory Note held by Mr. King; and (ii) 9,525 Ordinary Share underlying the Private Warrants held by Mr. King are registered for resale hereby, and (B) 18,992 of the 25,796 Ordinary Shares underlying such Promissory Note were registered on the January Form F-1.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(71) Consists of (i) 21,497 Ordinary Shares issued upon conversion of the Promissory Note held by Mr. Nurse; (ii) 29,667 Ordinary Shares issued upon the conversion of the Advance Subscription made by Mr. Nurse; and (iii) 7,938 Ordinary Shares underlying the Private Warrants held by Julian Nurse. For the avoidance of doubt, (A)(i) 5,670 of the 21,497 Ordinary Shares underlying the Promissory Note; (ii) 29,667 Ordinary Shares, which is the maximum number of Ordinary Shares issuable upon the conversion of the Advance Subscription made by Mr. Nurse; and (iii) 7,938 Ordinary Shares underlying the Private Warrants are registered for resale hereby, and (B)(ii) 15,827 of the 21,497 Ordinary Shares underlying such Promissory Note were registered on the January Form F-1.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(72)Consists of (i) 69,785 Ordinary Shares and (ii) 10,000 Ordinary Shares issued upon the conversion of the Advance Subscription made by Kantor Investment Company LLC.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(73) Consists of (i) 65,279 Ordinary Shares; (ii) 33,853 Ordinary Shares issued upon the conversion of the Promissory Note held by Ms. Kalaris, and (iii) 12,500 Ordinary Shares underlying the Private Warrants held by Ms. Kalaris. For the avoidance of doubt, (A)(i) 8,929 of the 33,853 Ordinary Shares underlying the Promissory Note held by Ms. Kalaris; and (ii) the 12,500 Ordinary Shares underlying the Private Warrants held by Ms. Kalaris are registered for resale hereby; and (B) 24,924 of the 33,853 Ordinary Shares underlying the Promissory Note were registered for resale on the January Form F-1.</w:t>
      </w:r>
    </w:p>
    <w:p>
      <w:pPr>
        <w:pStyle w:val="TextBody"/>
        <w:bidi w:val="0"/>
        <w:spacing w:before="0" w:after="200"/>
        <w:jc w:val="left"/>
        <w:rPr>
          <w:rFonts w:ascii="Times New Roman" w:hAnsi="Times New Roman"/>
          <w:sz w:val="20"/>
        </w:rPr>
      </w:pPr>
      <w:r>
        <w:rPr>
          <w:rFonts w:ascii="Times New Roman" w:hAnsi="Times New Roman"/>
          <w:color w:val="000000"/>
          <w:sz w:val="20"/>
        </w:rPr>
        <w:t>(74)Kepos Capital LP (“</w:t>
      </w:r>
      <w:r>
        <w:rPr>
          <w:rFonts w:ascii="Times New Roman" w:hAnsi="Times New Roman"/>
          <w:b/>
          <w:i/>
          <w:color w:val="000000"/>
          <w:sz w:val="20"/>
        </w:rPr>
        <w:t>Kepos Capital</w:t>
      </w:r>
      <w:r>
        <w:rPr>
          <w:rFonts w:ascii="Times New Roman" w:hAnsi="Times New Roman"/>
          <w:color w:val="000000"/>
          <w:sz w:val="20"/>
        </w:rPr>
        <w:t>”) is the investment manager of Kepos Alpha Master Fund L.P. (“</w:t>
      </w:r>
      <w:r>
        <w:rPr>
          <w:rFonts w:ascii="Times New Roman" w:hAnsi="Times New Roman"/>
          <w:b/>
          <w:i/>
          <w:color w:val="000000"/>
          <w:sz w:val="20"/>
        </w:rPr>
        <w:t>Kepos Alpha Master Fund</w:t>
      </w:r>
      <w:r>
        <w:rPr>
          <w:rFonts w:ascii="Times New Roman" w:hAnsi="Times New Roman"/>
          <w:color w:val="000000"/>
          <w:sz w:val="20"/>
        </w:rPr>
        <w:t>”) and Kepos Partners LLC (“</w:t>
      </w:r>
      <w:r>
        <w:rPr>
          <w:rFonts w:ascii="Times New Roman" w:hAnsi="Times New Roman"/>
          <w:b/>
          <w:i/>
          <w:color w:val="000000"/>
          <w:sz w:val="20"/>
        </w:rPr>
        <w:t>Kepos Partners</w:t>
      </w:r>
      <w:r>
        <w:rPr>
          <w:rFonts w:ascii="Times New Roman" w:hAnsi="Times New Roman"/>
          <w:color w:val="000000"/>
          <w:sz w:val="20"/>
        </w:rPr>
        <w:t>”) is the General Partner of Kepos Alpha Master Fund and each may be deemed to have voting and dispositive power with respect to the shares. The general partner of Kepos Capital is Kepos Capital GP LLC (the “</w:t>
      </w:r>
      <w:r>
        <w:rPr>
          <w:rFonts w:ascii="Times New Roman" w:hAnsi="Times New Roman"/>
          <w:b/>
          <w:i/>
          <w:color w:val="000000"/>
          <w:sz w:val="20"/>
        </w:rPr>
        <w:t>Kepos GP</w:t>
      </w:r>
      <w:r>
        <w:rPr>
          <w:rFonts w:ascii="Times New Roman" w:hAnsi="Times New Roman"/>
          <w:color w:val="000000"/>
          <w:sz w:val="20"/>
        </w:rPr>
        <w:t>”) and the Managing Member of Kepos Partners is Kepos Partners MM (“</w:t>
      </w:r>
      <w:r>
        <w:rPr>
          <w:rFonts w:ascii="Times New Roman" w:hAnsi="Times New Roman"/>
          <w:b/>
          <w:i/>
          <w:color w:val="000000"/>
          <w:sz w:val="20"/>
        </w:rPr>
        <w:t>Kepos MM</w:t>
      </w:r>
      <w:r>
        <w:rPr>
          <w:rFonts w:ascii="Times New Roman" w:hAnsi="Times New Roman"/>
          <w:color w:val="000000"/>
          <w:sz w:val="20"/>
        </w:rPr>
        <w:t>”). Mark Carhart controls Kepos GP and Kepos MM and, accordingly, may be deemed to have voting and dispositive power with respect to the shares held by Kepos Alpha Master Fund. Mr. Carhart disclaims beneficial ownership of the shares held by Kepos Alpha Master Fund. The address of Kepos Capital and Mr. Carhart is c/o Kepos Capital LP 11 Times Square, 35</w:t>
      </w:r>
      <w:r>
        <w:rPr>
          <w:rFonts w:ascii="Times New Roman" w:hAnsi="Times New Roman"/>
          <w:color w:val="000000"/>
          <w:sz w:val="13"/>
        </w:rPr>
        <w:t>th</w:t>
      </w:r>
      <w:r>
        <w:rPr>
          <w:rFonts w:ascii="Times New Roman" w:hAnsi="Times New Roman"/>
          <w:color w:val="000000"/>
          <w:sz w:val="20"/>
        </w:rPr>
        <w:t xml:space="preserve"> Floor, New York, NY 10036. </w:t>
      </w:r>
    </w:p>
    <w:p>
      <w:pPr>
        <w:pStyle w:val="TextBody"/>
        <w:bidi w:val="0"/>
        <w:spacing w:before="0" w:after="200"/>
        <w:jc w:val="left"/>
        <w:rPr>
          <w:rFonts w:ascii="Times New Roman" w:hAnsi="Times New Roman"/>
          <w:sz w:val="20"/>
        </w:rPr>
      </w:pPr>
      <w:r>
        <w:rPr>
          <w:rFonts w:ascii="Times New Roman" w:hAnsi="Times New Roman"/>
          <w:color w:val="000000"/>
          <w:sz w:val="20"/>
        </w:rPr>
        <w:t>(75)Kepos Capital is the investment manager of Kepos Special Opportunities Master Fund L.P. (“</w:t>
      </w:r>
      <w:r>
        <w:rPr>
          <w:rFonts w:ascii="Times New Roman" w:hAnsi="Times New Roman"/>
          <w:b/>
          <w:i/>
          <w:color w:val="000000"/>
          <w:sz w:val="20"/>
        </w:rPr>
        <w:t>Kepos Special Opportunities Master Fund</w:t>
      </w:r>
      <w:r>
        <w:rPr>
          <w:rFonts w:ascii="Times New Roman" w:hAnsi="Times New Roman"/>
          <w:color w:val="000000"/>
          <w:sz w:val="20"/>
        </w:rPr>
        <w:t>”) and Kepos Partners is the General Partner of Kepos Special Opportunities Master Fund and each may be deemed to have voting and dispositive power with respect to the shares. The general partner of Kepos Capital is the Kepos GP and the Managing Member of Kepos Partners is Kepos M. Mark Carhart controls Kepos GP and Kepos MM and, accordingly, may be deemed to have voting and dispositive power with respect to the shares held by Kepos Special Opportunities Master Fund. Mr. Carhart disclaims beneficial ownership of the shares held by Kepos Special Opportunities Master Fund. The address of Kepos Capital and Mr. Carhart is c/o Kepos Capital LP 11 Times Square, 35</w:t>
      </w:r>
      <w:r>
        <w:rPr>
          <w:rFonts w:ascii="Times New Roman" w:hAnsi="Times New Roman"/>
          <w:color w:val="000000"/>
          <w:sz w:val="13"/>
        </w:rPr>
        <w:t>th</w:t>
      </w:r>
      <w:r>
        <w:rPr>
          <w:rFonts w:ascii="Times New Roman" w:hAnsi="Times New Roman"/>
          <w:color w:val="000000"/>
          <w:sz w:val="20"/>
        </w:rPr>
        <w:t xml:space="preserve"> Floor, New York, NY 10036. </w:t>
      </w:r>
    </w:p>
    <w:p>
      <w:pPr>
        <w:pStyle w:val="TextBody"/>
        <w:bidi w:val="0"/>
        <w:spacing w:before="0" w:after="200"/>
        <w:jc w:val="left"/>
        <w:rPr>
          <w:rFonts w:ascii="Times New Roman" w:hAnsi="Times New Roman"/>
          <w:sz w:val="20"/>
        </w:rPr>
      </w:pPr>
      <w:r>
        <w:rPr>
          <w:rFonts w:ascii="Times New Roman" w:hAnsi="Times New Roman"/>
          <w:color w:val="000000"/>
          <w:sz w:val="20"/>
        </w:rPr>
        <w:t>(76)The registered holders of the referenced shares to be registered are the following funds and accounts that are managed by Magnetar Financial LLC(“</w:t>
      </w:r>
      <w:r>
        <w:rPr>
          <w:rFonts w:ascii="Times New Roman" w:hAnsi="Times New Roman"/>
          <w:b/>
          <w:i/>
          <w:color w:val="000000"/>
          <w:sz w:val="20"/>
        </w:rPr>
        <w:t>MFL</w:t>
      </w:r>
      <w:r>
        <w:rPr>
          <w:rFonts w:ascii="Times New Roman" w:hAnsi="Times New Roman"/>
          <w:color w:val="000000"/>
          <w:sz w:val="20"/>
        </w:rPr>
        <w:t>”), which serves as investment manager of Magnetar Capital Master Fund Ltd, Magnetar Constellation Master Fund, Ltd, Magnetar Constellation Fund II, Ltd, Magnetar Discovery Master Fund Ltd, Magnetar Xing He Master Fund Ltd, Purpose Alternative Credit Fund Ltd, Purpose Alternative Credit Fund – T LLC, and Magnetar SC Fund Ltd. MFL is the manager of Magnetar Lake Credit Fund LLC, and general partner of Magnetar Structured Credit Fund, LP (together with all of the foregoing funds, the “</w:t>
      </w:r>
      <w:r>
        <w:rPr>
          <w:rFonts w:ascii="Times New Roman" w:hAnsi="Times New Roman"/>
          <w:b/>
          <w:i/>
          <w:color w:val="000000"/>
          <w:sz w:val="20"/>
        </w:rPr>
        <w:t>Magnetar Funds</w:t>
      </w:r>
      <w:r>
        <w:rPr>
          <w:rFonts w:ascii="Times New Roman" w:hAnsi="Times New Roman"/>
          <w:color w:val="000000"/>
          <w:sz w:val="20"/>
        </w:rPr>
        <w:t>”).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Times New Roman" w:hAnsi="Times New Roman"/>
          <w:b/>
          <w:i/>
          <w:color w:val="000000"/>
          <w:sz w:val="20"/>
        </w:rPr>
        <w:t>MCP</w:t>
      </w:r>
      <w:r>
        <w:rPr>
          <w:rFonts w:ascii="Times New Roman" w:hAnsi="Times New Roman"/>
          <w:color w:val="000000"/>
          <w:sz w:val="20"/>
        </w:rPr>
        <w:t>”), is the sole member and parent holding company of MFL. Supernova Management LLC (“</w:t>
      </w:r>
      <w:r>
        <w:rPr>
          <w:rFonts w:ascii="Times New Roman" w:hAnsi="Times New Roman"/>
          <w:b/>
          <w:i/>
          <w:color w:val="000000"/>
          <w:sz w:val="20"/>
        </w:rPr>
        <w:t>Supernova</w:t>
      </w:r>
      <w:r>
        <w:rPr>
          <w:rFonts w:ascii="Times New Roman" w:hAnsi="Times New Roman"/>
          <w:color w:val="000000"/>
          <w:sz w:val="20"/>
        </w:rPr>
        <w:t xml:space="preserve">”), is the sole general partner of MCP. The manager of Supernova is David Snyderman, a citizen of the United States of America. Each of the Magnetar Funds, MFL, MCP, Supernova and David J. Snyderman disclaim beneficial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principal business address of MFL and each of the Magnetar Funds is 1603 Orrington Ave., 13</w:t>
      </w:r>
      <w:r>
        <w:rPr>
          <w:rFonts w:ascii="Times New Roman" w:hAnsi="Times New Roman"/>
          <w:color w:val="000000"/>
          <w:sz w:val="13"/>
        </w:rPr>
        <w:t>th</w:t>
      </w:r>
      <w:r>
        <w:rPr>
          <w:rFonts w:ascii="Times New Roman" w:hAnsi="Times New Roman"/>
          <w:color w:val="000000"/>
          <w:sz w:val="20"/>
        </w:rPr>
        <w:t xml:space="preserve"> Floor, Evanston, IL 60201.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(77)Consists of (i) 31,785 Ordinary Shares and (ii) 40,000 Ordinary Shares issued upon the conversion of the Advance Subscription made by Mr. Israel.</w:t>
      </w:r>
    </w:p>
    <w:p>
      <w:pPr>
        <w:pStyle w:val="TextBody"/>
        <w:bidi w:val="0"/>
        <w:spacing w:before="0" w:after="200"/>
        <w:jc w:val="left"/>
        <w:rPr>
          <w:rFonts w:ascii="Times New Roman" w:hAnsi="Times New Roman"/>
          <w:sz w:val="20"/>
        </w:rPr>
      </w:pPr>
      <w:r>
        <w:rPr>
          <w:rFonts w:ascii="Times New Roman" w:hAnsi="Times New Roman"/>
          <w:color w:val="000000"/>
          <w:sz w:val="20"/>
        </w:rPr>
        <w:t>(78)Offered securities consist of the maximum number of Ordinary Shares that may be issued in relation to those Ordinary Shares the Company issued to Maxim Group LLC (“</w:t>
      </w:r>
      <w:r>
        <w:rPr>
          <w:rFonts w:ascii="Times New Roman" w:hAnsi="Times New Roman"/>
          <w:b/>
          <w:i/>
          <w:color w:val="000000"/>
          <w:sz w:val="20"/>
        </w:rPr>
        <w:t>Maxim</w:t>
      </w:r>
      <w:r>
        <w:rPr>
          <w:rFonts w:ascii="Times New Roman" w:hAnsi="Times New Roman"/>
          <w:color w:val="000000"/>
          <w:sz w:val="20"/>
        </w:rPr>
        <w:t xml:space="preserve">”), a registered broker-dealer, as transaction-based compensation for the performance of advisory services rendered to the Company in connection with the recently completed Business Combination. The business address of Maxim is 300 Park Ave., 16th Floor, New York, NY 10022. </w:t>
      </w:r>
    </w:p>
    <w:p>
      <w:pPr>
        <w:pStyle w:val="TextBody"/>
        <w:bidi w:val="0"/>
        <w:spacing w:before="0" w:after="200"/>
        <w:jc w:val="left"/>
        <w:rPr>
          <w:rFonts w:ascii="Times New Roman" w:hAnsi="Times New Roman"/>
          <w:sz w:val="20"/>
        </w:rPr>
      </w:pPr>
      <w:r>
        <w:rPr>
          <w:rFonts w:ascii="Times New Roman" w:hAnsi="Times New Roman"/>
          <w:color w:val="000000"/>
          <w:sz w:val="20"/>
        </w:rPr>
        <w:t>(79)Vikas Mittal is the Managing Member of Meteora Capital Partners, L.P. (“</w:t>
      </w:r>
      <w:r>
        <w:rPr>
          <w:rFonts w:ascii="Times New Roman" w:hAnsi="Times New Roman"/>
          <w:b/>
          <w:i/>
          <w:color w:val="000000"/>
          <w:sz w:val="20"/>
        </w:rPr>
        <w:t>Meteora</w:t>
      </w:r>
      <w:r>
        <w:rPr>
          <w:rFonts w:ascii="Times New Roman" w:hAnsi="Times New Roman"/>
          <w:color w:val="000000"/>
          <w:sz w:val="20"/>
        </w:rPr>
        <w:t xml:space="preserve">”) and in such capacity may be deemed to be the beneficial owner having shared voting power and shared investment power over the securities described in this footnote. Mr. Mittal expressly declares that he is not the beneficial owner for the purposes of sections 13(d) or 13(g) of the Act. The business address of Meteora is 1200 N. Federal Hwy #200 Boca Raton, Florida 33432.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(80)Mr. Khan served as a director of Armada, which became a wholly owned subsidiary of the Company in connection with the Business Combination, since August 2021. Mr. Khan’s principal business address is 2238 Bentley Ridge Drive, San Jose, CA 95138.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(81)Consists of (i) 39,731 Ordinary Shares and (ii) 166,667 Ordinary Shares issued upon the conversion of the Advance Subscription made by Patel Family Investment LLC.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(82)Consists of 35,402 Ordinary Shares issued upon the conversion of the Advance Subscription made by Quality Kiosk.</w:t>
      </w:r>
    </w:p>
    <w:p>
      <w:pPr>
        <w:pStyle w:val="TextBody"/>
        <w:bidi w:val="0"/>
        <w:spacing w:before="0" w:after="200"/>
        <w:jc w:val="left"/>
        <w:rPr>
          <w:rFonts w:ascii="Times New Roman" w:hAnsi="Times New Roman"/>
          <w:sz w:val="20"/>
        </w:rPr>
      </w:pPr>
      <w:r>
        <w:rPr>
          <w:rFonts w:ascii="Times New Roman" w:hAnsi="Times New Roman"/>
          <w:color w:val="000000"/>
          <w:sz w:val="20"/>
        </w:rPr>
        <w:t>(83)Pursuant to an investment management agreement, Radcliffe Capital Management, L.P. (“</w:t>
      </w:r>
      <w:r>
        <w:rPr>
          <w:rFonts w:ascii="Times New Roman" w:hAnsi="Times New Roman"/>
          <w:b/>
          <w:i/>
          <w:color w:val="000000"/>
          <w:sz w:val="20"/>
        </w:rPr>
        <w:t>RCM</w:t>
      </w:r>
      <w:r>
        <w:rPr>
          <w:rFonts w:ascii="Times New Roman" w:hAnsi="Times New Roman"/>
          <w:color w:val="000000"/>
          <w:sz w:val="20"/>
        </w:rPr>
        <w:t>”) serves as the investment manager of the Radcliffe SPAC Master Fund, L.P. (“</w:t>
      </w:r>
      <w:r>
        <w:rPr>
          <w:rFonts w:ascii="Times New Roman" w:hAnsi="Times New Roman"/>
          <w:b/>
          <w:i/>
          <w:color w:val="000000"/>
          <w:sz w:val="20"/>
        </w:rPr>
        <w:t>Radcliffe Fund</w:t>
      </w:r>
      <w:r>
        <w:rPr>
          <w:rFonts w:ascii="Times New Roman" w:hAnsi="Times New Roman"/>
          <w:color w:val="000000"/>
          <w:sz w:val="20"/>
        </w:rPr>
        <w:t>”). RGC Management Company, LLC (“</w:t>
      </w:r>
      <w:r>
        <w:rPr>
          <w:rFonts w:ascii="Times New Roman" w:hAnsi="Times New Roman"/>
          <w:b/>
          <w:i/>
          <w:color w:val="000000"/>
          <w:sz w:val="20"/>
        </w:rPr>
        <w:t>Management</w:t>
      </w:r>
      <w:r>
        <w:rPr>
          <w:rFonts w:ascii="Times New Roman" w:hAnsi="Times New Roman"/>
          <w:color w:val="000000"/>
          <w:sz w:val="20"/>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principal business address of Radcliffe Fund is c/o Radcliffe Capital Management, L.P., 50 Monument Road, Suite 300, Bala Cynwyd, PA 19004.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(84)The principal business address of JingQian Hou is 610, Haitian Ge, Haiwaihuayuan, Ligang Lu, Haizhuqu, Guangzhou, Zhongguo.</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(85)Consists of 2,321 Ordinary Shares issued upon the conversion of the Advance Subscription made by JingQian Hou.</w:t>
      </w:r>
    </w:p>
    <w:p>
      <w:pPr>
        <w:pStyle w:val="TextBody"/>
        <w:bidi w:val="0"/>
        <w:spacing w:before="0" w:after="200"/>
        <w:jc w:val="left"/>
        <w:rPr>
          <w:rFonts w:ascii="Times New Roman" w:hAnsi="Times New Roman"/>
          <w:sz w:val="20"/>
        </w:rPr>
      </w:pPr>
      <w:r>
        <w:rPr>
          <w:rFonts w:ascii="Times New Roman" w:hAnsi="Times New Roman"/>
          <w:color w:val="000000"/>
          <w:sz w:val="20"/>
        </w:rPr>
        <w:t>(86)Offered securities consist of the maximum number of Ordinary Shares that may be issued in relation to those Ordinary Shares the Company issued to Roth Capital Partners, LLC (“</w:t>
      </w:r>
      <w:r>
        <w:rPr>
          <w:rFonts w:ascii="Times New Roman" w:hAnsi="Times New Roman"/>
          <w:b/>
          <w:i/>
          <w:color w:val="000000"/>
          <w:sz w:val="20"/>
        </w:rPr>
        <w:t>Roth Capital</w:t>
      </w:r>
      <w:r>
        <w:rPr>
          <w:rFonts w:ascii="Times New Roman" w:hAnsi="Times New Roman"/>
          <w:color w:val="000000"/>
          <w:sz w:val="20"/>
        </w:rPr>
        <w:t xml:space="preserve">”), a registered broker-dealer, as transaction-based compensation for the performance of advisory services rendered to the Company in connection with the recently completed Business Combination. The business address of Roth Capital is 888 San Clemente Drive, Suite 400, Newport Beach, CA 92660.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(87)Consists of (i) 16,320 Ordinary Shares and (ii) 9,283 Ordinary Shares issued upon the conversion of the Advance Subscription made by Mr. Lin.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(88)Consists of (i) 117,832 Ordinary Shares and (ii) 20,000 Ordinary Shares issued upon the conversion of the Advance Subscription made by Sam Lewis.</w:t>
      </w:r>
    </w:p>
    <w:p>
      <w:pPr>
        <w:pStyle w:val="TextBody"/>
        <w:bidi w:val="0"/>
        <w:spacing w:before="0" w:after="200"/>
        <w:jc w:val="left"/>
        <w:rPr>
          <w:rFonts w:ascii="Times New Roman" w:hAnsi="Times New Roman"/>
          <w:sz w:val="20"/>
        </w:rPr>
      </w:pPr>
      <w:r>
        <w:rPr>
          <w:rFonts w:ascii="Times New Roman" w:hAnsi="Times New Roman"/>
          <w:color w:val="000000"/>
          <w:sz w:val="20"/>
        </w:rPr>
        <w:t>(89)Consists of Ordinary Shares held by Boothbay Absolute Return Strategies, LP, BoothBay Diversified Alpha Master Fund, LP, Sandia Crest LP, WWJr. Enterprises, Inc., Crestline Summit Master, SPC – Peak SPC and Crestline Summit Master, SPC – Crestline Summit APEX SP, each of which is managed by Sandia Investment Management LP (“</w:t>
      </w:r>
      <w:r>
        <w:rPr>
          <w:rFonts w:ascii="Times New Roman" w:hAnsi="Times New Roman"/>
          <w:b/>
          <w:i/>
          <w:color w:val="000000"/>
          <w:sz w:val="20"/>
        </w:rPr>
        <w:t>Sandia Investment Management</w:t>
      </w:r>
      <w:r>
        <w:rPr>
          <w:rFonts w:ascii="Times New Roman" w:hAnsi="Times New Roman"/>
          <w:color w:val="000000"/>
          <w:sz w:val="20"/>
        </w:rPr>
        <w:t xml:space="preserve">”). Tim Sichler is the majority owner of Sandia Investment Management. The principal business address of Sandia Investment Management is 201 Washington Street, Suite 2600, Boston, MA 02108.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(90)Consists of 3,372 Ordinary Shares issued upon the conversion of the Advance Subscription made by Sharat Williams.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(91) Consists of 128,530 Ordinary Shares issued upon conversion of the Convertible Note held by Ms. Briggs. For the avoidance of doubt, (A) 35,155 of the 128,530 Ordinary Shares issued upon conversion of the Convertible Note held by Ms. Briggs are registered for resale hereby and (B) 93,375 of the Ordinary Shares issued upon conversion of the Convertible Note were registered on the January Form F-1.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(92)Consists of 17,078 Ordinary Shares issued upon the conversion of the Advance Subscription made by Techouts Solutions India Pvt ltd.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(93)Mr. Decker served as a director of Armada, which became a wholly owned subsidiary of the Company in connection with the Business Combination, since August 2021. The principal business office of Mr. Decker is 517 Old Gulph Road, Bryn Mawr, PA 19010.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(94) Consists of (i) 440,634 Ordinary Shares, (ii) 33,853 Ordinary Shares issued upon the conversion of the Promissory Note held by Trustees of Risol Limited Pension; and (iii) 12,500 Ordinary Shares underlying the Private Warrants held by Trustees of Risol Limited Pension. For the avoidance of doubt, (A)(i) 8,929 of the 33,853 Ordinary Shares underlying the Promissory Note held by Trustees of Risol Limited Pension; and (ii) the 12,500 Ordinary Shares underlying the Private Warrants held by Trustees of Risol Limited Pension are registered for resale hereby; and (B) 24,924 of the 33,853 Ordinary Shares underlying the Promissory Note held by Trustees of Risol Limited Pension were registered for resale on the January Form F-1.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(95)Consists of (i) 8,929 Ordinary Shares issued upon the conversion of the Promissory Note held by UBIRY GmbH and (ii) 12,500 Ordinary Shares underlying the Private Warrants held by UBIRY GmbH. </w:t>
      </w:r>
    </w:p>
    <w:p>
      <w:pPr>
        <w:pStyle w:val="TextBody"/>
        <w:bidi w:val="0"/>
        <w:spacing w:before="0" w:after="200"/>
        <w:jc w:val="left"/>
        <w:rPr>
          <w:rFonts w:ascii="Times New Roman" w:hAnsi="Times New Roman"/>
          <w:sz w:val="20"/>
        </w:rPr>
      </w:pPr>
      <w:r>
        <w:rPr>
          <w:rFonts w:ascii="Times New Roman" w:hAnsi="Times New Roman"/>
          <w:color w:val="000000"/>
          <w:sz w:val="20"/>
        </w:rPr>
        <w:t>(96)Walleye Investments Fund LLC (“</w:t>
      </w:r>
      <w:r>
        <w:rPr>
          <w:rFonts w:ascii="Times New Roman" w:hAnsi="Times New Roman"/>
          <w:b/>
          <w:i/>
          <w:color w:val="000000"/>
          <w:sz w:val="20"/>
        </w:rPr>
        <w:t>Walleye Investments Fund</w:t>
      </w:r>
      <w:r>
        <w:rPr>
          <w:rFonts w:ascii="Times New Roman" w:hAnsi="Times New Roman"/>
          <w:color w:val="000000"/>
          <w:sz w:val="20"/>
        </w:rPr>
        <w:t>”) is a private investment fund managed by Walleye Capital LLC (“</w:t>
      </w:r>
      <w:r>
        <w:rPr>
          <w:rFonts w:ascii="Times New Roman" w:hAnsi="Times New Roman"/>
          <w:b/>
          <w:i/>
          <w:color w:val="000000"/>
          <w:sz w:val="20"/>
        </w:rPr>
        <w:t>Walleye Capital</w:t>
      </w:r>
      <w:r>
        <w:rPr>
          <w:rFonts w:ascii="Times New Roman" w:hAnsi="Times New Roman"/>
          <w:color w:val="000000"/>
          <w:sz w:val="20"/>
        </w:rPr>
        <w:t xml:space="preserve">”). William England serves as the Chief Executive Officer of Walleye Capital. As a result, Walleye Capital and Mr. England may be deemed to have shared voting and dispositive power with respect to the shares held by Walleye Investments Fund. Walleye Capital and Mr. England disclaim beneficial ownership of such shares except to the extent of each of their pecuniary interest therein. Walleye Investments Fund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InvestmentS Fund is 2800 Niagara Lane, Plymouth, MN 55447. </w:t>
      </w:r>
    </w:p>
    <w:p>
      <w:pPr>
        <w:pStyle w:val="TextBody"/>
        <w:bidi w:val="0"/>
        <w:spacing w:before="0" w:after="200"/>
        <w:jc w:val="left"/>
        <w:rPr>
          <w:rFonts w:ascii="Times New Roman" w:hAnsi="Times New Roman"/>
          <w:sz w:val="20"/>
        </w:rPr>
      </w:pPr>
      <w:r>
        <w:rPr>
          <w:rFonts w:ascii="Times New Roman" w:hAnsi="Times New Roman"/>
          <w:color w:val="000000"/>
          <w:sz w:val="20"/>
        </w:rPr>
        <w:t>(97)Walleye Opportunities Master Fund Ltd (“</w:t>
      </w:r>
      <w:r>
        <w:rPr>
          <w:rFonts w:ascii="Times New Roman" w:hAnsi="Times New Roman"/>
          <w:b/>
          <w:i/>
          <w:color w:val="000000"/>
          <w:sz w:val="20"/>
        </w:rPr>
        <w:t>Walleye Opportunities Fund</w:t>
      </w:r>
      <w:r>
        <w:rPr>
          <w:rFonts w:ascii="Times New Roman" w:hAnsi="Times New Roman"/>
          <w:color w:val="000000"/>
          <w:sz w:val="20"/>
        </w:rPr>
        <w:t>”) is a private investment fund managed by Walleye Capital. William England serves as the Chief Executive Officer of Walleye Capital. As a result, Walleye Capital and Mr. England may be deemed to have shared voting and dispositive power with respect to the shares held by Walleye Opportunities Fund. Walleye Capital and Mr. England disclaim beneficial ownership of such shares except to the extent of each of their pecuniary interest therein. Walleye Opportunities Fund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Opportunities Fund is 2800 Niagara Lane, Plymouth, MN 55447.</w:t>
      </w:r>
    </w:p>
    <w:p>
      <w:pPr>
        <w:pStyle w:val="TextBody"/>
        <w:bidi w:val="0"/>
        <w:spacing w:before="0" w:after="200"/>
        <w:jc w:val="left"/>
        <w:rPr>
          <w:rFonts w:ascii="Times New Roman" w:hAnsi="Times New Roman"/>
          <w:sz w:val="20"/>
        </w:rPr>
      </w:pPr>
      <w:r>
        <w:rPr>
          <w:rFonts w:ascii="Times New Roman" w:hAnsi="Times New Roman"/>
          <w:color w:val="000000"/>
          <w:sz w:val="20"/>
        </w:rPr>
        <w:t>(98)Solomon J. Cohen, in his capacity as Director of Vellar Opportunities Fund Master, Ltd. ("</w:t>
      </w:r>
      <w:r>
        <w:rPr>
          <w:rFonts w:ascii="Times New Roman" w:hAnsi="Times New Roman"/>
          <w:b/>
          <w:i/>
          <w:color w:val="000000"/>
          <w:sz w:val="20"/>
        </w:rPr>
        <w:t>Vellar</w:t>
      </w:r>
      <w:r>
        <w:rPr>
          <w:rFonts w:ascii="Times New Roman" w:hAnsi="Times New Roman"/>
          <w:color w:val="000000"/>
          <w:sz w:val="20"/>
        </w:rPr>
        <w:t xml:space="preserve">") may be deemed to control the securities owned by Vellar. Vellar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Vellar is 3 Columbus Circle, 24th Floor, New York, NY 10019.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(99)Ms. Pao has been employed as a junior employee at the Taiwan branch of Rezolve since April 2022. The principal business address for Ms. Pao is 5F., No. 15, Ln. 128, Xinhu 1st Rd., Neihu District, Taipei City 114065, Taiwan (R.O.C.).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(100)Consists of 1,000 Ordinary Shares issued upon the conversion of the Advance Subscription made by Ms. Pao.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(101)Consists of 100,000 Ordinary Shares issued upon the conversion of the Advance Subscription made by Zedfesto Holding Ltd.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(102)Consists of 1,857 Ordinary Shares issued upon the conversion of the Advance Subscription made by Zheng Jie.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description_of_ordinary"/>
      <w:bookmarkEnd w:id="19"/>
      <w:r>
        <w:rPr>
          <w:rFonts w:ascii="Times New Roman" w:hAnsi="Times New Roman"/>
          <w:b/>
          <w:color w:val="000000"/>
          <w:sz w:val="20"/>
        </w:rPr>
        <w:t>DESCRIPTION OF ORDINARY SHARES, ARTICLES OF</w:t>
      </w:r>
    </w:p>
    <w:p>
      <w:pPr>
        <w:pStyle w:val="TextBody"/>
        <w:bidi w:val="0"/>
        <w:jc w:val="center"/>
        <w:rPr>
          <w:rFonts w:ascii="Times New Roman" w:hAnsi="Times New Roman"/>
          <w:b/>
          <w:color w:val="000000"/>
          <w:sz w:val="20"/>
        </w:rPr>
      </w:pPr>
      <w:r>
        <w:rPr>
          <w:rFonts w:ascii="Times New Roman" w:hAnsi="Times New Roman"/>
          <w:b/>
          <w:color w:val="000000"/>
          <w:sz w:val="20"/>
        </w:rPr>
        <w:t>ASSOCIATION AND CERTAIN LEGAL CONSIDERATIONS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jc w:val="both"/>
        <w:rPr>
          <w:rFonts w:ascii="Times New Roman" w:hAnsi="Times New Roman"/>
          <w:sz w:val="20"/>
        </w:rPr>
      </w:pPr>
      <w:r>
        <w:rPr>
          <w:rFonts w:ascii="Times New Roman" w:hAnsi="Times New Roman"/>
          <w:color w:val="000000"/>
          <w:sz w:val="20"/>
        </w:rPr>
        <w:t>Set forth below is (i) a summary of certain information concerning Rezolve’s share capital, (ii) a description of certain provisions of Rezolve’s articles of association (the “</w:t>
      </w:r>
      <w:r>
        <w:rPr>
          <w:rFonts w:ascii="Times New Roman" w:hAnsi="Times New Roman"/>
          <w:b/>
          <w:i/>
          <w:color w:val="000000"/>
          <w:sz w:val="20"/>
        </w:rPr>
        <w:t>Articles</w:t>
      </w:r>
      <w:r>
        <w:rPr>
          <w:rFonts w:ascii="Times New Roman" w:hAnsi="Times New Roman"/>
          <w:color w:val="000000"/>
          <w:sz w:val="20"/>
        </w:rPr>
        <w:t>”), and (iii) a summary of relevant provisions of the UK Companies Act 2006 (as amended) (the “</w:t>
      </w:r>
      <w:r>
        <w:rPr>
          <w:rFonts w:ascii="Times New Roman" w:hAnsi="Times New Roman"/>
          <w:b/>
          <w:i/>
          <w:color w:val="000000"/>
          <w:sz w:val="20"/>
        </w:rPr>
        <w:t>UK Companies Act</w:t>
      </w:r>
      <w:r>
        <w:rPr>
          <w:rFonts w:ascii="Times New Roman" w:hAnsi="Times New Roman"/>
          <w:color w:val="000000"/>
          <w:sz w:val="20"/>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Description of Ordinary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Ordinary Shares comprise a single class of ordinary shares with a nominal value of £0.0001 each.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information is a summary of Ordinary Shares: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Ordinary Shares carry the right to receive dividends and distributions paid by Rezolve, if 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Subject to the UK Companies Act, any equity securities issued by Rezolve for cash must first be offered to Rezolve shareholders in proportion to their existing holdings of Ordinary Shares.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UK Companies Act allows for the disapplication of pre-emption rights, which may be waived by a special resolution of not less than three quarters of Rezolve shareholders, either generally or specifically, for a maximum period not exceeding five years.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pStyle w:val="TextBody"/>
        <w:bidi w:val="0"/>
        <w:spacing w:before="240" w:after="283"/>
        <w:jc w:val="both"/>
        <w:rPr>
          <w:rFonts w:ascii="Times New Roman" w:hAnsi="Times New Roman"/>
          <w:sz w:val="20"/>
        </w:rPr>
      </w:pPr>
      <w:r>
        <w:rPr>
          <w:rFonts w:ascii="Times New Roman" w:hAnsi="Times New Roman"/>
          <w:color w:val="000000"/>
          <w:sz w:val="20"/>
        </w:rPr>
        <w:t>Rezolve may convert Ordinary Shares into deferred shares of £0.0001 each (or other nominal value) in the capital of Rezolve (the “</w:t>
      </w:r>
      <w:r>
        <w:rPr>
          <w:rFonts w:ascii="Times New Roman" w:hAnsi="Times New Roman"/>
          <w:b/>
          <w:i/>
          <w:color w:val="000000"/>
          <w:sz w:val="20"/>
        </w:rPr>
        <w:t>Deferred Shares</w:t>
      </w:r>
      <w:r>
        <w:rPr>
          <w:rFonts w:ascii="Times New Roman" w:hAnsi="Times New Roman"/>
          <w:color w:val="000000"/>
          <w:sz w:val="20"/>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Register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any of its shareholders or any other affected person may apply to the court for rectification of the share register if:</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name of any person, without sufficient cause, is wrongly entered in or omitted from Rezolve’s register of shareholders;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Public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pStyle w:val="TextBody"/>
        <w:bidi w:val="0"/>
        <w:spacing w:before="240" w:after="283"/>
        <w:jc w:val="both"/>
        <w:rPr>
          <w:rFonts w:ascii="Times New Roman" w:hAnsi="Times New Roman"/>
          <w:sz w:val="20"/>
        </w:rPr>
      </w:pPr>
      <w:r>
        <w:rPr>
          <w:rFonts w:ascii="Times New Roman" w:hAnsi="Times New Roman"/>
          <w:i/>
          <w:color w:val="000000"/>
          <w:sz w:val="20"/>
        </w:rPr>
        <w:t>Redemption of Public Warrants when the price per Ordinary Share equals or exceeds $18.00.</w:t>
      </w:r>
      <w:r>
        <w:rPr>
          <w:rFonts w:ascii="Times New Roman" w:hAnsi="Times New Roman"/>
          <w:color w:val="000000"/>
          <w:sz w:val="20"/>
        </w:rPr>
        <w:t xml:space="preserve"> Once the warrants become exercisable, we may redeem the outstanding warrants (subject to any restrictions under the UK Companies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a price of $0.01 per warrant;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upon a minimum of 30 days’ prior written notice of redemption;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Holder Election to Limit Exercise</w:t>
      </w:r>
      <w:r>
        <w:rPr>
          <w:rFonts w:ascii="Times New Roman" w:hAnsi="Times New Roman"/>
          <w:color w:val="000000"/>
          <w:sz w:val="20"/>
        </w:rPr>
        <w:t>.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pStyle w:val="TextBody"/>
        <w:bidi w:val="0"/>
        <w:spacing w:before="240" w:after="283"/>
        <w:jc w:val="both"/>
        <w:rPr>
          <w:rFonts w:ascii="Times New Roman" w:hAnsi="Times New Roman"/>
          <w:sz w:val="20"/>
        </w:rPr>
      </w:pPr>
      <w:r>
        <w:rPr>
          <w:rFonts w:ascii="Times New Roman" w:hAnsi="Times New Roman"/>
          <w:i/>
          <w:color w:val="000000"/>
          <w:sz w:val="20"/>
        </w:rPr>
        <w:t>Anti-Dilution Adjustments</w:t>
      </w:r>
      <w:r>
        <w:rPr>
          <w:rFonts w:ascii="Times New Roman" w:hAnsi="Times New Roman"/>
          <w:color w:val="000000"/>
          <w:sz w:val="20"/>
        </w:rPr>
        <w:t>. If the number of outstanding Ordinary Shares is increased by a stock dividend payable in Ordinary Shares, or by a split 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Articles of Association of Rezolve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information is a summary of the material terms of the Ordinary Shares as specified in the Articles. The following summary does not purport to be complete and is qualified in its entirety by reference to the Articles.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Share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UK Companies Act, any share may be issued which is to be redeemed or is to be liable to be redeemed at the option of Rezolve or the holder, on such terms, conditions and in such manner as Rezolve’s board of directors may determine.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Voting rights and quorum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number of votes attaching to all the shares held by Daniel Wagner as the “Rezolve Founder” or in which he is interested shall be equal to the higher of:</w:t>
      </w:r>
    </w:p>
    <w:p>
      <w:pPr>
        <w:pStyle w:val="TextBody"/>
        <w:bidi w:val="0"/>
        <w:jc w:val="both"/>
        <w:rPr>
          <w:rFonts w:ascii="Times New Roman" w:hAnsi="Times New Roman"/>
          <w:color w:val="000000"/>
          <w:sz w:val="20"/>
        </w:rPr>
      </w:pPr>
      <w:r>
        <w:rPr>
          <w:rFonts w:ascii="Times New Roman" w:hAnsi="Times New Roman"/>
          <w:color w:val="000000"/>
          <w:sz w:val="20"/>
        </w:rPr>
        <w:t>(i)75% of the votes attaching to all shares in the capital of the Company; and</w:t>
      </w:r>
    </w:p>
    <w:p>
      <w:pPr>
        <w:pStyle w:val="TextBody"/>
        <w:bidi w:val="0"/>
        <w:jc w:val="both"/>
        <w:rPr>
          <w:rFonts w:ascii="Times New Roman" w:hAnsi="Times New Roman"/>
          <w:color w:val="000000"/>
          <w:sz w:val="20"/>
        </w:rPr>
      </w:pPr>
      <w:r>
        <w:rPr>
          <w:rFonts w:ascii="Times New Roman" w:hAnsi="Times New Roman"/>
          <w:color w:val="000000"/>
          <w:sz w:val="20"/>
        </w:rPr>
        <w:t>(ii)the total number of votes that would otherwise have been conferred on Daniel Wagner.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Restrictions on 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Variation of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transfers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Ordinary Shares are in registered form. Any Ordinary Shares may be held in uncertificated 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office or any place the Rezolve board of directors may determine for registration and is accompanied by the relevant share certificate or such other evidence the Rezolve board of directors may reasonably require.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transferor of an ordinary share is deemed to remain the holder until the transferee’s name is entered in the share register.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dividends on shares are to be paid according to the amounts paid up on their nominal value, or otherwise in accordance with the terms concerning entitlement to dividends on which shares were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unclaimed dividends may be made use of by Rezolve’s board of directors for Rezolve’s benefit until claimed.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dividend unclaimed for a period of 10 years from the date when it was declared or became due for payment shall revert to Rezolve.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Shareholder meetings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voting rights of each member at a general meeting are as set out under the heading “Voting Rights and Quorum”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Alteration of share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may agree with any member terms and conditions upon which all or any part of the Ordinary Shares held by such member from time to time shall be automatically converted into deferred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 of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Distributions on Winding 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Number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Unless and until otherwise determined by an ordinary resolution of shareholders, Rezolve may not have less than three directors and there shall be no maximum number of persons permitted to sit on the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Appointment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pStyle w:val="TextBody"/>
        <w:bidi w:val="0"/>
        <w:spacing w:before="240" w:after="283"/>
        <w:jc w:val="both"/>
        <w:rPr>
          <w:rFonts w:ascii="Times New Roman" w:hAnsi="Times New Roman"/>
          <w:sz w:val="20"/>
        </w:rPr>
      </w:pPr>
      <w:r>
        <w:rPr>
          <w:rFonts w:ascii="Times New Roman" w:hAnsi="Times New Roman"/>
          <w:color w:val="000000"/>
          <w:sz w:val="20"/>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hAnsi="Times New Roman"/>
          <w:i/>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Retirement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Directors’ Interests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director shall be entitled to vote (and be counted in the quorum) in respect of any resolution concerning any of the following matters: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contract, transaction or arrangement in which the director is interested by virtue of an interest in shares, debentures or other securities of Rezolve or any of its subsidiary undertakings;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indemnification by Rezolve in relation to the performance of the director’s duties on behalf of the Company or any of its subsidiary undertakings;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transaction or arrangement concerning another company in which the director does not hold, directly or indirectly, an interest representing one per cent or more of any class of the equity share capital of such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arrangement for the benefit of employees of Rezolve or of any of its subsidiary undertakings which does not accord to the director any privilege or benefit not generally accorded to the employees to whom the contract or arrangement relates;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purchase or maintenance of insurance either for or for the benefit of any director or for persons who include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UK Companies Act, the Company may, by ordinary resolution, suspend the above provisions to any extent or ratify any transaction or arrangement not duly authorized by reason of a contravention of these provisions.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Directors’ Fees and Remuneration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director may be paid all proper and reasonable expenses incurred in the discharge of the director’s duties, including attending and returning from meetings of the directors or committees of the directors or general meetings of Rezolve.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Borrowing Powers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Indemnity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Other English Law Considerations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Mandatory Purchases and Acquisitions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Sell Out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Disclosure of Interest in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respect of the default shares, the relevant shareholder shall not be entitled to vote (either in person or by proxy) at any general meeting or to exercise any other right conferred by a shareholding in relation to general meetings;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Purchase of Own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specify the maximum number of shares authorized to be acquired;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determine the maximum and minimum prices that may be paid for the shares;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specify a date, not being later than five years after the passing of the resolution, on which the authority to purchase is to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Distributions and 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at the time that the distribution is made, the amount of its net assets (that is, the total excess of assets over liabilities) is not less than the total of its called-up share capital and undistributable reserves;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and to the extent that, the distribution itself, at the time that it is made, does not reduce the amount of the net assets to less than that total.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Anti-Money Laundering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Enforceability of Civil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Data Protection - United Kingdom</w:t>
      </w:r>
    </w:p>
    <w:p>
      <w:pPr>
        <w:pStyle w:val="TextBody"/>
        <w:bidi w:val="0"/>
        <w:spacing w:before="120" w:after="283"/>
        <w:jc w:val="left"/>
        <w:rPr>
          <w:rFonts w:ascii="Times New Roman" w:hAnsi="Times New Roman"/>
          <w:sz w:val="20"/>
        </w:rPr>
      </w:pPr>
      <w:r>
        <w:rPr>
          <w:rFonts w:ascii="Times New Roman" w:hAnsi="Times New Roman"/>
          <w:color w:val="000000"/>
          <w:sz w:val="20"/>
        </w:rPr>
        <w:t>Rezolve has certain duties under the General Data Protection Regulation (as implemented in the UK) and the Data Protection Act 2018 (“</w:t>
      </w:r>
      <w:r>
        <w:rPr>
          <w:rFonts w:ascii="Times New Roman" w:hAnsi="Times New Roman"/>
          <w:b/>
          <w:i/>
          <w:color w:val="000000"/>
          <w:sz w:val="20"/>
        </w:rPr>
        <w:t>UK GDPR</w:t>
      </w:r>
      <w:r>
        <w:rPr>
          <w:rFonts w:ascii="Times New Roman" w:hAnsi="Times New Roman"/>
          <w:color w:val="000000"/>
          <w:sz w:val="20"/>
        </w:rPr>
        <w:t>”) based on internationally accepted principles of data privacy.</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Privacy Notice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Introduction</w:t>
      </w:r>
    </w:p>
    <w:p>
      <w:pPr>
        <w:pStyle w:val="TextBody"/>
        <w:bidi w:val="0"/>
        <w:spacing w:before="120" w:after="283"/>
        <w:jc w:val="both"/>
        <w:rPr>
          <w:rFonts w:ascii="Times New Roman" w:hAnsi="Times New Roman"/>
          <w:sz w:val="20"/>
        </w:rPr>
      </w:pPr>
      <w:r>
        <w:rPr>
          <w:rFonts w:ascii="Times New Roman" w:hAnsi="Times New Roman"/>
          <w:color w:val="000000"/>
          <w:sz w:val="20"/>
        </w:rPr>
        <w:t>All shareholders in Rezolve will provide the Company with certain information which constitutes personal data within the meaning of the UK GDPR (“</w:t>
      </w:r>
      <w:r>
        <w:rPr>
          <w:rFonts w:ascii="Times New Roman" w:hAnsi="Times New Roman"/>
          <w:b/>
          <w:i/>
          <w:color w:val="000000"/>
          <w:sz w:val="20"/>
        </w:rPr>
        <w:t>personal data</w:t>
      </w:r>
      <w:r>
        <w:rPr>
          <w:rFonts w:ascii="Times New Roman" w:hAnsi="Times New Roman"/>
          <w:color w:val="000000"/>
          <w:sz w:val="20"/>
        </w:rPr>
        <w:t>”). In the following discussion, the “Company” refers to Rezolve and its affiliates and/or delegates, except where the context requires otherwise.</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Investor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Who this Affects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How Rezolve May Use a Member’s Personal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as the data controller, may collect, store and use personal data for lawful purposes, including, in particular: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where this is necessary for the performance of its rights and obligations under any purchase agreements;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where this is necessary for compliance with a legal and regulatory obligation to which the company is subject (such as compliance with anti-money laundering and FATCA/CRS requirements); and/or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where this is necessary for the purposes of our legitimate interests and such interests are not overridden by your interests, fundamental rights or freedoms.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Should Rezolve wish to use personal data for other specific purposes (including, if applicable, any purpose that requires your consent), it will contact you.</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Why Rezolve May Share Your Personal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Rezolve may share your personal data with our affiliates for any of the purposes described in this privacy notice.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International Data Transfers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The Data Protection Measures Rezolve Takes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aps/>
          <w:color w:val="000000"/>
          <w:sz w:val="20"/>
        </w:rPr>
      </w:pPr>
      <w:bookmarkStart w:id="20" w:name="us_federal_income_tax_considerations"/>
      <w:bookmarkEnd w:id="20"/>
      <w:r>
        <w:rPr>
          <w:rFonts w:ascii="Times New Roman" w:hAnsi="Times New Roman"/>
          <w:b/>
          <w:caps/>
          <w:color w:val="000000"/>
          <w:sz w:val="20"/>
        </w:rPr>
        <w:t>Material TAX CONSIDERATIONS</w:t>
      </w:r>
    </w:p>
    <w:p>
      <w:pPr>
        <w:pStyle w:val="TextBody"/>
        <w:bidi w:val="0"/>
        <w:jc w:val="left"/>
        <w:rPr>
          <w:rFonts w:ascii="Times New Roman" w:hAnsi="Times New Roman"/>
          <w:b/>
          <w:color w:val="000000"/>
          <w:sz w:val="20"/>
        </w:rPr>
      </w:pPr>
      <w:r>
        <w:rPr>
          <w:rFonts w:ascii="Times New Roman" w:hAnsi="Times New Roman"/>
          <w:b/>
          <w:color w:val="000000"/>
          <w:sz w:val="20"/>
        </w:rPr>
        <w:t>Material United Kingdom Tax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statements are based on current UK law as applied in England and HMRC published practice (which may not be binding on HMRC) as at the date of this document, both of which are subject to change, possibly with retrospective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statements are not directed at and do not apply to persons who are resident, or in the case of individuals, domiciled for tax purposes in the 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ARE IN ANY DOUBT AS TO YOUR TAX POSITION, YOU SHOULD CONSULT YOUR PROFESSIONAL TAX ADVISER.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Taxation of Rezolve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is subject to UK corporation tax on its taxable profits and gains, as it is tax resident in the UK. The Business Combination will not give rise to any taxable profits or gains for Rezolve.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Taxation of Disposals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Taxation of 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is not required to withhold UK tax when paying a dividend.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Stamp Duty and Stamp Duty Reserve Tax (“SDRT”)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UK stamp duty or UK SDRT should arise on the issue of Ordinary Shares.</w:t>
      </w:r>
    </w:p>
    <w:p>
      <w:pPr>
        <w:pStyle w:val="TextBody"/>
        <w:bidi w:val="0"/>
        <w:spacing w:before="240" w:after="283"/>
        <w:jc w:val="both"/>
        <w:rPr>
          <w:rFonts w:ascii="Times New Roman" w:hAnsi="Times New Roman"/>
          <w:sz w:val="20"/>
        </w:rPr>
      </w:pPr>
      <w:r>
        <w:rPr>
          <w:rFonts w:ascii="Times New Roman" w:hAnsi="Times New Roman"/>
          <w:color w:val="000000"/>
          <w:sz w:val="20"/>
        </w:rPr>
        <w:t>An agreement to transfer Ordinary Shares or Warrants other than to a depository trust company (“</w:t>
      </w:r>
      <w:r>
        <w:rPr>
          <w:rFonts w:ascii="Times New Roman" w:hAnsi="Times New Roman"/>
          <w:b/>
          <w:i/>
          <w:color w:val="000000"/>
          <w:sz w:val="20"/>
        </w:rPr>
        <w:t>DTC</w:t>
      </w:r>
      <w:r>
        <w:rPr>
          <w:rFonts w:ascii="Times New Roman" w:hAnsi="Times New Roman"/>
          <w:color w:val="000000"/>
          <w:sz w:val="20"/>
        </w:rPr>
        <w:t xml:space="preserve">”)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U.S. Federal Tax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brokers, dealers and other investors that do not own their Ordinary Shares or Warrants as capital assets;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traders in securities that elect to use a mark-to-market method of accounting for their securities holdings;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tax-exempt organizations, qualified retirement plans, individual retirement accounts or other tax deferred accounts;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banks or other financial institutions, underwriters, insurance companies, real estate investment trusts or regulated investment companies;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U.S. expatriates or former long-term residents of the United States;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that own (directly, indirectly, or by attribution) 5% or more (by vote or value) of the Armada Common Stock or Ordinary Shares;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partnerships or other pass-through entities for U.S. federal income tax purposes, or beneficial owners of partnerships or other pass-through entities;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holding Ordinary Shares or Warrants as part of a straddle, hedging or conversion transaction, constructive sale, or other arrangement involving more than one position;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required to accelerate the recognition of any item of gross income with respect to Ordinary Shares or Warrants as a result of such income being recognized on an applicable financial statement;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whose functional currency is not the U.S. dollar;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that received Ordinary Shares or Warrants as compensation for services;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controlled foreign corporations or passive foreign investment companies.</w:t>
      </w:r>
    </w:p>
    <w:p>
      <w:pPr>
        <w:pStyle w:val="TextBody"/>
        <w:bidi w:val="0"/>
        <w:spacing w:before="240" w:after="283"/>
        <w:jc w:val="both"/>
        <w:rPr>
          <w:rFonts w:ascii="Times New Roman" w:hAnsi="Times New Roman"/>
          <w:sz w:val="20"/>
        </w:rPr>
      </w:pPr>
      <w:r>
        <w:rPr>
          <w:rFonts w:ascii="Times New Roman" w:hAnsi="Times New Roman"/>
          <w:color w:val="000000"/>
          <w:sz w:val="20"/>
        </w:rPr>
        <w:t>This discussion is based on the Code, its legislative history, existing and proposed Treasury regulations promulgated under the Code (the “</w:t>
      </w:r>
      <w:r>
        <w:rPr>
          <w:rFonts w:ascii="Times New Roman" w:hAnsi="Times New Roman"/>
          <w:b/>
          <w:i/>
          <w:color w:val="000000"/>
          <w:sz w:val="20"/>
        </w:rPr>
        <w:t>Treasury Regulations</w:t>
      </w:r>
      <w:r>
        <w:rPr>
          <w:rFonts w:ascii="Times New Roman" w:hAnsi="Times New Roman"/>
          <w:color w:val="000000"/>
          <w:sz w:val="20"/>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as specifically provided, the discussion below applies only to U.S. holders. For purposes of this discussion, a U.S. holder means a beneficial owner of Ordinary Shares or Warrants that is, for U.S. federal income tax purposes: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corporation (or other entity taxable as a corporation for U.S. federal income tax purposes) created or organized in or under the laws of the United States, any state thereof or the District of Columbia;</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 estate whose income is subject to U.S. federal income tax regardless of its source;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Holders who are not U.S. holders should consult with their own tax advisors regarding the U.S. federal income tax consequences of holding Rezolve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Distributions on Ordinary Shares</w:t>
      </w:r>
    </w:p>
    <w:p>
      <w:pPr>
        <w:pStyle w:val="TextBody"/>
        <w:bidi w:val="0"/>
        <w:spacing w:before="120" w:after="283"/>
        <w:jc w:val="both"/>
        <w:rPr>
          <w:rFonts w:ascii="Times New Roman" w:hAnsi="Times New Roman"/>
          <w:sz w:val="20"/>
        </w:rPr>
      </w:pPr>
      <w:r>
        <w:rPr>
          <w:rFonts w:ascii="Times New Roman" w:hAnsi="Times New Roman"/>
          <w:color w:val="000000"/>
          <w:sz w:val="20"/>
        </w:rPr>
        <w:t>Subject to the discussion under the section entitled “</w:t>
      </w:r>
      <w:r>
        <w:rPr>
          <w:rFonts w:ascii="Times New Roman" w:hAnsi="Times New Roman"/>
          <w:i/>
          <w:color w:val="000000"/>
          <w:sz w:val="20"/>
        </w:rPr>
        <w:t>Material Tax Considerations - Material U.S. Federal Income Tax Considerations</w:t>
      </w:r>
      <w:r>
        <w:rPr>
          <w:rFonts w:ascii="Times New Roman" w:hAnsi="Times New Roman"/>
          <w:color w:val="000000"/>
          <w:sz w:val="20"/>
        </w:rPr>
        <w:t xml:space="preserve"> </w:t>
      </w:r>
      <w:r>
        <w:rPr>
          <w:rFonts w:ascii="Times New Roman" w:hAnsi="Times New Roman"/>
          <w:i/>
          <w:color w:val="000000"/>
          <w:sz w:val="20"/>
        </w:rPr>
        <w:t>- Passive Foreign Investment Company Rules</w:t>
      </w:r>
      <w:r>
        <w:rPr>
          <w:rFonts w:ascii="Times New Roman" w:hAnsi="Times New Roman"/>
          <w:color w:val="000000"/>
          <w:sz w:val="20"/>
        </w:rPr>
        <w:t>,” the gross amount of any distribution on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pStyle w:val="TextBody"/>
        <w:bidi w:val="0"/>
        <w:spacing w:before="240" w:after="283"/>
        <w:jc w:val="both"/>
        <w:rPr>
          <w:rFonts w:ascii="Times New Roman" w:hAnsi="Times New Roman"/>
          <w:sz w:val="20"/>
        </w:rPr>
      </w:pPr>
      <w:r>
        <w:rPr>
          <w:rFonts w:ascii="Times New Roman" w:hAnsi="Times New Roman"/>
          <w:color w:val="000000"/>
          <w:sz w:val="20"/>
        </w:rPr>
        <w:t>Subject to the discussion under the section entitled “</w:t>
      </w:r>
      <w:r>
        <w:rPr>
          <w:rFonts w:ascii="Times New Roman" w:hAnsi="Times New Roman"/>
          <w:i/>
          <w:color w:val="000000"/>
          <w:sz w:val="20"/>
        </w:rPr>
        <w:t>Material Tax Considerations - Material U.S. Federal Income Tax Considerations - Passive Foreign Investment Company Rules</w:t>
      </w:r>
      <w:r>
        <w:rPr>
          <w:rFonts w:ascii="Times New Roman" w:hAnsi="Times New Roman"/>
          <w:color w:val="000000"/>
          <w:sz w:val="20"/>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hAnsi="Times New Roman"/>
          <w:i/>
          <w:color w:val="000000"/>
          <w:sz w:val="20"/>
        </w:rPr>
        <w:t>Material Tax Considerations - Material U.S. Federal Income Tax Considerations - Passive Foreign Investment Company Rules.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Exchange, Redemption or Other Taxable Disposition of Ordinary Shares and Warrants</w:t>
      </w:r>
    </w:p>
    <w:p>
      <w:pPr>
        <w:pStyle w:val="TextBody"/>
        <w:bidi w:val="0"/>
        <w:spacing w:before="120" w:after="283"/>
        <w:jc w:val="both"/>
        <w:rPr>
          <w:rFonts w:ascii="Times New Roman" w:hAnsi="Times New Roman"/>
          <w:sz w:val="20"/>
        </w:rPr>
      </w:pPr>
      <w:r>
        <w:rPr>
          <w:rFonts w:ascii="Times New Roman" w:hAnsi="Times New Roman"/>
          <w:color w:val="000000"/>
          <w:sz w:val="20"/>
        </w:rPr>
        <w:t>Subject to the discussion under the section entitled “</w:t>
      </w:r>
      <w:r>
        <w:rPr>
          <w:rFonts w:ascii="Times New Roman" w:hAnsi="Times New Roman"/>
          <w:i/>
          <w:color w:val="000000"/>
          <w:sz w:val="20"/>
        </w:rPr>
        <w:t>Material Tax Considerations - Material U.S. Federal Income Tax Considerations - Passive Foreign Investment Company Rules</w:t>
      </w:r>
      <w:r>
        <w:rPr>
          <w:rFonts w:ascii="Times New Roman" w:hAnsi="Times New Roman"/>
          <w:color w:val="000000"/>
          <w:sz w:val="20"/>
        </w:rPr>
        <w:t xml:space="preserve">,”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limitations. Any gain or loss recognized by a U.S. holder on the sale or exchange of Ordinary Shares or Warrants generally will be treated as U.S. source gain or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Exercise or Lapse of a Warrant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Possible Constructive Distributions</w:t>
      </w:r>
    </w:p>
    <w:p>
      <w:pPr>
        <w:pStyle w:val="TextBody"/>
        <w:bidi w:val="0"/>
        <w:spacing w:before="120" w:after="283"/>
        <w:jc w:val="both"/>
        <w:rPr>
          <w:rFonts w:ascii="Times New Roman" w:hAnsi="Times New Roman"/>
          <w:sz w:val="20"/>
        </w:rPr>
      </w:pPr>
      <w:r>
        <w:rPr>
          <w:rFonts w:ascii="Times New Roman" w:hAnsi="Times New Roman"/>
          <w:color w:val="000000"/>
          <w:sz w:val="20"/>
        </w:rPr>
        <w:t>The terms of each Warrant provide for an adjustment to the number of Ordinary Shares for which the Warrant may be exercised or to the exercise price of the Warrant in certain events, as discussed in the section entitled “</w:t>
      </w:r>
      <w:r>
        <w:rPr>
          <w:rFonts w:ascii="Times New Roman" w:hAnsi="Times New Roman"/>
          <w:i/>
          <w:color w:val="000000"/>
          <w:sz w:val="20"/>
        </w:rPr>
        <w:t>Description of Rezolve Securities</w:t>
      </w:r>
      <w:r>
        <w:rPr>
          <w:rFonts w:ascii="Times New Roman" w:hAnsi="Times New Roman"/>
          <w:color w:val="000000"/>
          <w:sz w:val="20"/>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hAnsi="Times New Roman"/>
          <w:i/>
          <w:color w:val="000000"/>
          <w:sz w:val="20"/>
        </w:rPr>
        <w:t>Material Tax Considerations - Material U.S. Federal Income Tax Considerations - Distributions on Ordinary Shares.</w:t>
      </w:r>
      <w:r>
        <w:rPr>
          <w:rFonts w:ascii="Times New Roman" w:hAnsi="Times New Roman"/>
          <w:color w:val="000000"/>
          <w:sz w:val="20"/>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Passive Foreign Investment Company Rules</w:t>
      </w:r>
    </w:p>
    <w:p>
      <w:pPr>
        <w:pStyle w:val="TextBody"/>
        <w:bidi w:val="0"/>
        <w:spacing w:before="120" w:after="283"/>
        <w:jc w:val="both"/>
        <w:rPr>
          <w:rFonts w:ascii="Times New Roman" w:hAnsi="Times New Roman"/>
          <w:sz w:val="20"/>
        </w:rPr>
      </w:pPr>
      <w:r>
        <w:rPr>
          <w:rFonts w:ascii="Times New Roman" w:hAnsi="Times New Roman"/>
          <w:i/>
          <w:color w:val="000000"/>
          <w:sz w:val="20"/>
        </w:rPr>
        <w:t>Generally.</w:t>
      </w:r>
      <w:r>
        <w:rPr>
          <w:rFonts w:ascii="Times New Roman" w:hAnsi="Times New Roman"/>
          <w:color w:val="000000"/>
          <w:sz w:val="20"/>
        </w:rPr>
        <w:t xml:space="preserve"> The treatment of U.S. holders of the Ordinary Shares could be materially different from that described above if Rezolve is 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dividends paid by a PFIC are generally not eligible for the lower rates of taxation applicable to qualified dividend income (“QDI”) under any of the foregoing regimes.</w:t>
      </w:r>
    </w:p>
    <w:p>
      <w:pPr>
        <w:pStyle w:val="TextBody"/>
        <w:bidi w:val="0"/>
        <w:spacing w:before="240" w:after="283"/>
        <w:jc w:val="both"/>
        <w:rPr>
          <w:rFonts w:ascii="Times New Roman" w:hAnsi="Times New Roman"/>
          <w:sz w:val="20"/>
        </w:rPr>
      </w:pPr>
      <w:r>
        <w:rPr>
          <w:rFonts w:ascii="Times New Roman" w:hAnsi="Times New Roman"/>
          <w:i/>
          <w:color w:val="000000"/>
          <w:sz w:val="20"/>
        </w:rPr>
        <w:t>Excess Distribution Regime.</w:t>
      </w:r>
      <w:r>
        <w:rPr>
          <w:rFonts w:ascii="Times New Roman" w:hAnsi="Times New Roman"/>
          <w:color w:val="000000"/>
          <w:sz w:val="20"/>
        </w:rPr>
        <w:t xml:space="preserve"> If a U.S. holder does not make a mark-to-market election, as described below, the U.S. holder will be subject to the 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gain or excess distribution will be allocated ratably over the period during which the U.S. holder held Ordinary Shares;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amount allocated to the current taxable year, will be treated as ordinary income;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amount allocated to prior taxable years will be subject to the highest tax rate in effect for that taxable year and the interest charge generally applicable to underpayments of tax will be imposed on the resulting tax attributable to each such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pStyle w:val="TextBody"/>
        <w:bidi w:val="0"/>
        <w:spacing w:before="240" w:after="283"/>
        <w:jc w:val="both"/>
        <w:rPr>
          <w:rFonts w:ascii="Times New Roman" w:hAnsi="Times New Roman"/>
          <w:sz w:val="20"/>
        </w:rPr>
      </w:pPr>
      <w:r>
        <w:rPr>
          <w:rFonts w:ascii="Times New Roman" w:hAnsi="Times New Roman"/>
          <w:i/>
          <w:color w:val="000000"/>
          <w:sz w:val="20"/>
        </w:rPr>
        <w:t>Mark-to-Market Regime.</w:t>
      </w:r>
      <w:r>
        <w:rPr>
          <w:rFonts w:ascii="Times New Roman" w:hAnsi="Times New Roman"/>
          <w:color w:val="000000"/>
          <w:sz w:val="20"/>
        </w:rPr>
        <w:t xml:space="preserve"> Alternatively, a U.S. holder may make an election to mark marketable shares in a PFIC to market on an annual basis. 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pStyle w:val="TextBody"/>
        <w:bidi w:val="0"/>
        <w:spacing w:before="240" w:after="283"/>
        <w:jc w:val="both"/>
        <w:rPr>
          <w:rFonts w:ascii="Times New Roman" w:hAnsi="Times New Roman"/>
          <w:sz w:val="20"/>
        </w:rPr>
      </w:pPr>
      <w:r>
        <w:rPr>
          <w:rFonts w:ascii="Times New Roman" w:hAnsi="Times New Roman"/>
          <w:i/>
          <w:color w:val="000000"/>
          <w:sz w:val="20"/>
        </w:rPr>
        <w:t>QEF Regime.</w:t>
      </w:r>
      <w:r>
        <w:rPr>
          <w:rFonts w:ascii="Times New Roman" w:hAnsi="Times New Roman"/>
          <w:color w:val="000000"/>
          <w:sz w:val="20"/>
        </w:rPr>
        <w:t xml:space="preserve"> Alternatively, a U.S. holder of a PFIC may avoid the adverse PFIC tax consequences described above in respect of stock of the 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pStyle w:val="TextBody"/>
        <w:bidi w:val="0"/>
        <w:spacing w:before="240" w:after="283"/>
        <w:jc w:val="both"/>
        <w:rPr>
          <w:rFonts w:ascii="Times New Roman" w:hAnsi="Times New Roman"/>
          <w:sz w:val="20"/>
        </w:rPr>
      </w:pPr>
      <w:r>
        <w:rPr>
          <w:rFonts w:ascii="Times New Roman" w:hAnsi="Times New Roman"/>
          <w:i/>
          <w:color w:val="000000"/>
          <w:sz w:val="20"/>
        </w:rPr>
        <w:t>PFIC Reporting Requirements.</w:t>
      </w:r>
      <w:r>
        <w:rPr>
          <w:rFonts w:ascii="Times New Roman" w:hAnsi="Times New Roman"/>
          <w:color w:val="000000"/>
          <w:sz w:val="20"/>
        </w:rPr>
        <w:t xml:space="preserve"> A U.S. holder of Ordinary Shares will be required to file an annual report on IRS Form 8621 containing 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Additional Reporting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Reporting and Backup Withholding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1" w:name="plan_of_distribution"/>
      <w:bookmarkEnd w:id="21"/>
      <w:r>
        <w:rPr>
          <w:rFonts w:ascii="Times New Roman" w:hAnsi="Times New Roman"/>
          <w:b/>
          <w:caps/>
          <w:color w:val="000000"/>
          <w:sz w:val="20"/>
        </w:rPr>
        <w:t>PLAN OF DISTRIBUTION</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registering the issuance by us of up to 7,499,994 Ordinary Shares. We are also registering the resale, from time to time, by the Selling Holders or their permitted transferees of up to 156,515,540 Ordinary Shares, consisting of (i) 121,156,424 Ordinary Shares; (ii) 544,982 Ordinary Shares issuable in respect of the Private Warrants; (iii) 19,079,139 Ordinary Shares issuable upon conversion of the Convertible Notes; (iv) 15,207,479 Ordinary Shares issuable pursuant to the advanced subscription agreements; and (v) and 527,516 Ordinary Shares issuable upon the conversion of the Promissory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Selling Holders may offer and sell, from time to time, their respective Ordinary Shares or Resolve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on Nasdaq, in the over-the-counter market or on any other national securities exchange on which our securities are listed or traded;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directly to purchasers, including through a specific bidding, auction or other process, or in in privately negotiated transactions;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 one or more underwritten offerings;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 block trades in which a broker-dealer will attempt to sell the offered securities as agent but may purchase and resell a portion of the block as principal to facilitate the transaction;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through purchases by a broker-dealer as principal and resale by the broker-dealer for its account pursuant to this prospectus;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 ordinary brokerage transactions and transactions in which the broker solicits purchasers;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through the writing or settlement of options (including put or call options) or other hedging transactions, whether the options are listed on an options exchange or otherwise;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 short sales entered into after the effective date of the registration statement of which this prospectus is a part;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through agreements with broker-dealers to sell a specified number of the securities at a stipulated price per share or warrant;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by pledge to secured debts and other obligations;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to or through underwriters or agents;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 “at the market” or through market makers or into an existing market for the securities;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any other method permitted pursuant to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transfer our securities in other circumstances, in which case the transferees, pledgees or other successors in interest will be the selling beneficial owners for purposes of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Lock-Up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shareholders are subject to the transfer restrictions in the Investor Rights Agreement, which is incorporated by reference herein as Exhibit 4.7 to the registration statement of which this prospectus is a part, and the Lock-In Agreement, the form of which is incorporated by reference herein as Exhibits 4.8 to the registration statement of which this prospectus is a part.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00" w:after="283"/>
        <w:jc w:val="center"/>
        <w:rPr>
          <w:rFonts w:ascii="Times New Roman" w:hAnsi="Times New Roman"/>
          <w:b/>
          <w:caps/>
          <w:color w:val="000000"/>
          <w:sz w:val="20"/>
        </w:rPr>
      </w:pPr>
      <w:bookmarkStart w:id="22" w:name="expenses_related_to_this_ffering"/>
      <w:bookmarkEnd w:id="22"/>
      <w:r>
        <w:rPr>
          <w:rFonts w:ascii="Times New Roman" w:hAnsi="Times New Roman"/>
          <w:b/>
          <w:caps/>
          <w:color w:val="000000"/>
          <w:sz w:val="20"/>
        </w:rPr>
        <w:t>EXPENSES RELATED TO THIS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the fees and expenses payable by us in connection with the sale and distribution of the securities being registered hereby.</w:t>
      </w:r>
    </w:p>
    <w:tbl>
      <w:tblPr>
        <w:tblW w:w="6416" w:type="dxa"/>
        <w:jc w:val="left"/>
        <w:tblInd w:w="0" w:type="dxa"/>
        <w:tblLayout w:type="fixed"/>
        <w:tblCellMar>
          <w:top w:w="28" w:type="dxa"/>
          <w:left w:w="28" w:type="dxa"/>
          <w:bottom w:w="28" w:type="dxa"/>
          <w:right w:w="28" w:type="dxa"/>
        </w:tblCellMar>
      </w:tblPr>
      <w:tblGrid>
        <w:gridCol w:w="4906"/>
        <w:gridCol w:w="109"/>
        <w:gridCol w:w="211"/>
        <w:gridCol w:w="1036"/>
        <w:gridCol w:w="154"/>
      </w:tblGrid>
      <w:tr>
        <w:trPr/>
        <w:tc>
          <w:tcPr>
            <w:tcW w:w="4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224,719.14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 and expenses Accounting fees and expenses</w:t>
              <w:br/>
              <w:t>   Transfer agent fees and expenses Miscellaneous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 These fees are calculated based on the securities offered and the number of issuances and accordingly cannot be defined at this time.</w:t>
      </w:r>
    </w:p>
    <w:p>
      <w:pPr>
        <w:pStyle w:val="TextBody"/>
        <w:bidi w:val="0"/>
        <w:spacing w:before="200" w:after="283"/>
        <w:jc w:val="center"/>
        <w:rPr>
          <w:rFonts w:ascii="Times New Roman" w:hAnsi="Times New Roman"/>
          <w:b/>
          <w:caps/>
          <w:color w:val="000000"/>
          <w:sz w:val="20"/>
        </w:rPr>
      </w:pPr>
      <w:bookmarkStart w:id="23" w:name="legal_matters"/>
      <w:bookmarkEnd w:id="23"/>
      <w:r>
        <w:rPr>
          <w:rFonts w:ascii="Times New Roman" w:hAnsi="Times New Roman"/>
          <w:b/>
          <w:caps/>
          <w:color w:val="000000"/>
          <w:sz w:val="20"/>
        </w:rPr>
        <w:t>LEGAL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DLA Piper LLP, New York, New York, and Taylor Wessing LLP, have passed upon the validity of the securities of Rezolve AI plc (formerly Rezolve AI Limited) offered by this prospectus and certain other legal matters related to this prospectus.</w:t>
      </w:r>
    </w:p>
    <w:p>
      <w:pPr>
        <w:pStyle w:val="TextBody"/>
        <w:bidi w:val="0"/>
        <w:spacing w:before="200" w:after="283"/>
        <w:jc w:val="center"/>
        <w:rPr>
          <w:rFonts w:ascii="Times New Roman" w:hAnsi="Times New Roman"/>
          <w:b/>
          <w:caps/>
          <w:color w:val="000000"/>
          <w:sz w:val="20"/>
        </w:rPr>
      </w:pPr>
      <w:bookmarkStart w:id="24" w:name="experts"/>
      <w:bookmarkEnd w:id="24"/>
      <w:r>
        <w:rPr>
          <w:rFonts w:ascii="Times New Roman" w:hAnsi="Times New Roman"/>
          <w:b/>
          <w:caps/>
          <w:color w:val="000000"/>
          <w:sz w:val="20"/>
        </w:rPr>
        <w:t>EXPERTS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pStyle w:val="TextBody"/>
        <w:bidi w:val="0"/>
        <w:spacing w:before="200" w:after="283"/>
        <w:jc w:val="center"/>
        <w:rPr>
          <w:rFonts w:ascii="Times New Roman" w:hAnsi="Times New Roman"/>
          <w:b/>
          <w:caps/>
          <w:color w:val="000000"/>
          <w:sz w:val="20"/>
        </w:rPr>
      </w:pPr>
      <w:bookmarkStart w:id="25" w:name="enforceability_of_civil_liability"/>
      <w:bookmarkEnd w:id="25"/>
      <w:r>
        <w:rPr>
          <w:rFonts w:ascii="Times New Roman" w:hAnsi="Times New Roman"/>
          <w:b/>
          <w:caps/>
          <w:color w:val="000000"/>
          <w:sz w:val="20"/>
        </w:rPr>
        <w:t>ENFORCEABILITY OF CIVIL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pStyle w:val="TextBody"/>
        <w:bidi w:val="0"/>
        <w:spacing w:before="200" w:after="283"/>
        <w:jc w:val="center"/>
        <w:rPr>
          <w:rFonts w:ascii="Times New Roman" w:hAnsi="Times New Roman"/>
          <w:b/>
          <w:caps/>
          <w:color w:val="000000"/>
          <w:sz w:val="20"/>
        </w:rPr>
      </w:pPr>
      <w:bookmarkStart w:id="26" w:name="where_you_can_find_more_information"/>
      <w:bookmarkEnd w:id="26"/>
      <w:r>
        <w:rPr>
          <w:rFonts w:ascii="Times New Roman" w:hAnsi="Times New Roman"/>
          <w:b/>
          <w:caps/>
          <w:color w:val="000000"/>
          <w:sz w:val="20"/>
        </w:rPr>
        <w:t>WHERE YOU CAN FIND MORE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REZOLVE AI plc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As of and for the years ended December 31, 2024 and 2023</w:t>
      </w:r>
    </w:p>
    <w:p>
      <w:pPr>
        <w:pStyle w:val="TextBody"/>
        <w:bidi w:val="0"/>
        <w:jc w:val="center"/>
        <w:rPr/>
      </w:pPr>
      <w:r>
        <w:rPr/>
        <w:t> </w:t>
      </w:r>
    </w:p>
    <w:p>
      <w:pPr>
        <w:pStyle w:val="TextBody"/>
        <w:bidi w:val="0"/>
        <w:jc w:val="center"/>
        <w:rPr/>
      </w:pPr>
      <w:r>
        <w:rPr/>
        <w:t> </w:t>
      </w:r>
    </w:p>
    <w:tbl>
      <w:tblPr>
        <w:tblW w:w="8987" w:type="dxa"/>
        <w:jc w:val="left"/>
        <w:tblInd w:w="0" w:type="dxa"/>
        <w:tblLayout w:type="fixed"/>
        <w:tblCellMar>
          <w:top w:w="28" w:type="dxa"/>
          <w:left w:w="28" w:type="dxa"/>
          <w:bottom w:w="28" w:type="dxa"/>
          <w:right w:w="28" w:type="dxa"/>
        </w:tblCellMar>
      </w:tblPr>
      <w:tblGrid>
        <w:gridCol w:w="8566"/>
        <w:gridCol w:w="421"/>
      </w:tblGrid>
      <w:tr>
        <w:trPr/>
        <w:tc>
          <w:tcPr>
            <w:tcW w:w="85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80"/>
                  <w:sz w:val="20"/>
                  <w:u w:val="single"/>
                </w:rPr>
                <w:t>Report of Independent Registered Public Accounting Firm</w:t>
              </w:r>
            </w:hyperlink>
            <w:r>
              <w:rPr>
                <w:rFonts w:ascii="Times New Roman" w:hAnsi="Times New Roman"/>
                <w:color w:val="0000FF"/>
                <w:sz w:val="20"/>
                <w:u w:val="single"/>
              </w:rPr>
              <w:t> (PCAOB firm ID 606)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20f">
              <w:r>
                <w:rPr>
                  <w:rStyle w:val="InternetLink"/>
                  <w:rFonts w:ascii="Times New Roman" w:hAnsi="Times New Roman"/>
                  <w:color w:val="0000FF"/>
                  <w:sz w:val="20"/>
                  <w:u w:val="single"/>
                </w:rPr>
                <w:t>Consolidated Balance Sheets as of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perations_20f">
              <w:r>
                <w:rPr>
                  <w:rStyle w:val="InternetLink"/>
                  <w:rFonts w:ascii="Times New Roman" w:hAnsi="Times New Roman"/>
                  <w:color w:val="0000FF"/>
                  <w:sz w:val="20"/>
                  <w:u w:val="single"/>
                </w:rPr>
                <w:t>Consolidated Statements of Operations for the Years ended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rehensive">
              <w:r>
                <w:rPr>
                  <w:rStyle w:val="InternetLink"/>
                  <w:rFonts w:ascii="Times New Roman" w:hAnsi="Times New Roman"/>
                  <w:color w:val="0000FF"/>
                  <w:sz w:val="20"/>
                  <w:u w:val="single"/>
                </w:rPr>
                <w:t>Consolidated Statement of Comprehensive Loss for the Years ended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20f">
              <w:r>
                <w:rPr>
                  <w:rStyle w:val="InternetLink"/>
                  <w:rFonts w:ascii="Times New Roman" w:hAnsi="Times New Roman"/>
                  <w:color w:val="0000FF"/>
                  <w:sz w:val="20"/>
                  <w:u w:val="single"/>
                </w:rPr>
                <w:t>Consolidated Statements of Stockholders’ Deficit for the Years ended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20f">
              <w:r>
                <w:rPr>
                  <w:rStyle w:val="InternetLink"/>
                  <w:rFonts w:ascii="Times New Roman" w:hAnsi="Times New Roman"/>
                  <w:color w:val="0000FF"/>
                  <w:sz w:val="20"/>
                  <w:u w:val="single"/>
                </w:rPr>
                <w:t>Consolidated Statements of Cash Flows for the Years ended December 31, 2024 and December 31, 2023</w:t>
              </w:r>
            </w:hyperlink>
            <w:hyperlink w:anchor="cash_flows_20f">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nt">
              <w:r>
                <w:rPr>
                  <w:rStyle w:val="InternetLink"/>
                  <w:rFonts w:ascii="Times New Roman" w:hAnsi="Times New Roman"/>
                  <w:color w:val="0000FF"/>
                  <w:sz w:val="20"/>
                  <w:u w:val="single"/>
                </w:rPr>
                <w:t>Notes to the Consolidated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GROUPBY INC.</w:t>
      </w:r>
    </w:p>
    <w:p>
      <w:pPr>
        <w:pStyle w:val="TextBody"/>
        <w:bidi w:val="0"/>
        <w:jc w:val="center"/>
        <w:rPr>
          <w:rFonts w:ascii="Times New Roman" w:hAnsi="Times New Roman"/>
          <w:sz w:val="20"/>
        </w:rPr>
      </w:pPr>
      <w:r>
        <w:rPr>
          <w:rFonts w:ascii="Times New Roman" w:hAnsi="Times New Roman"/>
          <w:b/>
          <w:color w:val="000000"/>
          <w:sz w:val="20"/>
        </w:rPr>
        <w:t>Combined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As of and for the years ended December 31, 2024 and 2023</w:t>
      </w:r>
    </w:p>
    <w:p>
      <w:pPr>
        <w:pStyle w:val="TextBody"/>
        <w:bidi w:val="0"/>
        <w:jc w:val="center"/>
        <w:rPr/>
      </w:pPr>
      <w:r>
        <w:rPr/>
        <w:t> </w:t>
      </w:r>
    </w:p>
    <w:tbl>
      <w:tblPr>
        <w:tblW w:w="7284" w:type="dxa"/>
        <w:jc w:val="left"/>
        <w:tblInd w:w="0" w:type="dxa"/>
        <w:tblLayout w:type="fixed"/>
        <w:tblCellMar>
          <w:top w:w="28" w:type="dxa"/>
          <w:left w:w="28" w:type="dxa"/>
          <w:bottom w:w="28" w:type="dxa"/>
          <w:right w:w="28" w:type="dxa"/>
        </w:tblCellMar>
      </w:tblPr>
      <w:tblGrid>
        <w:gridCol w:w="6226"/>
        <w:gridCol w:w="146"/>
        <w:gridCol w:w="146"/>
        <w:gridCol w:w="766"/>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groupby_audit_mnp_report">
              <w:r>
                <w:rPr>
                  <w:rStyle w:val="InternetLink"/>
                  <w:rFonts w:ascii="Times New Roman" w:hAnsi="Times New Roman"/>
                  <w:color w:val="0000FF"/>
                  <w:sz w:val="20"/>
                  <w:u w:val="single"/>
                </w:rPr>
                <w:t>Independent Auditor's Report</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F-39</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Combined Consolidated Statement of Financial Position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F-41</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_operations">
              <w:r>
                <w:rPr>
                  <w:rStyle w:val="InternetLink"/>
                  <w:rFonts w:ascii="Times New Roman" w:hAnsi="Times New Roman"/>
                  <w:color w:val="0000FF"/>
                  <w:sz w:val="20"/>
                  <w:u w:val="single"/>
                </w:rPr>
                <w:t>Combined Consolidated Statements of Loss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F-42</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_changes_in">
              <w:r>
                <w:rPr>
                  <w:rStyle w:val="InternetLink"/>
                  <w:rFonts w:ascii="Times New Roman" w:hAnsi="Times New Roman"/>
                  <w:color w:val="0000FF"/>
                  <w:sz w:val="20"/>
                  <w:u w:val="single"/>
                </w:rPr>
                <w:t>Combined Consolidated Statements of Changes in Stockholders’ Deficit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F-43</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_cash_flows">
              <w:r>
                <w:rPr>
                  <w:rStyle w:val="InternetLink"/>
                  <w:rFonts w:ascii="Times New Roman" w:hAnsi="Times New Roman"/>
                  <w:color w:val="0000FF"/>
                  <w:sz w:val="20"/>
                  <w:u w:val="single"/>
                </w:rPr>
                <w:t>Combined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F-44</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financial_statements_">
              <w:r>
                <w:rPr>
                  <w:rStyle w:val="InternetLink"/>
                  <w:rFonts w:ascii="Times New Roman" w:hAnsi="Times New Roman"/>
                  <w:color w:val="0000FF"/>
                  <w:sz w:val="20"/>
                  <w:u w:val="single"/>
                </w:rPr>
                <w:t>Notes to Combined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F-45</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report_independent_registered_public_acc"/>
      <w:bookmarkEnd w:id="27"/>
      <w:r>
        <w:rPr>
          <w:rFonts w:ascii="Times New Roman" w:hAnsi="Times New Roman"/>
          <w:b/>
          <w:smallCaps/>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Board of Directors and Stockholders of Rezolve AI plc and Subsidiaries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12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Grassi &amp; Co., CPAs, P.C.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Jericho, New York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April 23,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28" w:name="balance_sheet_20f"/>
      <w:bookmarkEnd w:id="28"/>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82"/>
        <w:gridCol w:w="199"/>
        <w:gridCol w:w="148"/>
        <w:gridCol w:w="1085"/>
        <w:gridCol w:w="166"/>
        <w:gridCol w:w="199"/>
        <w:gridCol w:w="148"/>
        <w:gridCol w:w="1085"/>
        <w:gridCol w:w="393"/>
      </w:tblGrid>
      <w:tr>
        <w:trPr/>
        <w:tc>
          <w:tcPr>
            <w:tcW w:w="67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Current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9,450,944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receivable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299,013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Derivative asset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current assets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13,020,647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321,988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Non-current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79,593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6,750,178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2,134,903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non-current assets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6,767,510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2,214,496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19,788,157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2,536,484</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Shareholders’ deficit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Current liabilities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7,303,060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4,569,703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Due to related party (refer to note 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777,576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 and other payables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9,513,932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4,492,790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Short term debt to related party (refer to note 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6,225,815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Short term convertible debt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10,288,123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31,088,259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Short term convertible debt to related party (refer to note 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132,269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Convertible promissory notes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6,428,825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Ordinary Shares Payable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8,223,928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Share-based payment liability</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1,311,028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Advisors loans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Derivative liabilities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current liabilities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57,784,739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56,821,368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57,784,739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56,821,368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Commitments</w:t>
            </w:r>
            <w:r>
              <w:rPr>
                <w:rFonts w:ascii="Times New Roman" w:hAnsi="Times New Roman"/>
                <w:color w:val="000000"/>
                <w:sz w:val="20"/>
              </w:rPr>
              <w:t> </w:t>
            </w:r>
            <w:r>
              <w:rPr>
                <w:rFonts w:ascii="Times New Roman" w:hAnsi="Times New Roman"/>
                <w:b/>
                <w:color w:val="000000"/>
                <w:sz w:val="18"/>
              </w:rPr>
              <w:t>(refer to note 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Shareholders’ deficit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Ordinary shares, £0.0001</w:t>
            </w:r>
            <w:r>
              <w:rPr>
                <w:rFonts w:ascii="Times New Roman" w:hAnsi="Times New Roman"/>
                <w:color w:val="000000"/>
                <w:sz w:val="20"/>
              </w:rPr>
              <w:t> </w:t>
            </w:r>
            <w:r>
              <w:rPr>
                <w:rFonts w:ascii="Times New Roman" w:hAnsi="Times New Roman"/>
                <w:color w:val="000000"/>
                <w:sz w:val="18"/>
              </w:rPr>
              <w:t>nominal value 208,260,754</w:t>
            </w:r>
            <w:r>
              <w:rPr>
                <w:rFonts w:ascii="Times New Roman" w:hAnsi="Times New Roman"/>
                <w:color w:val="000000"/>
                <w:sz w:val="20"/>
              </w:rPr>
              <w:t> </w:t>
            </w:r>
            <w:r>
              <w:rPr>
                <w:rFonts w:ascii="Times New Roman" w:hAnsi="Times New Roman"/>
                <w:color w:val="000000"/>
                <w:sz w:val="18"/>
              </w:rPr>
              <w:t>shares issued and outstanding as of December 31, 2024; 152,262,295</w:t>
            </w:r>
            <w:r>
              <w:rPr>
                <w:rFonts w:ascii="Times New Roman" w:hAnsi="Times New Roman"/>
                <w:color w:val="000000"/>
                <w:sz w:val="20"/>
              </w:rPr>
              <w:t> </w:t>
            </w:r>
            <w:r>
              <w:rPr>
                <w:rFonts w:ascii="Times New Roman" w:hAnsi="Times New Roman"/>
                <w:color w:val="000000"/>
                <w:sz w:val="18"/>
              </w:rPr>
              <w:t>shares issued and outstanding as of December 31, 2023; 256,365,817</w:t>
            </w:r>
            <w:r>
              <w:rPr>
                <w:rFonts w:ascii="Times New Roman" w:hAnsi="Times New Roman"/>
                <w:color w:val="000000"/>
                <w:sz w:val="20"/>
              </w:rPr>
              <w:t> </w:t>
            </w:r>
            <w:r>
              <w:rPr>
                <w:rFonts w:ascii="Times New Roman" w:hAnsi="Times New Roman"/>
                <w:color w:val="000000"/>
                <w:sz w:val="18"/>
              </w:rPr>
              <w:t>and 161,710,480</w:t>
            </w:r>
            <w:r>
              <w:rPr>
                <w:rFonts w:ascii="Times New Roman" w:hAnsi="Times New Roman"/>
                <w:color w:val="000000"/>
                <w:sz w:val="20"/>
              </w:rPr>
              <w:t> </w:t>
            </w:r>
            <w:r>
              <w:rPr>
                <w:rFonts w:ascii="Times New Roman" w:hAnsi="Times New Roman"/>
                <w:color w:val="000000"/>
                <w:sz w:val="18"/>
              </w:rPr>
              <w:t>shares authorized as of December 31, 2024 and 2023 (refer to note 2.19)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127,310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Series A shares, £0.0001</w:t>
            </w:r>
            <w:r>
              <w:rPr>
                <w:rFonts w:ascii="Times New Roman" w:hAnsi="Times New Roman"/>
                <w:color w:val="000000"/>
                <w:sz w:val="20"/>
              </w:rPr>
              <w:t> </w:t>
            </w:r>
            <w:r>
              <w:rPr>
                <w:rFonts w:ascii="Times New Roman" w:hAnsi="Times New Roman"/>
                <w:color w:val="000000"/>
                <w:sz w:val="18"/>
              </w:rPr>
              <w:t>nominal value 4,575,983</w:t>
            </w:r>
            <w:r>
              <w:rPr>
                <w:rFonts w:ascii="Times New Roman" w:hAnsi="Times New Roman"/>
                <w:color w:val="000000"/>
                <w:sz w:val="20"/>
              </w:rPr>
              <w:t> </w:t>
            </w:r>
            <w:r>
              <w:rPr>
                <w:rFonts w:ascii="Times New Roman" w:hAnsi="Times New Roman"/>
                <w:color w:val="000000"/>
                <w:sz w:val="18"/>
              </w:rPr>
              <w:t>shares issued, authorized and outstanding as of December 31, 2023 (refer to note 2.19)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194,062,767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172,204,832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 subscription receivable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(178,720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deficit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(232,075,815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(226,291,430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other comprehensive loss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(150,744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deficit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(37,996,582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(54,284,884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deficit</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19,788,157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2,536,484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29" w:name="operations_20f"/>
      <w:bookmarkEnd w:id="29"/>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3"/>
        <w:gridCol w:w="146"/>
        <w:gridCol w:w="218"/>
        <w:gridCol w:w="1245"/>
        <w:gridCol w:w="166"/>
        <w:gridCol w:w="146"/>
        <w:gridCol w:w="224"/>
        <w:gridCol w:w="1214"/>
        <w:gridCol w:w="393"/>
      </w:tblGrid>
      <w:tr>
        <w:trPr/>
        <w:tc>
          <w:tcPr>
            <w:tcW w:w="6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 (see note 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 expenses (including related party transactions of $1,011,119 and $2,072,224,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6,731,254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expenses (including related party transactions of $68,413,399 and $4,830,987, see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131,430,412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17,986,528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138,230,574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26,151,325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(138,042,786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(26,006,274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(4,666,416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(172,601,857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(30,672,690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(172,646,790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(30,736,098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162,855,146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151,256,853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bookmarkStart w:id="30" w:name="consolidated_statements_of_comprehensive"/>
      <w:bookmarkEnd w:id="30"/>
      <w:r>
        <w:rPr>
          <w:rFonts w:ascii="Times New Roman" w:hAnsi="Times New Roman"/>
          <w:b/>
          <w:color w:val="000000"/>
          <w:sz w:val="20"/>
        </w:rPr>
        <w:t>Consolidated Statements of Comprehensive Loss</w:t>
      </w:r>
    </w:p>
    <w:p>
      <w:pPr>
        <w:pStyle w:val="TextBody"/>
        <w:bidi w:val="0"/>
        <w:spacing w:before="40" w:after="283"/>
        <w:jc w:val="left"/>
        <w:rPr/>
      </w:pPr>
      <w:r>
        <w:rPr/>
        <w:t> </w:t>
      </w:r>
    </w:p>
    <w:tbl>
      <w:tblPr>
        <w:tblW w:w="6985" w:type="dxa"/>
        <w:jc w:val="left"/>
        <w:tblInd w:w="0" w:type="dxa"/>
        <w:tblLayout w:type="fixed"/>
        <w:tblCellMar>
          <w:top w:w="28" w:type="dxa"/>
          <w:left w:w="28" w:type="dxa"/>
          <w:bottom w:w="28" w:type="dxa"/>
          <w:right w:w="28" w:type="dxa"/>
        </w:tblCellMar>
      </w:tblPr>
      <w:tblGrid>
        <w:gridCol w:w="3316"/>
        <w:gridCol w:w="146"/>
        <w:gridCol w:w="224"/>
        <w:gridCol w:w="1276"/>
        <w:gridCol w:w="166"/>
        <w:gridCol w:w="146"/>
        <w:gridCol w:w="242"/>
        <w:gridCol w:w="1258"/>
        <w:gridCol w:w="2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(172,646,790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(172,506,316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(30,805,663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31" w:name="stockholders_equity_20f"/>
      <w:bookmarkEnd w:id="31"/>
      <w:r>
        <w:rPr>
          <w:rFonts w:ascii="Times New Roman" w:hAnsi="Times New Roman"/>
          <w:b/>
          <w:color w:val="000000"/>
          <w:sz w:val="20"/>
        </w:rPr>
        <w:t>Consolidated Statements of Stockholders’ Deficit</w:t>
      </w:r>
      <w:r>
        <w:rPr>
          <w:rFonts w:ascii="Times New Roman" w:hAnsi="Times New Roman"/>
          <w:color w:val="000000"/>
          <w:sz w:val="20"/>
        </w:rPr>
        <w:t xml:space="preserve"> </w:t>
      </w:r>
    </w:p>
    <w:p>
      <w:pPr>
        <w:pStyle w:val="TextBody"/>
        <w:bidi w:val="0"/>
        <w:jc w:val="left"/>
        <w:rPr/>
      </w:pPr>
      <w:r>
        <w:rPr/>
        <w:t> </w:t>
      </w:r>
    </w:p>
    <w:tbl>
      <w:tblPr>
        <w:tblW w:w="13389" w:type="dxa"/>
        <w:jc w:val="left"/>
        <w:tblInd w:w="0" w:type="dxa"/>
        <w:tblLayout w:type="fixed"/>
        <w:tblCellMar>
          <w:top w:w="28" w:type="dxa"/>
          <w:left w:w="28" w:type="dxa"/>
          <w:bottom w:w="28" w:type="dxa"/>
          <w:right w:w="28" w:type="dxa"/>
        </w:tblCellMar>
      </w:tblPr>
      <w:tblGrid>
        <w:gridCol w:w="1066"/>
        <w:gridCol w:w="146"/>
        <w:gridCol w:w="146"/>
        <w:gridCol w:w="841"/>
        <w:gridCol w:w="146"/>
        <w:gridCol w:w="146"/>
        <w:gridCol w:w="241"/>
        <w:gridCol w:w="146"/>
        <w:gridCol w:w="631"/>
        <w:gridCol w:w="151"/>
        <w:gridCol w:w="146"/>
        <w:gridCol w:w="146"/>
        <w:gridCol w:w="736"/>
        <w:gridCol w:w="151"/>
        <w:gridCol w:w="146"/>
        <w:gridCol w:w="241"/>
        <w:gridCol w:w="146"/>
        <w:gridCol w:w="481"/>
        <w:gridCol w:w="151"/>
        <w:gridCol w:w="146"/>
        <w:gridCol w:w="241"/>
        <w:gridCol w:w="146"/>
        <w:gridCol w:w="886"/>
        <w:gridCol w:w="151"/>
        <w:gridCol w:w="146"/>
        <w:gridCol w:w="241"/>
        <w:gridCol w:w="146"/>
        <w:gridCol w:w="886"/>
        <w:gridCol w:w="151"/>
        <w:gridCol w:w="146"/>
        <w:gridCol w:w="241"/>
        <w:gridCol w:w="146"/>
        <w:gridCol w:w="631"/>
        <w:gridCol w:w="151"/>
        <w:gridCol w:w="146"/>
        <w:gridCol w:w="241"/>
        <w:gridCol w:w="146"/>
        <w:gridCol w:w="631"/>
        <w:gridCol w:w="151"/>
        <w:gridCol w:w="146"/>
        <w:gridCol w:w="241"/>
        <w:gridCol w:w="146"/>
        <w:gridCol w:w="886"/>
        <w:gridCol w:w="19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A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w:t>
              <w:br/>
              <w:t>subscription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receivable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151,419,672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126,677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4,575,983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163,165,083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(195,555,332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(178,720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(81,179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(32,519,603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from exercise of share-options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in lieu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3,646,017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3,646,017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Employee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5,079,201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5,079,201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(30,736,098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(30,736,098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152,262,295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127,310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4,575,983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172,204,832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(226,291,430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(178,720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(150,744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(54,284,884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in lieu of cash payment for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304,137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304,152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 issued with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Recapitalization upon demerger of Rezolve Limited to Rezolve AI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4,575,983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(4,575,983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(176,274,941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176,207,457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178,720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 employees shares restrictions lifted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18,834,889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18,836,099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63,001,392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63,001,392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4,314,649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4,314,649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payments for consultancy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217,365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in lieu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ordinary shares upon acquisition of Armada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5,826,796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(9,345,052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(9,344,318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574,993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advisors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1,930,036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17,949,335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17,949,589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16,241,547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16,242,944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under the rights issue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9,009,884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9,011,193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senior secured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12,035,025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52,399,823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52,401,332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convertible promissory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4,310,208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14,008,078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14,008,437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(172,646,790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(172,646,790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140,474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140,474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208,260,754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26,816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194,062,767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(232,075,815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(10,270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(37,996,582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32" w:name="cash_flows_20f"/>
      <w:bookmarkEnd w:id="32"/>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spacing w:before="40" w:after="283"/>
        <w:jc w:val="center"/>
        <w:rPr/>
      </w:pPr>
      <w:r>
        <w:rPr/>
        <w:t> </w:t>
      </w:r>
    </w:p>
    <w:tbl>
      <w:tblPr>
        <w:tblW w:w="9870" w:type="dxa"/>
        <w:jc w:val="left"/>
        <w:tblInd w:w="0" w:type="dxa"/>
        <w:tblLayout w:type="fixed"/>
        <w:tblCellMar>
          <w:top w:w="28" w:type="dxa"/>
          <w:left w:w="28" w:type="dxa"/>
          <w:bottom w:w="28" w:type="dxa"/>
          <w:right w:w="28" w:type="dxa"/>
        </w:tblCellMar>
      </w:tblPr>
      <w:tblGrid>
        <w:gridCol w:w="5721"/>
        <w:gridCol w:w="196"/>
        <w:gridCol w:w="180"/>
        <w:gridCol w:w="1320"/>
        <w:gridCol w:w="166"/>
        <w:gridCol w:w="196"/>
        <w:gridCol w:w="195"/>
        <w:gridCol w:w="1305"/>
        <w:gridCol w:w="591"/>
      </w:tblGrid>
      <w:tr>
        <w:trPr/>
        <w:tc>
          <w:tcPr>
            <w:tcW w:w="5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(172,646,790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(30,736,098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loans receivable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1,156,316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 employees shares restrictions lifted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18,836,099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based compensation for employees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5,079,201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based compensation issued to related parties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3,646,017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based compensation for consultancy services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Ordinary shares issued in lieu of cash payment for 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Advisor loan issued for services - Northlands Securities (refer to note 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Advisor loan issued for services - J.V.B. Financial Group (refer to note 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Advisor loan issued for services- Cantor Fitzgerald (refer to note 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4,791,782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foreign exchange (gain)/loss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operating assets and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accounts receivable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prepaid expense and other current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accounts payable, accrued expenses and other payables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2,310,465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payables due to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552,456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(21,642,715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(13,001,875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Development of intangible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(3,523,852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(1,767,148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(3,528,626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(1,781,524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merger with Armada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rights issuance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7,767,674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short-term debt from related party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4,369,413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short-term debt obligation from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convertible promissory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11,859,249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promissory notes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promissory notes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to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of rights issue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ordinary shares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16,444,773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warrants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long-term debt obligation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flow generated from financing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34,585,896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14,712,061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change in 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9,440,503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 beginning of year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year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9,450,944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10,441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Share-based payment for development of intangible asset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for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interest payable converted to principal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4,040,989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jc w:val="center"/>
        <w:rPr/>
      </w:pPr>
      <w:bookmarkStart w:id="33" w:name="notes_to_consolidated_financial_statemnt"/>
      <w:bookmarkEnd w:id="33"/>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0"/>
        </w:rPr>
        <w:t>Organization</w:t>
      </w:r>
      <w:r>
        <w:rPr>
          <w:color w:val="000000"/>
        </w:rPr>
        <w:t xml:space="preserve"> </w:t>
      </w:r>
      <w:r>
        <w:rPr>
          <w:rFonts w:ascii="Times New Roman" w:hAnsi="Times New Roman"/>
          <w:b/>
          <w:color w:val="000000"/>
          <w:sz w:val="20"/>
        </w:rPr>
        <w:t xml:space="preserve">and nature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Rezolve is a mobile commerce and engagement platform that enables retailers and brands to deliver rich and engaging mobile experiences to consumers. The mailing address of Rezolve’s registered office is 21 Sackville Street, London, W1S 3DN, United Kingdom. </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Basis of presentation and summary of significant accounting policies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accounting purposes the Business Combination, accounted for as a reverse merger, was treated as the equivalent of Rezolve AI plc issuing 5,827,796 ordinary shares to acquire the net liabilities of Armada. The excess amount paid by an investor over the par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liabilities of Armada are recorded at their acquisition-date fair value in the Consolidated Financial Statements as follows:</w:t>
      </w:r>
    </w:p>
    <w:p>
      <w:pPr>
        <w:pStyle w:val="TextBody"/>
        <w:bidi w:val="0"/>
        <w:spacing w:before="240" w:after="283"/>
        <w:jc w:val="left"/>
        <w:rPr/>
      </w:pPr>
      <w:r>
        <w:rPr/>
        <w:t> </w:t>
      </w:r>
    </w:p>
    <w:tbl>
      <w:tblPr>
        <w:tblW w:w="4935" w:type="dxa"/>
        <w:jc w:val="left"/>
        <w:tblInd w:w="0" w:type="dxa"/>
        <w:tblLayout w:type="fixed"/>
        <w:tblCellMar>
          <w:top w:w="28" w:type="dxa"/>
          <w:left w:w="28" w:type="dxa"/>
          <w:bottom w:w="28" w:type="dxa"/>
          <w:right w:w="28" w:type="dxa"/>
        </w:tblCellMar>
      </w:tblPr>
      <w:tblGrid>
        <w:gridCol w:w="3376"/>
        <w:gridCol w:w="211"/>
        <w:gridCol w:w="146"/>
        <w:gridCol w:w="99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(4,873,019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(promissory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(1,499,936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liabilities acquired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(9,345,052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Deficit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(9,345,052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Consolidated Financial Statements of Rezolve AI plc and subsidiaries have been prepared on the following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hAnsi="Times New Roman"/>
          <w:i/>
          <w:color w:val="000000"/>
          <w:sz w:val="20"/>
        </w:rPr>
        <w:t>Staff Accounting Bulletin Topic 1-B1, Costs Reflected in Historical Financial Statements</w:t>
      </w:r>
      <w:r>
        <w:rPr>
          <w:rFonts w:ascii="Times New Roman" w:hAnsi="Times New Roman"/>
          <w:color w:val="000000"/>
          <w:sz w:val="20"/>
        </w:rPr>
        <w:t xml:space="preserve"> (“SAB 1-B1”). Management asserts that this method used is reasonable.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intercompany balances and transactions have been eliminated.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list of subsidiaries and Rezolve AI plc’s holding as of December 31, 2024 and 2023 is as follows: </w:t>
      </w:r>
    </w:p>
    <w:p>
      <w:pPr>
        <w:pStyle w:val="TextBody"/>
        <w:bidi w:val="0"/>
        <w:jc w:val="left"/>
        <w:rPr/>
      </w:pPr>
      <w:r>
        <w:rPr/>
        <w:t> </w:t>
      </w:r>
    </w:p>
    <w:tbl>
      <w:tblPr>
        <w:tblW w:w="9037" w:type="dxa"/>
        <w:jc w:val="left"/>
        <w:tblInd w:w="0" w:type="dxa"/>
        <w:tblLayout w:type="fixed"/>
        <w:tblCellMar>
          <w:top w:w="28" w:type="dxa"/>
          <w:left w:w="28" w:type="dxa"/>
          <w:bottom w:w="28" w:type="dxa"/>
          <w:right w:w="28" w:type="dxa"/>
        </w:tblCellMar>
      </w:tblPr>
      <w:tblGrid>
        <w:gridCol w:w="3721"/>
        <w:gridCol w:w="146"/>
        <w:gridCol w:w="1681"/>
        <w:gridCol w:w="146"/>
        <w:gridCol w:w="2116"/>
        <w:gridCol w:w="146"/>
        <w:gridCol w:w="108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the 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Group</w:t>
              <w:br/>
              <w:t>shareholding</w:t>
              <w:b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Taiwan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9, 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Taiwan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Technology (India)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Mobile Commerce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Technology S.L.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25,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AI IP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Armada Acquisition Corp.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Consolidated Financial Statements have been prepared using the United Stated Dollar ($) as its reporting currency.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additional capital through the issuance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Generating revenue by execution of successful trials and long-term partner arrangements.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generate revenue from our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Assumptions underlying the Company’s business plan are highly sensitive to the signing of revenue generating contracts, the successful outcome of trials for our services and the ability to control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Foreign currency translation and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Accounts receivable, net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of acquisition less accumulated depreciation and accumulated impairment provisions, however, there have been no indicators identified during the reporting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on property and equipment is charged to expense on a systematic basis over the useful life of assets as estimated by the management. Depreciation is computed using the straight-line method. The useful lives estimated by the management are as follows: </w:t>
      </w:r>
    </w:p>
    <w:p>
      <w:pPr>
        <w:pStyle w:val="TextBody"/>
        <w:bidi w:val="0"/>
        <w:jc w:val="left"/>
        <w:rPr/>
      </w:pPr>
      <w:r>
        <w:rPr/>
        <w:t> </w:t>
      </w:r>
    </w:p>
    <w:tbl>
      <w:tblPr>
        <w:tblW w:w="2548" w:type="dxa"/>
        <w:jc w:val="left"/>
        <w:tblInd w:w="0" w:type="dxa"/>
        <w:tblLayout w:type="fixed"/>
        <w:tblCellMar>
          <w:top w:w="28" w:type="dxa"/>
          <w:left w:w="28" w:type="dxa"/>
          <w:bottom w:w="28" w:type="dxa"/>
          <w:right w:w="28" w:type="dxa"/>
        </w:tblCellMar>
      </w:tblPr>
      <w:tblGrid>
        <w:gridCol w:w="1531"/>
        <w:gridCol w:w="146"/>
        <w:gridCol w:w="87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Repairs and maintenance of property and equipment are expensed as incurred; enhancements and improvements that extend the life of property and equipment are capitalized into their cost.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Intangible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consist of computer software and internal-use software. </w:t>
      </w:r>
    </w:p>
    <w:p>
      <w:pPr>
        <w:pStyle w:val="TextBody"/>
        <w:bidi w:val="0"/>
        <w:spacing w:before="360" w:after="283"/>
        <w:jc w:val="left"/>
        <w:rPr>
          <w:rFonts w:ascii="Times New Roman" w:hAnsi="Times New Roman"/>
          <w:sz w:val="20"/>
        </w:rPr>
      </w:pPr>
      <w:r>
        <w:rPr>
          <w:rFonts w:ascii="Times New Roman" w:hAnsi="Times New Roman"/>
          <w:i/>
          <w:color w:val="000000"/>
          <w:sz w:val="20"/>
        </w:rPr>
        <w:t>Computer 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useful lives of computer software assets as estimated by management are summarized as follows: </w:t>
      </w:r>
    </w:p>
    <w:p>
      <w:pPr>
        <w:pStyle w:val="TextBody"/>
        <w:bidi w:val="0"/>
        <w:jc w:val="left"/>
        <w:rPr/>
      </w:pPr>
      <w:r>
        <w:rPr/>
        <w:t> </w:t>
      </w:r>
    </w:p>
    <w:tbl>
      <w:tblPr>
        <w:tblW w:w="1843" w:type="dxa"/>
        <w:jc w:val="left"/>
        <w:tblInd w:w="0" w:type="dxa"/>
        <w:tblLayout w:type="fixed"/>
        <w:tblCellMar>
          <w:top w:w="28" w:type="dxa"/>
          <w:left w:w="28" w:type="dxa"/>
          <w:bottom w:w="28" w:type="dxa"/>
          <w:right w:w="28" w:type="dxa"/>
        </w:tblCellMar>
      </w:tblPr>
      <w:tblGrid>
        <w:gridCol w:w="826"/>
        <w:gridCol w:w="146"/>
        <w:gridCol w:w="87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Internal-use 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 of the asset may not be fully recoverable. There were no indicators of impairment for internal-use software as of December 31, 2024 and December 31, 2023 and the years then ended.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Impairment of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indicators of impairment for any of the long-lived assets as of December 31, 2024 and December 31, 2023 and the years then ended.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Convertible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Convertible notes are regarded as hybrid instruments, consisting of a liability component and an equity component.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considers the impact, if any, of the dilutive effect of the shares of its common stock issuable upon conversion of the outstanding convertible debt in its diluted income per share, see note 2.20.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Deferred financing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Revenue recognition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ASC 606, the Company determines revenue recognition through the following steps: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contract, or contracts, with the customer;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performance obligations in the contract;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Determining the transaction price;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Allocating the transaction price to performance obligations in the contract;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Recognizing revenue when, or as, the Company satisfies performance obligations by transferring the promised goods or services. </w:t>
      </w:r>
    </w:p>
    <w:p>
      <w:pPr>
        <w:pStyle w:val="TextBody"/>
        <w:bidi w:val="0"/>
        <w:spacing w:before="360" w:after="283"/>
        <w:jc w:val="left"/>
        <w:rPr>
          <w:rFonts w:ascii="Times New Roman" w:hAnsi="Times New Roman"/>
          <w:sz w:val="20"/>
        </w:rPr>
      </w:pPr>
      <w:r>
        <w:rPr>
          <w:rFonts w:ascii="Times New Roman" w:hAnsi="Times New Roman"/>
          <w:i/>
          <w:color w:val="000000"/>
          <w:sz w:val="20"/>
        </w:rPr>
        <w:t>Ticketing Commissions (Spain)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single source of revenue is for the commission from sales of football tickets for La Liga in Spain through our platform technology. La Liga pays a commission for each football ticket sold through our platform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is recognized in accordance with ASC 606 “Revenue from Contracts with Customers” at the point in time when a football ticket is sold on our platform technology.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Cost of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consists of expenses incurred directly in relation to the earning of revenues such as partner’s fees and the impairment of current assets (see note 2.11).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Operating segments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Company operates as one operating segment, financial data provided in the consolidated financial statements, including total revenues of $187,788 (2023:$145,051), total operating expenses of $138,230,574 (2023:$26,151,325), consolidated net loss of $172,646,790 (2023: $30,736,098), and total assets of $19,788,157 (2023: $2,536,484), represent the performance of our single reportable segment. The consolidated statements of operations reflect the same level of significant expense categories regularly provided to the CODM for decision-making purposes. Sales and marketing expenses reported in the consolidated statements of operations includes advertising expenses, payroll expenses, and consultancy charges (see note 12). General and administrative expenses reported in the consolidated statements of operations includes IT expenses, legal and professional expenses, payroll expenses and consultancy charges (see note 12).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does not review segment assets at a different level or category than those disclosed in the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Research and development credits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 in our statements of operations on a over the requisite service periods. The Company elected to recognize the effect of forfeitures in the period that they occur.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Shareholders’ deficit and reserves </w:t>
      </w:r>
    </w:p>
    <w:p>
      <w:pPr>
        <w:pStyle w:val="TextBody"/>
        <w:bidi w:val="0"/>
        <w:spacing w:before="120" w:after="283"/>
        <w:jc w:val="left"/>
        <w:rPr>
          <w:rFonts w:ascii="Times New Roman" w:hAnsi="Times New Roman"/>
          <w:sz w:val="20"/>
        </w:rPr>
      </w:pPr>
      <w:r>
        <w:rPr>
          <w:rFonts w:ascii="Times New Roman" w:hAnsi="Times New Roman"/>
          <w:b/>
          <w:color w:val="000000"/>
          <w:sz w:val="20"/>
        </w:rPr>
        <w:t>Authorized and Outstanding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authorized and outstanding shares as of December 31, 2024 and December 31, 2023 as are follows, reflecting the impact of the Pre-Closing Demerger transaction whereby one share in Rezolve AI plc was issued to shareholders of Rezolve Limited for each 6.13 shares held (see note 2.1):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Ordinary shares: £0.0001 nominal value 208,260,754 shares issued and outstanding as of December 31, 2024; 152,262,295 shares issued and outstanding as of December 31, 2023; 256,365,817 and 161,710,480 shares authorized as of December 31, 2024 and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Series A shares: £0.0001 nominal value 4,575,983 shares issued, authorized and outstanding as of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Fair value measurement and concentration of credit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1—Inputs are quoted prices (unadjusted) in active markets for identical assets or liabilities that the Company has the ability to access at the measurement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3—Inputs are unobservable inputs for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in the fair value hierarchy within which a fair value measurement in its entirety falls is based on the lowest-level input that is significant to the fair value measurement in its entirety.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measurement at reporting date: </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211"/>
        <w:gridCol w:w="631"/>
        <w:gridCol w:w="211"/>
        <w:gridCol w:w="146"/>
        <w:gridCol w:w="931"/>
        <w:gridCol w:w="146"/>
        <w:gridCol w:w="211"/>
        <w:gridCol w:w="146"/>
        <w:gridCol w:w="93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fair value of the share-based payment liability was valued using a discounted cash flow method using a risk adjusted discount rate of 10.8%. See note 7.5.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Senior secured convertible notes (note 7.3);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YA notes (note 7.6);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Promissory notes (note 7.6)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of the Company’s cash, accounts receivable, accounts payable and accrued expenses approximated their fair values due to their short term to maturity.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Accounts payable include balances for work incurred by third parties for the benefit of the company. At December 31, 2024 and 2023, the following vendors represented more than 10% of total accounts payable. </w:t>
      </w:r>
    </w:p>
    <w:p>
      <w:pPr>
        <w:pStyle w:val="TextBody"/>
        <w:bidi w:val="0"/>
        <w:jc w:val="left"/>
        <w:rPr/>
      </w:pPr>
      <w:r>
        <w:rPr/>
        <w:t> </w:t>
      </w:r>
    </w:p>
    <w:tbl>
      <w:tblPr>
        <w:tblW w:w="6278" w:type="dxa"/>
        <w:jc w:val="left"/>
        <w:tblInd w:w="0" w:type="dxa"/>
        <w:tblLayout w:type="fixed"/>
        <w:tblCellMar>
          <w:top w:w="28" w:type="dxa"/>
          <w:left w:w="28" w:type="dxa"/>
          <w:bottom w:w="28" w:type="dxa"/>
          <w:right w:w="28" w:type="dxa"/>
        </w:tblCellMar>
      </w:tblPr>
      <w:tblGrid>
        <w:gridCol w:w="2941"/>
        <w:gridCol w:w="146"/>
        <w:gridCol w:w="1215"/>
        <w:gridCol w:w="285"/>
        <w:gridCol w:w="146"/>
        <w:gridCol w:w="1214"/>
        <w:gridCol w:w="33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DLA Piper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Donnelley Financial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KPMG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Taylor Wessing LLP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Wilson Sonsini Goodrich &amp; Rosati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Revenue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operating losses in most of the geographies where the Company operates, we concluded that our deferred tax assets on unutilized tax losses were not more likely than not to be realized in the future and a full valuation allowance has been recorded.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Loss and earnings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potential shares of ordinary shares outstanding that were excluded from the computation of diluted net loss per share of ordinary shares as of the periods presented because including them would have been antidilutive: </w:t>
      </w:r>
    </w:p>
    <w:p>
      <w:pPr>
        <w:pStyle w:val="TextBody"/>
        <w:bidi w:val="0"/>
        <w:jc w:val="left"/>
        <w:rPr/>
      </w:pPr>
      <w:r>
        <w:rPr/>
        <w:t> </w:t>
      </w:r>
    </w:p>
    <w:tbl>
      <w:tblPr>
        <w:tblW w:w="6150" w:type="dxa"/>
        <w:jc w:val="left"/>
        <w:tblInd w:w="0" w:type="dxa"/>
        <w:tblLayout w:type="fixed"/>
        <w:tblCellMar>
          <w:top w:w="28" w:type="dxa"/>
          <w:left w:w="28" w:type="dxa"/>
          <w:bottom w:w="28" w:type="dxa"/>
          <w:right w:w="28" w:type="dxa"/>
        </w:tblCellMar>
      </w:tblPr>
      <w:tblGrid>
        <w:gridCol w:w="2521"/>
        <w:gridCol w:w="146"/>
        <w:gridCol w:w="185"/>
        <w:gridCol w:w="1315"/>
        <w:gridCol w:w="146"/>
        <w:gridCol w:w="146"/>
        <w:gridCol w:w="185"/>
        <w:gridCol w:w="1315"/>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payable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3,521,846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2,335,092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48,042,040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13,013,845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Recently issued and adopted accounting pronouncements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Accounting Standards Update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ASU 2023-09 requires additional disclosures related to rate reconciliation, income taxes paid, and other disclosures. Under 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 basis with an option to apply the standard retrospectively. Early adoption is permitted. The Company is currently evaluating the impact of ASU 2023-09 on its consolidated financial statements and related disclosures.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Accounting Standards Update 2023-07, </w:t>
      </w:r>
      <w:r>
        <w:rPr>
          <w:rFonts w:ascii="Times New Roman" w:hAnsi="Times New Roman"/>
          <w:i/>
          <w:color w:val="000000"/>
          <w:sz w:val="20"/>
        </w:rPr>
        <w:t>Segment Reporting—Improvements to Reportable Segment Disclosures</w:t>
      </w:r>
      <w:r>
        <w:rPr>
          <w:rFonts w:ascii="Times New Roman" w:hAnsi="Times New Roman"/>
          <w:color w:val="000000"/>
          <w:sz w:val="20"/>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Prepayments and other current assets </w:t>
      </w:r>
    </w:p>
    <w:p>
      <w:pPr>
        <w:pStyle w:val="TextBody"/>
        <w:bidi w:val="0"/>
        <w:jc w:val="left"/>
        <w:rPr/>
      </w:pPr>
      <w:r>
        <w:rPr/>
        <w:t> </w:t>
      </w:r>
    </w:p>
    <w:tbl>
      <w:tblPr>
        <w:tblW w:w="7020" w:type="dxa"/>
        <w:jc w:val="left"/>
        <w:tblInd w:w="0" w:type="dxa"/>
        <w:tblLayout w:type="fixed"/>
        <w:tblCellMar>
          <w:top w:w="28" w:type="dxa"/>
          <w:left w:w="28" w:type="dxa"/>
          <w:bottom w:w="28" w:type="dxa"/>
          <w:right w:w="28" w:type="dxa"/>
        </w:tblCellMar>
      </w:tblPr>
      <w:tblGrid>
        <w:gridCol w:w="3391"/>
        <w:gridCol w:w="146"/>
        <w:gridCol w:w="278"/>
        <w:gridCol w:w="192"/>
        <w:gridCol w:w="1030"/>
        <w:gridCol w:w="146"/>
        <w:gridCol w:w="146"/>
        <w:gridCol w:w="278"/>
        <w:gridCol w:w="192"/>
        <w:gridCol w:w="1030"/>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government authorities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960,848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299,013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Property and equipment, net </w:t>
      </w:r>
    </w:p>
    <w:p>
      <w:pPr>
        <w:pStyle w:val="TextBody"/>
        <w:bidi w:val="0"/>
        <w:jc w:val="left"/>
        <w:rPr/>
      </w:pPr>
      <w:r>
        <w:rPr/>
        <w:t> </w:t>
      </w:r>
    </w:p>
    <w:tbl>
      <w:tblPr>
        <w:tblW w:w="6912" w:type="dxa"/>
        <w:jc w:val="left"/>
        <w:tblInd w:w="0" w:type="dxa"/>
        <w:tblLayout w:type="fixed"/>
        <w:tblCellMar>
          <w:top w:w="28" w:type="dxa"/>
          <w:left w:w="28" w:type="dxa"/>
          <w:bottom w:w="28" w:type="dxa"/>
          <w:right w:w="28" w:type="dxa"/>
        </w:tblCellMar>
      </w:tblPr>
      <w:tblGrid>
        <w:gridCol w:w="2821"/>
        <w:gridCol w:w="146"/>
        <w:gridCol w:w="211"/>
        <w:gridCol w:w="222"/>
        <w:gridCol w:w="1278"/>
        <w:gridCol w:w="166"/>
        <w:gridCol w:w="146"/>
        <w:gridCol w:w="211"/>
        <w:gridCol w:w="222"/>
        <w:gridCol w:w="1278"/>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79,593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for the years ended December 31, 2024 and 2023 was $41,673 and $44,556 respectively.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Intangible assets, net </w:t>
      </w:r>
    </w:p>
    <w:p>
      <w:pPr>
        <w:pStyle w:val="TextBody"/>
        <w:bidi w:val="0"/>
        <w:jc w:val="left"/>
        <w:rPr/>
      </w:pPr>
      <w:r>
        <w:rPr/>
        <w:t> </w:t>
      </w:r>
    </w:p>
    <w:tbl>
      <w:tblPr>
        <w:tblW w:w="7523" w:type="dxa"/>
        <w:jc w:val="left"/>
        <w:tblInd w:w="0" w:type="dxa"/>
        <w:tblLayout w:type="fixed"/>
        <w:tblCellMar>
          <w:top w:w="28" w:type="dxa"/>
          <w:left w:w="28" w:type="dxa"/>
          <w:bottom w:w="28" w:type="dxa"/>
          <w:right w:w="28" w:type="dxa"/>
        </w:tblCellMar>
      </w:tblPr>
      <w:tblGrid>
        <w:gridCol w:w="3856"/>
        <w:gridCol w:w="146"/>
        <w:gridCol w:w="245"/>
        <w:gridCol w:w="170"/>
        <w:gridCol w:w="1084"/>
        <w:gridCol w:w="166"/>
        <w:gridCol w:w="146"/>
        <w:gridCol w:w="245"/>
        <w:gridCol w:w="170"/>
        <w:gridCol w:w="1084"/>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In-development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7,670,590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2,871,737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amortization for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6,750,178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2,134,903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software for the years ended December 31, 2024 and 2023 was $183,578 and $197,800 respectively. The Company has not commenced amortizing the in-development intangible asset as it not yet ready for its intended use.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expected amortization expense for Software over its remaining life is as follows: </w:t>
      </w:r>
    </w:p>
    <w:p>
      <w:pPr>
        <w:pStyle w:val="TextBody"/>
        <w:bidi w:val="0"/>
        <w:jc w:val="left"/>
        <w:rPr/>
      </w:pPr>
      <w:r>
        <w:rPr/>
        <w:t> </w:t>
      </w:r>
    </w:p>
    <w:tbl>
      <w:tblPr>
        <w:tblW w:w="2316" w:type="dxa"/>
        <w:jc w:val="left"/>
        <w:tblInd w:w="0" w:type="dxa"/>
        <w:tblLayout w:type="fixed"/>
        <w:tblCellMar>
          <w:top w:w="28" w:type="dxa"/>
          <w:left w:w="28" w:type="dxa"/>
          <w:bottom w:w="28" w:type="dxa"/>
          <w:right w:w="28" w:type="dxa"/>
        </w:tblCellMar>
      </w:tblPr>
      <w:tblGrid>
        <w:gridCol w:w="946"/>
        <w:gridCol w:w="146"/>
        <w:gridCol w:w="211"/>
        <w:gridCol w:w="146"/>
        <w:gridCol w:w="67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94,555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Debt and other liabilities </w:t>
      </w:r>
    </w:p>
    <w:p>
      <w:pPr>
        <w:pStyle w:val="TextBody"/>
        <w:bidi w:val="0"/>
        <w:jc w:val="left"/>
        <w:rPr/>
      </w:pPr>
      <w:r>
        <w:rPr/>
        <w:t> </w:t>
      </w:r>
    </w:p>
    <w:tbl>
      <w:tblPr>
        <w:tblW w:w="7373" w:type="dxa"/>
        <w:jc w:val="left"/>
        <w:tblInd w:w="0" w:type="dxa"/>
        <w:tblLayout w:type="fixed"/>
        <w:tblCellMar>
          <w:top w:w="28" w:type="dxa"/>
          <w:left w:w="28" w:type="dxa"/>
          <w:bottom w:w="28" w:type="dxa"/>
          <w:right w:w="28" w:type="dxa"/>
        </w:tblCellMar>
      </w:tblPr>
      <w:tblGrid>
        <w:gridCol w:w="4036"/>
        <w:gridCol w:w="227"/>
        <w:gridCol w:w="157"/>
        <w:gridCol w:w="1116"/>
        <w:gridCol w:w="146"/>
        <w:gridCol w:w="227"/>
        <w:gridCol w:w="157"/>
        <w:gridCol w:w="111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 and other liabilities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parties (7.1)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 (7.2)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8,223,928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(7.3)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31,088,259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convertible debt to related party (7.4)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liability (7.5)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 (7.6)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 (7.7)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37,333,443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46,981,299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62" w:type="dxa"/>
        <w:jc w:val="left"/>
        <w:tblInd w:w="0" w:type="dxa"/>
        <w:tblLayout w:type="fixed"/>
        <w:tblCellMar>
          <w:top w:w="28" w:type="dxa"/>
          <w:left w:w="28" w:type="dxa"/>
          <w:bottom w:w="28" w:type="dxa"/>
          <w:right w:w="28" w:type="dxa"/>
        </w:tblCellMar>
      </w:tblPr>
      <w:tblGrid>
        <w:gridCol w:w="3106"/>
        <w:gridCol w:w="227"/>
        <w:gridCol w:w="157"/>
        <w:gridCol w:w="1116"/>
        <w:gridCol w:w="166"/>
        <w:gridCol w:w="448"/>
        <w:gridCol w:w="310"/>
        <w:gridCol w:w="741"/>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(Gain)/loss on extinguishment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(7.3)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39,658,290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convertible debt (7.3)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 (7.6)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 (7.7)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44,332,819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7.1</w:t>
      </w:r>
    </w:p>
    <w:p>
      <w:pPr>
        <w:pStyle w:val="TextBody"/>
        <w:bidi w:val="0"/>
        <w:jc w:val="left"/>
        <w:rPr/>
      </w:pPr>
      <w:r>
        <w:rPr>
          <w:rFonts w:ascii="Times New Roman" w:hAnsi="Times New Roman"/>
          <w:color w:val="000000"/>
          <w:sz w:val="20"/>
        </w:rPr>
        <w:t>Unsecured interest free loans taken from related parties DBLP Sea Cow Ltd of $447,067</w:t>
      </w:r>
      <w:r>
        <w:rPr>
          <w:color w:val="000000"/>
        </w:rPr>
        <w:t xml:space="preserve"> </w:t>
      </w:r>
      <w:r>
        <w:rPr>
          <w:rFonts w:ascii="Times New Roman" w:hAnsi="Times New Roman"/>
          <w:color w:val="000000"/>
          <w:sz w:val="20"/>
        </w:rPr>
        <w:t>and Daniel Wagner of $4,655,144</w:t>
      </w:r>
      <w:r>
        <w:rPr>
          <w:color w:val="000000"/>
        </w:rPr>
        <w:t xml:space="preserve"> </w:t>
      </w:r>
      <w:r>
        <w:rPr>
          <w:rFonts w:ascii="Times New Roman" w:hAnsi="Times New Roman"/>
          <w:color w:val="000000"/>
          <w:sz w:val="20"/>
        </w:rPr>
        <w:t xml:space="preserve">are repayable on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maturity date was extended to three years from the date of an IPO or Business Combination, or December 31, 2024 if an IPO or Business Combination with a publicly listed company has not yet occurred by December 31,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was reduced to 7.5% per annum from the date that the amendment was executed.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Conversion into ordinary shares of the Company is at the option of the investor from any date of an IPO or Business Combination with a publicly listed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conversion price has been amended to seventy</w:t>
      </w:r>
      <w:r>
        <w:rPr>
          <w:color w:val="000000"/>
        </w:rPr>
        <w:t xml:space="preserve"> </w:t>
      </w:r>
      <w:r>
        <w:rPr>
          <w:rFonts w:ascii="Times New Roman" w:hAnsi="Times New Roman"/>
          <w:color w:val="000000"/>
          <w:sz w:val="20"/>
        </w:rPr>
        <w:t xml:space="preserve">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loan amendment and addition to the Company’s senior secured convertible notes, the default was remediated.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7.2.</w:t>
      </w:r>
    </w:p>
    <w:p>
      <w:pPr>
        <w:pStyle w:val="TextBody"/>
        <w:bidi w:val="0"/>
        <w:spacing w:before="120" w:after="283"/>
        <w:jc w:val="left"/>
        <w:rPr/>
      </w:pPr>
      <w:r>
        <w:rPr>
          <w:rFonts w:ascii="Times New Roman" w:hAnsi="Times New Roman"/>
          <w:color w:val="000000"/>
          <w:sz w:val="20"/>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w:t>
      </w:r>
      <w:r>
        <w:rPr>
          <w:color w:val="000000"/>
        </w:rPr>
        <w:t xml:space="preserve"> </w:t>
      </w:r>
      <w:r>
        <w:rPr>
          <w:rFonts w:ascii="Times New Roman" w:hAnsi="Times New Roman"/>
          <w:color w:val="000000"/>
          <w:sz w:val="20"/>
        </w:rPr>
        <w:t>ordinary shares in December 2024 to subscribers of the rights issue. On January 24, 2025, the Company issued a further 171,429</w:t>
      </w:r>
      <w:r>
        <w:rPr>
          <w:color w:val="000000"/>
        </w:rPr>
        <w:t xml:space="preserve"> </w:t>
      </w:r>
      <w:r>
        <w:rPr>
          <w:rFonts w:ascii="Times New Roman" w:hAnsi="Times New Roman"/>
          <w:color w:val="000000"/>
          <w:sz w:val="20"/>
        </w:rPr>
        <w:t xml:space="preserve">ordinary shares to a subscriber of the rights issue to whom they were owed ordinary shares payable as at December 31, 2024.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7.3.</w:t>
      </w:r>
    </w:p>
    <w:p>
      <w:pPr>
        <w:pStyle w:val="TextBody"/>
        <w:bidi w:val="0"/>
        <w:spacing w:before="120" w:after="283"/>
        <w:jc w:val="left"/>
        <w:rPr/>
      </w:pPr>
      <w:r>
        <w:rPr>
          <w:rFonts w:ascii="Times New Roman" w:hAnsi="Times New Roman"/>
          <w:color w:val="000000"/>
          <w:sz w:val="20"/>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w:t>
      </w:r>
      <w:r>
        <w:rPr>
          <w:color w:val="000000"/>
        </w:rPr>
        <w:t xml:space="preserve"> </w:t>
      </w:r>
      <w:r>
        <w:rPr>
          <w:rFonts w:ascii="Times New Roman" w:hAnsi="Times New Roman"/>
          <w:color w:val="000000"/>
          <w:sz w:val="20"/>
        </w:rPr>
        <w:t>million fully committed private placement of ordinary shares of the combined company (the “PIPE”), $20</w:t>
      </w:r>
      <w:r>
        <w:rPr>
          <w:color w:val="000000"/>
        </w:rPr>
        <w:t xml:space="preserve"> </w:t>
      </w:r>
      <w:r>
        <w:rPr>
          <w:rFonts w:ascii="Times New Roman" w:hAnsi="Times New Roman"/>
          <w:color w:val="000000"/>
          <w:sz w:val="20"/>
        </w:rPr>
        <w:t xml:space="preserve">million of which has been advanced to Rezolve pursuant to a secured convertible loan note as further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maturity, with interest accrued at 20% per annum,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Immediately prior to an IPO or SPAC transaction, the principal amount and accrued interest is converted into ordinary shares at a 30% discount to the pre-close equity value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interest rate is 20% per annum, and is reduced in the following events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 per annum if the IPO or SPAC transaction occurred prior to December 16, 2022,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15% per annum if the IPO or SPAC transaction occurs between December 16, 2022 and June 16,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issuance of the notes, the amount pre-funded by each participating investor reduces their remaining respective commitment in the PIPE.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not incurred any significant debt issuance costs and has expensed them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23, 2023, the Company executed a further amendment to the secured convertible loan notes.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amendments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additional $15,625,000</w:t>
      </w:r>
      <w:r>
        <w:rPr>
          <w:color w:val="000000"/>
        </w:rPr>
        <w:t xml:space="preserve"> </w:t>
      </w:r>
      <w:r>
        <w:rPr>
          <w:rFonts w:ascii="Times New Roman" w:hAnsi="Times New Roman"/>
          <w:color w:val="000000"/>
          <w:sz w:val="20"/>
        </w:rPr>
        <w:t xml:space="preserve">commitment has been added to the principal amount of the notes, split between 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Conversion of accrued interest of $3,000,000</w:t>
      </w:r>
      <w:r>
        <w:rPr>
          <w:color w:val="000000"/>
        </w:rPr>
        <w:t xml:space="preserve"> </w:t>
      </w:r>
      <w:r>
        <w:rPr>
          <w:rFonts w:ascii="Times New Roman" w:hAnsi="Times New Roman"/>
          <w:color w:val="000000"/>
          <w:sz w:val="20"/>
        </w:rPr>
        <w:t>into loan principal. Additionally $1.5m of Loans for no value , plus $1,040,989</w:t>
      </w:r>
      <w:r>
        <w:rPr>
          <w:color w:val="000000"/>
        </w:rPr>
        <w:t xml:space="preserve"> </w:t>
      </w:r>
      <w:r>
        <w:rPr>
          <w:rFonts w:ascii="Times New Roman" w:hAnsi="Times New Roman"/>
          <w:color w:val="000000"/>
          <w:sz w:val="20"/>
        </w:rPr>
        <w:t>of interest foregone giving total of $4,041,989</w:t>
      </w:r>
      <w:r>
        <w:rPr>
          <w:color w:val="000000"/>
        </w:rPr>
        <w:t xml:space="preserve"> </w:t>
      </w:r>
      <w:r>
        <w:rPr>
          <w:rFonts w:ascii="Times New Roman" w:hAnsi="Times New Roman"/>
          <w:color w:val="000000"/>
          <w:sz w:val="20"/>
        </w:rPr>
        <w:t xml:space="preserve">of total interest capitalized.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$1,250,000</w:t>
      </w:r>
      <w:r>
        <w:rPr>
          <w:color w:val="000000"/>
        </w:rPr>
        <w:t xml:space="preserve"> </w:t>
      </w:r>
      <w:r>
        <w:rPr>
          <w:rFonts w:ascii="Times New Roman" w:hAnsi="Times New Roman"/>
          <w:color w:val="000000"/>
          <w:sz w:val="20"/>
        </w:rPr>
        <w:t xml:space="preserve">of loan principal previously advanced in February 2023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$125,000</w:t>
      </w:r>
      <w:r>
        <w:rPr>
          <w:color w:val="000000"/>
        </w:rPr>
        <w:t xml:space="preserve"> </w:t>
      </w:r>
      <w:r>
        <w:rPr>
          <w:rFonts w:ascii="Times New Roman" w:hAnsi="Times New Roman"/>
          <w:color w:val="000000"/>
          <w:sz w:val="20"/>
        </w:rPr>
        <w:t xml:space="preserve">of loan principal advanced by a director and related party in February 2023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additional $2,750,000</w:t>
      </w:r>
      <w:r>
        <w:rPr>
          <w:color w:val="000000"/>
        </w:rPr>
        <w:t xml:space="preserve"> </w:t>
      </w:r>
      <w:r>
        <w:rPr>
          <w:rFonts w:ascii="Times New Roman" w:hAnsi="Times New Roman"/>
          <w:color w:val="000000"/>
          <w:sz w:val="20"/>
        </w:rPr>
        <w:t xml:space="preserve">of loan notes to be advanced,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$8,500,000</w:t>
      </w:r>
      <w:r>
        <w:rPr>
          <w:color w:val="000000"/>
        </w:rPr>
        <w:t xml:space="preserve"> </w:t>
      </w:r>
      <w:r>
        <w:rPr>
          <w:rFonts w:ascii="Times New Roman" w:hAnsi="Times New Roman"/>
          <w:color w:val="000000"/>
          <w:sz w:val="20"/>
        </w:rPr>
        <w:t xml:space="preserve">in notes upon completion of the Demerger, for which no monetary consideration will be received by the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maturity date was extended to three years from the date of an IPO or Business Combination, or December 31, 2024 if an IPO or Business Combination with a publicly listed company has not yet occurred by December 31,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was reduced to 7.5% per annum from the date that the amendment was executed.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Conversion into ordinary shares of the Company is at the option of the investor from any date of an IPO or Business Combination with a publicly listed company.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conversion price has been amended to seventy</w:t>
      </w:r>
      <w:r>
        <w:rPr>
          <w:color w:val="000000"/>
        </w:rPr>
        <w:t xml:space="preserve"> </w:t>
      </w:r>
      <w:r>
        <w:rPr>
          <w:rFonts w:ascii="Times New Roman" w:hAnsi="Times New Roman"/>
          <w:color w:val="000000"/>
          <w:sz w:val="20"/>
        </w:rPr>
        <w:t xml:space="preserve">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w:t>
      </w:r>
      <w:r>
        <w:rPr>
          <w:color w:val="000000"/>
        </w:rPr>
        <w:t xml:space="preserve"> </w:t>
      </w:r>
      <w:r>
        <w:rPr>
          <w:rFonts w:ascii="Times New Roman" w:hAnsi="Times New Roman"/>
          <w:color w:val="000000"/>
          <w:sz w:val="20"/>
        </w:rPr>
        <w:t xml:space="preserve">in aggregate of the principal amount of the Convertible Notes from time to time, the Rezolve group shall not enter into any Extraordinary Transactions (as defined below) without the prior consent of a Noteholder Majority.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execution of the amendment the secured convertible notes are then referred to as “the senior secured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execution of the senior secured convertible note has been accounted for as a troubled debt restructuring since May 23, 2023. No gain has been recognized.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they are treated as interest payable at maturity. The Demerger notes trigger a remeasurement of the senior secured convertible notes and the effective interest rate used to account for the senior secured convertible notes as a troubled debt restructuring.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pStyle w:val="TextBody"/>
        <w:bidi w:val="0"/>
        <w:spacing w:before="240" w:after="283"/>
        <w:jc w:val="left"/>
        <w:rPr>
          <w:rFonts w:ascii="Times New Roman" w:hAnsi="Times New Roman"/>
          <w:sz w:val="20"/>
        </w:rPr>
      </w:pPr>
      <w:r>
        <w:rPr>
          <w:rFonts w:ascii="Times New Roman" w:hAnsi="Times New Roman"/>
          <w:color w:val="000000"/>
          <w:sz w:val="20"/>
        </w:rPr>
        <w:t>On December 17, 2024, the Company, Apeiron Investment Group Ltd. and Bradley Wickens, the beneficial holders of the majority of Senior Secured Convertible Notes entered into an agreement (the “</w:t>
      </w:r>
      <w:r>
        <w:rPr>
          <w:rFonts w:ascii="Times New Roman" w:hAnsi="Times New Roman"/>
          <w:b/>
          <w:i/>
          <w:color w:val="000000"/>
          <w:sz w:val="20"/>
        </w:rPr>
        <w:t>Agreement</w:t>
      </w:r>
      <w:r>
        <w:rPr>
          <w:rFonts w:ascii="Times New Roman" w:hAnsi="Times New Roman"/>
          <w:color w:val="000000"/>
          <w:sz w:val="20"/>
        </w:rPr>
        <w:t>”) to amend the Loan Note Instrument (the “</w:t>
      </w:r>
      <w:r>
        <w:rPr>
          <w:rFonts w:ascii="Times New Roman" w:hAnsi="Times New Roman"/>
          <w:b/>
          <w:i/>
          <w:color w:val="000000"/>
          <w:sz w:val="20"/>
        </w:rPr>
        <w:t>Amendment</w:t>
      </w:r>
      <w:r>
        <w:rPr>
          <w:rFonts w:ascii="Times New Roman" w:hAnsi="Times New Roman"/>
          <w:color w:val="000000"/>
          <w:sz w:val="20"/>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of the convertible debt was as follows: </w:t>
      </w:r>
    </w:p>
    <w:p>
      <w:pPr>
        <w:pStyle w:val="TextBody"/>
        <w:bidi w:val="0"/>
        <w:jc w:val="left"/>
        <w:rPr/>
      </w:pPr>
      <w:r>
        <w:rPr/>
        <w:t> </w:t>
      </w:r>
    </w:p>
    <w:tbl>
      <w:tblPr>
        <w:tblW w:w="8233" w:type="dxa"/>
        <w:jc w:val="left"/>
        <w:tblInd w:w="0" w:type="dxa"/>
        <w:tblLayout w:type="fixed"/>
        <w:tblCellMar>
          <w:top w:w="28" w:type="dxa"/>
          <w:left w:w="28" w:type="dxa"/>
          <w:bottom w:w="28" w:type="dxa"/>
          <w:right w:w="28" w:type="dxa"/>
        </w:tblCellMar>
      </w:tblPr>
      <w:tblGrid>
        <w:gridCol w:w="4876"/>
        <w:gridCol w:w="227"/>
        <w:gridCol w:w="157"/>
        <w:gridCol w:w="1116"/>
        <w:gridCol w:w="166"/>
        <w:gridCol w:w="227"/>
        <w:gridCol w:w="157"/>
        <w:gridCol w:w="1116"/>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convertible debt to related party</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on convertible debt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under troubled debt restructuring</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31,088,259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convertible debt under troubled debt restructuring</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10,383,432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31,220,528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not incurred any material debt issuance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interest expense recognized related to the senior secured convertible notes and unsecured convertible loans: </w:t>
      </w:r>
    </w:p>
    <w:p>
      <w:pPr>
        <w:pStyle w:val="TextBody"/>
        <w:bidi w:val="0"/>
        <w:jc w:val="left"/>
        <w:rPr/>
      </w:pPr>
      <w:r>
        <w:rPr/>
        <w:t> </w:t>
      </w:r>
    </w:p>
    <w:tbl>
      <w:tblPr>
        <w:tblW w:w="5901" w:type="dxa"/>
        <w:jc w:val="left"/>
        <w:tblInd w:w="0" w:type="dxa"/>
        <w:tblLayout w:type="fixed"/>
        <w:tblCellMar>
          <w:top w:w="28" w:type="dxa"/>
          <w:left w:w="28" w:type="dxa"/>
          <w:bottom w:w="28" w:type="dxa"/>
          <w:right w:w="28" w:type="dxa"/>
        </w:tblCellMar>
      </w:tblPr>
      <w:tblGrid>
        <w:gridCol w:w="2566"/>
        <w:gridCol w:w="245"/>
        <w:gridCol w:w="170"/>
        <w:gridCol w:w="1084"/>
        <w:gridCol w:w="146"/>
        <w:gridCol w:w="245"/>
        <w:gridCol w:w="170"/>
        <w:gridCol w:w="1084"/>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3,067,309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6,986,248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3,559,237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7.4</w:t>
      </w:r>
    </w:p>
    <w:p>
      <w:pPr>
        <w:pStyle w:val="TextBody"/>
        <w:bidi w:val="0"/>
        <w:spacing w:before="0" w:after="0"/>
        <w:jc w:val="left"/>
        <w:rPr/>
      </w:pPr>
      <w:r>
        <w:rPr>
          <w:rFonts w:ascii="Times New Roman" w:hAnsi="Times New Roman"/>
          <w:color w:val="000000"/>
          <w:sz w:val="20"/>
        </w:rPr>
        <w:t>A Short term convertible debt to a related party of $132,269</w:t>
      </w:r>
      <w:r>
        <w:rPr>
          <w:color w:val="000000"/>
        </w:rPr>
        <w:t xml:space="preserve"> </w:t>
      </w:r>
      <w:r>
        <w:rPr>
          <w:rFonts w:ascii="Times New Roman" w:hAnsi="Times New Roman"/>
          <w:color w:val="000000"/>
          <w:sz w:val="20"/>
        </w:rPr>
        <w:t>was also added to the Company’s senior secured convertible note including $125,000</w:t>
      </w:r>
      <w:r>
        <w:rPr>
          <w:color w:val="000000"/>
        </w:rPr>
        <w:t xml:space="preserve"> </w:t>
      </w:r>
      <w:r>
        <w:rPr>
          <w:rFonts w:ascii="Times New Roman" w:hAnsi="Times New Roman"/>
          <w:color w:val="000000"/>
          <w:sz w:val="20"/>
        </w:rPr>
        <w:t>of convertible debt and $7,269</w:t>
      </w:r>
      <w:r>
        <w:rPr>
          <w:color w:val="000000"/>
        </w:rPr>
        <w:t xml:space="preserve"> </w:t>
      </w:r>
      <w:r>
        <w:rPr>
          <w:rFonts w:ascii="Times New Roman" w:hAnsi="Times New Roman"/>
          <w:color w:val="000000"/>
          <w:sz w:val="20"/>
        </w:rPr>
        <w:t xml:space="preserve">of interest.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7.5</w:t>
      </w:r>
    </w:p>
    <w:p>
      <w:pPr>
        <w:pStyle w:val="TextBody"/>
        <w:bidi w:val="0"/>
        <w:spacing w:before="240" w:after="283"/>
        <w:jc w:val="left"/>
        <w:rPr/>
      </w:pPr>
      <w:r>
        <w:rPr>
          <w:rFonts w:ascii="Times New Roman" w:hAnsi="Times New Roman"/>
          <w:color w:val="000000"/>
          <w:sz w:val="20"/>
        </w:rPr>
        <w:t>On October 7, 2021, the Group acquired Jaymax International Service Inc. (“Jaymax”) (later renamed to “Rezolve Taiwan Limited”). As part of the acquisition of Jaymax, the Company agreed to issue $1,400,000</w:t>
      </w:r>
      <w:r>
        <w:rPr>
          <w:color w:val="000000"/>
        </w:rPr>
        <w:t xml:space="preserve"> </w:t>
      </w:r>
      <w:r>
        <w:rPr>
          <w:rFonts w:ascii="Times New Roman" w:hAnsi="Times New Roman"/>
          <w:color w:val="000000"/>
          <w:sz w:val="20"/>
        </w:rPr>
        <w:t xml:space="preserve">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pPr>
      <w:r>
        <w:rPr>
          <w:rFonts w:ascii="Times New Roman" w:hAnsi="Times New Roman"/>
          <w:color w:val="000000"/>
          <w:sz w:val="20"/>
        </w:rPr>
        <w:t>market participant borrowing rate of 10.8%. At December 31, 2024 the liability is equal its present value of $1,400,000</w:t>
      </w:r>
      <w:r>
        <w:rPr>
          <w:color w:val="000000"/>
        </w:rPr>
        <w:t xml:space="preserve"> </w:t>
      </w:r>
      <w:r>
        <w:rPr>
          <w:rFonts w:ascii="Times New Roman" w:hAnsi="Times New Roman"/>
          <w:color w:val="000000"/>
          <w:sz w:val="20"/>
        </w:rPr>
        <w:t>as the term of the non-compete agreement ended on October 7, 2024. The Company has yet to settle it in ordinary shares as at December 31, 2024.</w:t>
      </w:r>
      <w:r>
        <w:rPr>
          <w:color w:val="00000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Convertible Promissory notes</w:t>
      </w:r>
    </w:p>
    <w:p>
      <w:pPr>
        <w:pStyle w:val="TextBody"/>
        <w:bidi w:val="0"/>
        <w:spacing w:before="240" w:after="283"/>
        <w:jc w:val="left"/>
        <w:rPr/>
      </w:pPr>
      <w:r>
        <w:rPr/>
        <w:t> </w:t>
      </w:r>
    </w:p>
    <w:tbl>
      <w:tblPr>
        <w:tblW w:w="5961" w:type="dxa"/>
        <w:jc w:val="left"/>
        <w:tblInd w:w="0" w:type="dxa"/>
        <w:tblLayout w:type="fixed"/>
        <w:tblCellMar>
          <w:top w:w="28" w:type="dxa"/>
          <w:left w:w="28" w:type="dxa"/>
          <w:bottom w:w="28" w:type="dxa"/>
          <w:right w:w="28" w:type="dxa"/>
        </w:tblCellMar>
      </w:tblPr>
      <w:tblGrid>
        <w:gridCol w:w="2626"/>
        <w:gridCol w:w="245"/>
        <w:gridCol w:w="170"/>
        <w:gridCol w:w="1084"/>
        <w:gridCol w:w="146"/>
        <w:gridCol w:w="448"/>
        <w:gridCol w:w="310"/>
        <w:gridCol w:w="74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 notes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 from sponsor</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6,428,825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color w:val="000000"/>
          <w:sz w:val="20"/>
          <w:u w:val="single"/>
        </w:rPr>
        <w:t>Yorkville Standby Equity Purchase Agreement (“SEPA”)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hAnsi="Times New Roman"/>
          <w:b/>
          <w:i/>
          <w:color w:val="000000"/>
          <w:sz w:val="20"/>
        </w:rPr>
        <w:t>Third YA</w:t>
      </w:r>
      <w:r>
        <w:rPr>
          <w:rFonts w:ascii="Times New Roman" w:hAnsi="Times New Roman"/>
          <w:color w:val="000000"/>
          <w:sz w:val="20"/>
        </w:rPr>
        <w:t xml:space="preserve"> </w:t>
      </w:r>
      <w:r>
        <w:rPr>
          <w:rFonts w:ascii="Times New Roman" w:hAnsi="Times New Roman"/>
          <w:b/>
          <w:i/>
          <w:color w:val="000000"/>
          <w:sz w:val="20"/>
        </w:rPr>
        <w:t>Note</w:t>
      </w:r>
      <w:r>
        <w:rPr>
          <w:rFonts w:ascii="Times New Roman" w:hAnsi="Times New Roman"/>
          <w:color w:val="000000"/>
          <w:sz w:val="20"/>
        </w:rPr>
        <w:t xml:space="preserve">”, and together with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First YA Note</w:t>
      </w:r>
      <w:r>
        <w:rPr>
          <w:rFonts w:ascii="Times New Roman" w:hAnsi="Times New Roman"/>
          <w:color w:val="000000"/>
          <w:sz w:val="20"/>
        </w:rPr>
        <w:t xml:space="preserve"> and </w:t>
      </w:r>
      <w:r>
        <w:rPr>
          <w:rFonts w:ascii="Times New Roman" w:hAnsi="Times New Roman"/>
          <w:b/>
          <w:i/>
          <w:color w:val="000000"/>
          <w:sz w:val="20"/>
        </w:rPr>
        <w:t>Second YA Note</w:t>
      </w:r>
      <w:r>
        <w:rPr>
          <w:rFonts w:ascii="Times New Roman" w:hAnsi="Times New Roman"/>
          <w:color w:val="000000"/>
          <w:sz w:val="20"/>
        </w:rPr>
        <w:t>, the "</w:t>
      </w:r>
      <w:r>
        <w:rPr>
          <w:rFonts w:ascii="Times New Roman" w:hAnsi="Times New Roman"/>
          <w:b/>
          <w:i/>
          <w:color w:val="000000"/>
          <w:sz w:val="20"/>
        </w:rPr>
        <w:t>YA Notes</w:t>
      </w:r>
      <w:r>
        <w:rPr>
          <w:rFonts w:ascii="Times New Roman" w:hAnsi="Times New Roman"/>
          <w:color w:val="000000"/>
          <w:sz w:val="20"/>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Notes were issued during the course of February, 2024, pursuant to the terms of the Promissory Note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effect from the completion of the Pre-Closing Demerger, the rights and obligations of Rezolve Limited under the Subscription Agreements and the Promissory Note Instruments were novated to Rezolve AI plc.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Cohen &amp; Company Financial Management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Advisors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issued the following promissory notes to financial advisors for fees payable contingent on the close of the Business Combination with Armada: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Northland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J.V.B. Financial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Cantor Fitzgerald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dividing (x) $16,000,000 by (y) the daily VWAP of the ordinary shares over five trading days immediately preceding the date of the initial filing of the F-1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5, 2024 the Company issued 17,354,231 ordinary shares to Cantor to settle the Armada fee. A loss on extinguishment of $1,804,814 was recognized. No further amounts remain outstanding.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amounts for advisors loans remain outstanding as of December 31, 2024:</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1921"/>
        <w:gridCol w:w="227"/>
        <w:gridCol w:w="157"/>
        <w:gridCol w:w="1116"/>
        <w:gridCol w:w="146"/>
        <w:gridCol w:w="448"/>
        <w:gridCol w:w="310"/>
        <w:gridCol w:w="74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Advisors loans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Northland Securities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J.V.B Financial Group</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Warrants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Subscription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Armada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Warrants issued to institutional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offering price of each Ordinary Share and accompanying Offering Warrant was $3.00.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Ordinary Shares and Offering Warrants were offered pursuant to a registration statement on Form F-1 (File No. 333-283622), as amended, which was declared effective by the Securities and Exchange Commission on December 19,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Ordinary shares issued in lieu of cash payment for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issued 4,514 ordinary shares to Sales Force in lieu of a cash payment for customer relationship platform services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the Company issued 50,000 shares to D. Boral Capital LLC in lieu of a cash payment for financial and capital raising advisory services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the Company issued 50,000 shares to the Maxim Group in lieu of a cash payment for advisory services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Share-based Compensation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2022 LTIP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 </w:t>
      </w:r>
    </w:p>
    <w:p>
      <w:pPr>
        <w:pStyle w:val="TextBody"/>
        <w:bidi w:val="0"/>
        <w:jc w:val="left"/>
        <w:rPr/>
      </w:pPr>
      <w:r>
        <w:rPr/>
        <w:t> </w:t>
      </w:r>
    </w:p>
    <w:tbl>
      <w:tblPr>
        <w:tblW w:w="4921" w:type="dxa"/>
        <w:jc w:val="left"/>
        <w:tblInd w:w="0" w:type="dxa"/>
        <w:tblLayout w:type="fixed"/>
        <w:tblCellMar>
          <w:top w:w="28" w:type="dxa"/>
          <w:left w:w="28" w:type="dxa"/>
          <w:bottom w:w="28" w:type="dxa"/>
          <w:right w:w="28" w:type="dxa"/>
        </w:tblCellMar>
      </w:tblPr>
      <w:tblGrid>
        <w:gridCol w:w="2116"/>
        <w:gridCol w:w="379"/>
        <w:gridCol w:w="2426"/>
      </w:tblGrid>
      <w:tr>
        <w:trPr/>
        <w:tc>
          <w:tcPr>
            <w:tcW w:w="21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 in 2022 under the 2022 LTIP</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Expected term—years </w:t>
            </w:r>
            <w:r>
              <w:rPr>
                <w:rFonts w:ascii="Times New Roman" w:hAnsi="Times New Roman"/>
                <w:color w:val="000000"/>
                <w:sz w:val="13"/>
              </w:rPr>
              <w:t>(1)</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 – 5.1</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share value</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Expected volatility </w:t>
            </w:r>
            <w:r>
              <w:rPr>
                <w:rFonts w:ascii="Times New Roman" w:hAnsi="Times New Roman"/>
                <w:color w:val="000000"/>
                <w:sz w:val="13"/>
              </w:rPr>
              <w:t>(2)</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59.6% - 63.5%</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 yield </w:t>
            </w:r>
            <w:r>
              <w:rPr>
                <w:rFonts w:ascii="Times New Roman" w:hAnsi="Times New Roman"/>
                <w:color w:val="000000"/>
                <w:sz w:val="13"/>
              </w:rPr>
              <w:t>(4)</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expected term is the length of time the grant is expected to be outstanding before it is exercised or terminated. This number is calculated as the midpoint between the end of the vesting term and the contractual period to exercise.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or the standard deviation of annualized returns, was calculated based on comparable companies’ reported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rate was obtained from US treasury notes for the expected terms noted as of the valuation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assumed a dividend yield of zero as it has no plans to declare dividends in the foreseeable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2023 LTIP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granted 13,611,563 share options in the year ended December 31, 2024 including 4,876,969 share options issued to DBLP Sea Cow Ltd. (principal shareholder, and company owned by founder, chairman and CEO Dan Wagner).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2023 LTIP also amends the 2022 LTIP (issued in November 2022)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 any who grantees whose requisite service period completes in the year 2024 to complete in the month of September 2024, and therefore consolidate the end vesting date to the month of September,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Those whose share options whose requisite service period was meant to complete in 2025 and 2026, vest in September of those years,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 the vesting profile from a cliff vesting to a graded vesting.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share options under the terms of the 2023 LTIP have an exercise price equal to the nominal value of £0.0001 per option. Option holders have a 5-year period to exercise the options before they expire. Forfeitures are recognized in the period of occurrence. </w:t>
      </w:r>
    </w:p>
    <w:p>
      <w:pPr>
        <w:pStyle w:val="TextBody"/>
        <w:bidi w:val="0"/>
        <w:jc w:val="left"/>
        <w:rPr/>
      </w:pPr>
      <w:r>
        <w:rPr/>
        <w:t> </w:t>
      </w:r>
    </w:p>
    <w:tbl>
      <w:tblPr>
        <w:tblW w:w="5787" w:type="dxa"/>
        <w:jc w:val="left"/>
        <w:tblInd w:w="0" w:type="dxa"/>
        <w:tblLayout w:type="fixed"/>
        <w:tblCellMar>
          <w:top w:w="28" w:type="dxa"/>
          <w:left w:w="28" w:type="dxa"/>
          <w:bottom w:w="28" w:type="dxa"/>
          <w:right w:w="28" w:type="dxa"/>
        </w:tblCellMar>
      </w:tblPr>
      <w:tblGrid>
        <w:gridCol w:w="2116"/>
        <w:gridCol w:w="892"/>
        <w:gridCol w:w="617"/>
        <w:gridCol w:w="1971"/>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 in 2023 and 2024 under the 2023 LTIP</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term—years </w:t>
            </w:r>
            <w:r>
              <w:rPr>
                <w:rFonts w:ascii="Times New Roman" w:hAnsi="Times New Roman"/>
                <w:color w:val="000000"/>
                <w:sz w:val="13"/>
              </w:rPr>
              <w:t>(1)</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share value</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volatility </w:t>
            </w:r>
            <w:r>
              <w:rPr>
                <w:rFonts w:ascii="Times New Roman" w:hAnsi="Times New Roman"/>
                <w:color w:val="000000"/>
                <w:sz w:val="13"/>
              </w:rPr>
              <w:t>(2)</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59.6% - 63.5%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 yield </w:t>
            </w:r>
            <w:r>
              <w:rPr>
                <w:rFonts w:ascii="Times New Roman" w:hAnsi="Times New Roman"/>
                <w:color w:val="000000"/>
                <w:sz w:val="13"/>
              </w:rPr>
              <w:t>(4)</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expected term is the length of time the grant is expected to be outstanding before it is exercised or terminated. This number is calculated as the midpoint between the end of the vesting term and the contractual period to exercise.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or the standard deviation of annualized returns, was calculated based on comparable companies’ reported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rate was obtained from US treasury notes for the expected terms noted as of the valuation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The Company has assumed a dividend yield of zero as it has no plans to declare dividends in the foreseeable future.</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Share option activity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share option activity for the year ended December 31, 2024 was as follows: </w:t>
      </w:r>
    </w:p>
    <w:p>
      <w:pPr>
        <w:pStyle w:val="TextBody"/>
        <w:bidi w:val="0"/>
        <w:jc w:val="left"/>
        <w:rPr/>
      </w:pPr>
      <w:r>
        <w:rPr/>
        <w:t> </w:t>
      </w:r>
    </w:p>
    <w:tbl>
      <w:tblPr>
        <w:tblW w:w="8566" w:type="dxa"/>
        <w:jc w:val="left"/>
        <w:tblInd w:w="0" w:type="dxa"/>
        <w:tblLayout w:type="fixed"/>
        <w:tblCellMar>
          <w:top w:w="28" w:type="dxa"/>
          <w:left w:w="28" w:type="dxa"/>
          <w:bottom w:w="28" w:type="dxa"/>
          <w:right w:w="28" w:type="dxa"/>
        </w:tblCellMar>
      </w:tblPr>
      <w:tblGrid>
        <w:gridCol w:w="3256"/>
        <w:gridCol w:w="146"/>
        <w:gridCol w:w="146"/>
        <w:gridCol w:w="1036"/>
        <w:gridCol w:w="166"/>
        <w:gridCol w:w="146"/>
        <w:gridCol w:w="211"/>
        <w:gridCol w:w="146"/>
        <w:gridCol w:w="676"/>
        <w:gridCol w:w="146"/>
        <w:gridCol w:w="146"/>
        <w:gridCol w:w="285"/>
        <w:gridCol w:w="706"/>
        <w:gridCol w:w="146"/>
        <w:gridCol w:w="146"/>
        <w:gridCol w:w="255"/>
        <w:gridCol w:w="177"/>
        <w:gridCol w:w="439"/>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23,636,916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expected to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23,636,916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31,2024, the Company had $6.1 million of unrecognized share-based compensation expense related to share options. This cost is expected to be recognized over a weighted-average period of 3 years and 9 months.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Accrued expenses and other payables </w:t>
      </w:r>
    </w:p>
    <w:p>
      <w:pPr>
        <w:pStyle w:val="TextBody"/>
        <w:bidi w:val="0"/>
        <w:jc w:val="left"/>
        <w:rPr/>
      </w:pPr>
      <w:r>
        <w:rPr/>
        <w:t> </w:t>
      </w:r>
    </w:p>
    <w:tbl>
      <w:tblPr>
        <w:tblW w:w="6216" w:type="dxa"/>
        <w:jc w:val="left"/>
        <w:tblInd w:w="0" w:type="dxa"/>
        <w:tblLayout w:type="fixed"/>
        <w:tblCellMar>
          <w:top w:w="28" w:type="dxa"/>
          <w:left w:w="28" w:type="dxa"/>
          <w:bottom w:w="28" w:type="dxa"/>
          <w:right w:w="28" w:type="dxa"/>
        </w:tblCellMar>
      </w:tblPr>
      <w:tblGrid>
        <w:gridCol w:w="2881"/>
        <w:gridCol w:w="245"/>
        <w:gridCol w:w="170"/>
        <w:gridCol w:w="1084"/>
        <w:gridCol w:w="146"/>
        <w:gridCol w:w="245"/>
        <w:gridCol w:w="170"/>
        <w:gridCol w:w="1084"/>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payables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1,323,842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duty and excise tax liability</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9,513,932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4,492,790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Expenses and other non-operating income/(expense), net </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 expenses</w:t>
      </w:r>
      <w:r>
        <w:rPr>
          <w:rFonts w:ascii="Times New Roman" w:hAnsi="Times New Roman"/>
          <w:color w:val="000000"/>
          <w:sz w:val="20"/>
        </w:rPr>
        <w:t xml:space="preserve"> </w:t>
      </w:r>
    </w:p>
    <w:p>
      <w:pPr>
        <w:pStyle w:val="TextBody"/>
        <w:bidi w:val="0"/>
        <w:jc w:val="left"/>
        <w:rPr/>
      </w:pPr>
      <w:r>
        <w:rPr/>
        <w:t> </w:t>
      </w:r>
    </w:p>
    <w:tbl>
      <w:tblPr>
        <w:tblW w:w="6943" w:type="dxa"/>
        <w:jc w:val="left"/>
        <w:tblInd w:w="0" w:type="dxa"/>
        <w:tblLayout w:type="fixed"/>
        <w:tblCellMar>
          <w:top w:w="28" w:type="dxa"/>
          <w:left w:w="28" w:type="dxa"/>
          <w:bottom w:w="28" w:type="dxa"/>
          <w:right w:w="28" w:type="dxa"/>
        </w:tblCellMar>
      </w:tblPr>
      <w:tblGrid>
        <w:gridCol w:w="3316"/>
        <w:gridCol w:w="146"/>
        <w:gridCol w:w="245"/>
        <w:gridCol w:w="170"/>
        <w:gridCol w:w="1084"/>
        <w:gridCol w:w="146"/>
        <w:gridCol w:w="146"/>
        <w:gridCol w:w="245"/>
        <w:gridCol w:w="170"/>
        <w:gridCol w:w="1084"/>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Advertisement and publicity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Consultancy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6,285,446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6,731,254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3316"/>
        <w:gridCol w:w="146"/>
        <w:gridCol w:w="211"/>
        <w:gridCol w:w="146"/>
        <w:gridCol w:w="1143"/>
        <w:gridCol w:w="146"/>
        <w:gridCol w:w="146"/>
        <w:gridCol w:w="227"/>
        <w:gridCol w:w="157"/>
        <w:gridCol w:w="1116"/>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1,135,355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36,486,915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4,340,558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Consultancy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2,543,621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for consultancy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131,430,412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17,986,528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Other non-operating income (expense), net</w:t>
      </w:r>
      <w:r>
        <w:rPr>
          <w:rFonts w:ascii="Times New Roman" w:hAnsi="Times New Roman"/>
          <w:color w:val="000000"/>
          <w:sz w:val="20"/>
        </w:rPr>
        <w:t xml:space="preserve"> </w:t>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2476"/>
        <w:gridCol w:w="146"/>
        <w:gridCol w:w="245"/>
        <w:gridCol w:w="170"/>
        <w:gridCol w:w="1084"/>
        <w:gridCol w:w="146"/>
        <w:gridCol w:w="146"/>
        <w:gridCol w:w="264"/>
        <w:gridCol w:w="182"/>
        <w:gridCol w:w="1053"/>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1,329,781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party disclosures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Key managerial personnel (KMP) and Members of their immediate families</w:t>
      </w:r>
      <w:r>
        <w:rPr>
          <w:rFonts w:ascii="Times New Roman" w:hAnsi="Times New Roman"/>
          <w:color w:val="000000"/>
          <w:sz w:val="20"/>
        </w:rPr>
        <w:t xml:space="preserve"> </w:t>
      </w:r>
    </w:p>
    <w:p>
      <w:pPr>
        <w:pStyle w:val="TextBody"/>
        <w:bidi w:val="0"/>
        <w:spacing w:before="120" w:after="283"/>
        <w:jc w:val="left"/>
        <w:rPr/>
      </w:pPr>
      <w:r>
        <w:rPr/>
        <w:t> </w:t>
      </w:r>
    </w:p>
    <w:tbl>
      <w:tblPr>
        <w:tblW w:w="6223" w:type="dxa"/>
        <w:jc w:val="left"/>
        <w:tblInd w:w="0" w:type="dxa"/>
        <w:tblLayout w:type="fixed"/>
        <w:tblCellMar>
          <w:top w:w="28" w:type="dxa"/>
          <w:left w:w="28" w:type="dxa"/>
          <w:bottom w:w="28" w:type="dxa"/>
          <w:right w:w="28" w:type="dxa"/>
        </w:tblCellMar>
      </w:tblPr>
      <w:tblGrid>
        <w:gridCol w:w="1351"/>
        <w:gridCol w:w="146"/>
        <w:gridCol w:w="4726"/>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chief executive officer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Burchill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Banerjjee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products, technology and digital services</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Salman Ahmad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technical officer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commercial officer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Rezolve China</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deputy chairman</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Sir David Wright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Igor Lychagov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 (resigned May 19, 2023)</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Susan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Member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Transactions and outstanding balances of related parties were as follows: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Transactions during the year</w:t>
      </w:r>
      <w:r>
        <w:rPr>
          <w:rFonts w:ascii="Times New Roman" w:hAnsi="Times New Roman"/>
          <w:color w:val="000000"/>
          <w:sz w:val="20"/>
        </w:rPr>
        <w:t xml:space="preserve"> </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3061"/>
        <w:gridCol w:w="146"/>
        <w:gridCol w:w="210"/>
        <w:gridCol w:w="169"/>
        <w:gridCol w:w="925"/>
        <w:gridCol w:w="146"/>
        <w:gridCol w:w="146"/>
        <w:gridCol w:w="225"/>
        <w:gridCol w:w="181"/>
        <w:gridCol w:w="898"/>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Share Capital Issued at nominal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Brooks Newmark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Igor Lychagov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Convertible promissory notes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Adam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John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Loans Repaid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Convertible promissory notes taken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Adam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John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converted into shares, including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Igor Lychagov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3,559,380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Convertible Loans taken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Loans Taken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Dan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4,463,322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Igor Lychagov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5,587,343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Managerial remuneration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Key Management 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Dan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Salman Ahmad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Richard Burchill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Sauvik Banerjee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393,440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393,440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789,997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61,230,453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756,944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Richard Burchill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1,153,439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1,326,703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Salman Ahmad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Sauvik Banerjee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842,746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63,001,392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3,270,040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963,858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62,611,948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2,306,182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63,001,392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3,270,040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Peter Vesco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414,926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1,014,926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714,926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1,014,926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Director remuneration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Sir David Wright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Anthony Sharp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380,084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657,647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657,647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Management remuneration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1,011,119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2,072,224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64,400,841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4,053,826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65,411,960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6,126,050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Business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Rezolve China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4,750,430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paid to Arthur Yao were paid out of Rezolve Limited in the UK. The Company’s operations in China have since been liquidated through the Demerger (Refer to Note 2.1—Basis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Sea Cow Ltd. (a company incorporated in the Seychelles) (“DBLP Sea Cow”) is wholly legally owned by Dan Wagner, Chief Executive Officer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expensed all cash transferred to its former subsidiary Rezolve China (Refer to Note 2.1—Basis of presentation).</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Outstanding balances as at reporting date</w:t>
      </w:r>
      <w:r>
        <w:rPr>
          <w:rFonts w:ascii="Times New Roman" w:hAnsi="Times New Roman"/>
          <w:color w:val="000000"/>
          <w:sz w:val="20"/>
        </w:rPr>
        <w:t xml:space="preserve"> </w:t>
      </w:r>
    </w:p>
    <w:p>
      <w:pPr>
        <w:pStyle w:val="TextBody"/>
        <w:bidi w:val="0"/>
        <w:jc w:val="left"/>
        <w:rPr/>
      </w:pPr>
      <w:r>
        <w:rPr/>
        <w:t> </w:t>
      </w:r>
    </w:p>
    <w:tbl>
      <w:tblPr>
        <w:tblW w:w="6208" w:type="dxa"/>
        <w:jc w:val="left"/>
        <w:tblInd w:w="0" w:type="dxa"/>
        <w:tblLayout w:type="fixed"/>
        <w:tblCellMar>
          <w:top w:w="28" w:type="dxa"/>
          <w:left w:w="28" w:type="dxa"/>
          <w:bottom w:w="28" w:type="dxa"/>
          <w:right w:w="28" w:type="dxa"/>
        </w:tblCellMar>
      </w:tblPr>
      <w:tblGrid>
        <w:gridCol w:w="2581"/>
        <w:gridCol w:w="146"/>
        <w:gridCol w:w="251"/>
        <w:gridCol w:w="187"/>
        <w:gridCol w:w="1061"/>
        <w:gridCol w:w="146"/>
        <w:gridCol w:w="146"/>
        <w:gridCol w:w="251"/>
        <w:gridCol w:w="187"/>
        <w:gridCol w:w="106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Short term debt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Igor Lychagov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5,587,343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Due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Vesco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Short term convertible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Perry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 Subscription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Sea Cow Ltd. (a company incorporated in the Seychelles) (“DBLP Sea Cow”) is wholly legally owned by Dan Wagner, Chief Executive Officer of Rezolve.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Operating leases as lessee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Company's lease arrangements in place during the years ended December 31, 2024 and 2023 are short-term leases as they have lease 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its primary tax return in the United Kingdom (“the UK”). Its subsidiaries file income tax returns in the United States (“the US”), Spain, India and Taiwan. The income taxes of the Company are presented on a separate return basis for each tax-paying entity.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the Company's loss (income) before income taxes are as follows: </w:t>
      </w:r>
    </w:p>
    <w:p>
      <w:pPr>
        <w:pStyle w:val="TextBody"/>
        <w:bidi w:val="0"/>
        <w:jc w:val="left"/>
        <w:rPr/>
      </w:pPr>
      <w:r>
        <w:rPr/>
        <w:t> </w:t>
      </w:r>
    </w:p>
    <w:tbl>
      <w:tblPr>
        <w:tblW w:w="4098" w:type="dxa"/>
        <w:jc w:val="left"/>
        <w:tblInd w:w="0" w:type="dxa"/>
        <w:tblLayout w:type="fixed"/>
        <w:tblCellMar>
          <w:top w:w="28" w:type="dxa"/>
          <w:left w:w="28" w:type="dxa"/>
          <w:bottom w:w="28" w:type="dxa"/>
          <w:right w:w="28" w:type="dxa"/>
        </w:tblCellMar>
      </w:tblPr>
      <w:tblGrid>
        <w:gridCol w:w="721"/>
        <w:gridCol w:w="211"/>
        <w:gridCol w:w="146"/>
        <w:gridCol w:w="1143"/>
        <w:gridCol w:w="166"/>
        <w:gridCol w:w="227"/>
        <w:gridCol w:w="157"/>
        <w:gridCol w:w="1116"/>
        <w:gridCol w:w="211"/>
      </w:tblGrid>
      <w:tr>
        <w:trPr/>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171,670,156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29,427,631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Taiwan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172,601,857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30,672,690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Current and deferred income tax expense consist of: </w:t>
      </w:r>
    </w:p>
    <w:p>
      <w:pPr>
        <w:pStyle w:val="TextBody"/>
        <w:bidi w:val="0"/>
        <w:jc w:val="left"/>
        <w:rPr/>
      </w:pPr>
      <w:r>
        <w:rPr/>
        <w:t> </w:t>
      </w:r>
    </w:p>
    <w:tbl>
      <w:tblPr>
        <w:tblW w:w="4073" w:type="dxa"/>
        <w:jc w:val="left"/>
        <w:tblInd w:w="0" w:type="dxa"/>
        <w:tblLayout w:type="fixed"/>
        <w:tblCellMar>
          <w:top w:w="28" w:type="dxa"/>
          <w:left w:w="28" w:type="dxa"/>
          <w:bottom w:w="28" w:type="dxa"/>
          <w:right w:w="28" w:type="dxa"/>
        </w:tblCellMar>
      </w:tblPr>
      <w:tblGrid>
        <w:gridCol w:w="736"/>
        <w:gridCol w:w="306"/>
        <w:gridCol w:w="212"/>
        <w:gridCol w:w="982"/>
        <w:gridCol w:w="146"/>
        <w:gridCol w:w="306"/>
        <w:gridCol w:w="212"/>
        <w:gridCol w:w="982"/>
        <w:gridCol w:w="191"/>
      </w:tblGrid>
      <w:tr>
        <w:trPr/>
        <w:tc>
          <w:tcPr>
            <w:tcW w:w="7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 benefit attributable to our loss before income taxes differs from the amounts computed using the applicable income tax rate as a result of the following factors: </w:t>
      </w:r>
    </w:p>
    <w:p>
      <w:pPr>
        <w:pStyle w:val="TextBody"/>
        <w:bidi w:val="0"/>
        <w:jc w:val="left"/>
        <w:rPr/>
      </w:pPr>
      <w:r>
        <w:rPr/>
        <w:t> </w:t>
      </w:r>
    </w:p>
    <w:tbl>
      <w:tblPr>
        <w:tblW w:w="9200" w:type="dxa"/>
        <w:jc w:val="left"/>
        <w:tblInd w:w="0" w:type="dxa"/>
        <w:tblLayout w:type="fixed"/>
        <w:tblCellMar>
          <w:top w:w="28" w:type="dxa"/>
          <w:left w:w="28" w:type="dxa"/>
          <w:bottom w:w="28" w:type="dxa"/>
          <w:right w:w="28" w:type="dxa"/>
        </w:tblCellMar>
      </w:tblPr>
      <w:tblGrid>
        <w:gridCol w:w="5401"/>
        <w:gridCol w:w="211"/>
        <w:gridCol w:w="162"/>
        <w:gridCol w:w="1338"/>
        <w:gridCol w:w="166"/>
        <w:gridCol w:w="211"/>
        <w:gridCol w:w="176"/>
        <w:gridCol w:w="1324"/>
        <w:gridCol w:w="211"/>
      </w:tblGrid>
      <w:tr>
        <w:trPr/>
        <w:tc>
          <w:tcPr>
            <w:tcW w:w="5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at statutory tax rates (a)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43,150,464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or non-taxable foreign currency exchange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rate differences (b)</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(29,893,933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(2,050,426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(12,858,776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(4,996,208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Amounts reflect adjustments (either a benefit or expense) to the “expected” tax expense for statutory rates in jurisdictions in which we operate outside of the UK.</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and its subsidiaries are liable to income taxes in their respective jurisdiction. The Company has unused tax losses as follows as at December 31, 2024: </w:t>
      </w:r>
    </w:p>
    <w:p>
      <w:pPr>
        <w:pStyle w:val="TextBody"/>
        <w:bidi w:val="0"/>
        <w:jc w:val="left"/>
        <w:rPr/>
      </w:pPr>
      <w:r>
        <w:rPr/>
        <w:t> </w:t>
      </w:r>
    </w:p>
    <w:tbl>
      <w:tblPr>
        <w:tblW w:w="3697" w:type="dxa"/>
        <w:jc w:val="left"/>
        <w:tblInd w:w="0" w:type="dxa"/>
        <w:tblLayout w:type="fixed"/>
        <w:tblCellMar>
          <w:top w:w="28" w:type="dxa"/>
          <w:left w:w="28" w:type="dxa"/>
          <w:bottom w:w="28" w:type="dxa"/>
          <w:right w:w="28" w:type="dxa"/>
        </w:tblCellMar>
      </w:tblPr>
      <w:tblGrid>
        <w:gridCol w:w="721"/>
        <w:gridCol w:w="211"/>
        <w:gridCol w:w="146"/>
        <w:gridCol w:w="1036"/>
        <w:gridCol w:w="146"/>
        <w:gridCol w:w="146"/>
        <w:gridCol w:w="1291"/>
      </w:tblGrid>
      <w:tr>
        <w:trPr/>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loss</w:t>
              <w:br/>
              <w:t>carryforward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UK (1)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41,980,917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6,238,596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Indefinite</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Spain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1,106,475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Indefinite</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India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N/A</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Taiwan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2,421,606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 years</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changes in our unrecognized tax benefits for the indicated periods are summarized below: </w:t>
      </w:r>
    </w:p>
    <w:p>
      <w:pPr>
        <w:pStyle w:val="TextBody"/>
        <w:bidi w:val="0"/>
        <w:jc w:val="left"/>
        <w:rPr/>
      </w:pPr>
      <w:r>
        <w:rPr/>
        <w:t> </w:t>
      </w:r>
    </w:p>
    <w:tbl>
      <w:tblPr>
        <w:tblW w:w="7809" w:type="dxa"/>
        <w:jc w:val="left"/>
        <w:tblInd w:w="0" w:type="dxa"/>
        <w:tblLayout w:type="fixed"/>
        <w:tblCellMar>
          <w:top w:w="28" w:type="dxa"/>
          <w:left w:w="28" w:type="dxa"/>
          <w:bottom w:w="28" w:type="dxa"/>
          <w:right w:w="28" w:type="dxa"/>
        </w:tblCellMar>
      </w:tblPr>
      <w:tblGrid>
        <w:gridCol w:w="4606"/>
        <w:gridCol w:w="211"/>
        <w:gridCol w:w="146"/>
        <w:gridCol w:w="1096"/>
        <w:gridCol w:w="166"/>
        <w:gridCol w:w="211"/>
        <w:gridCol w:w="146"/>
        <w:gridCol w:w="1036"/>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24,388,433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rate changes: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current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10,719,324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 (based on tax return)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16,505,726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lost on demerger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33,754,069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 assurance can be given that any of these tax benefits will be recognized or realized.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we do not expect any material reductions to our unrecognized tax benefits related to tax positions taken as of December 31, 2024. No assurance can be given as to the nature or impact of any changes in our unrecognized tax positions during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tax effects of temporary differences that give rise to the significant portions of our deferred tax assets and liabilities are presented below: </w:t>
      </w:r>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4276"/>
        <w:gridCol w:w="217"/>
        <w:gridCol w:w="150"/>
        <w:gridCol w:w="1132"/>
        <w:gridCol w:w="166"/>
        <w:gridCol w:w="227"/>
        <w:gridCol w:w="157"/>
        <w:gridCol w:w="1116"/>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and other carryforwards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33,754,069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PP&amp;E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party</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liability</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8,110,222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43,748,501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(20,869,428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 net of valuation allowance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not recognized any uncertain tax position for the year ended December 31, 2024 and December 31, 2023, respectively.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16. Commitments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pStyle w:val="TextBody"/>
        <w:bidi w:val="0"/>
        <w:spacing w:before="120" w:after="283"/>
        <w:jc w:val="left"/>
        <w:rPr/>
      </w:pPr>
      <w:r>
        <w:rPr/>
        <w:t> </w:t>
      </w:r>
    </w:p>
    <w:tbl>
      <w:tblPr>
        <w:tblW w:w="4163" w:type="dxa"/>
        <w:jc w:val="left"/>
        <w:tblInd w:w="0" w:type="dxa"/>
        <w:tblLayout w:type="fixed"/>
        <w:tblCellMar>
          <w:top w:w="28" w:type="dxa"/>
          <w:left w:w="28" w:type="dxa"/>
          <w:bottom w:w="28" w:type="dxa"/>
          <w:right w:w="28" w:type="dxa"/>
        </w:tblCellMar>
      </w:tblPr>
      <w:tblGrid>
        <w:gridCol w:w="2176"/>
        <w:gridCol w:w="146"/>
        <w:gridCol w:w="250"/>
        <w:gridCol w:w="173"/>
        <w:gridCol w:w="1227"/>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1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2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3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period starting on November 15, 2024 and continuing for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period starting at the end of Commitment Period 1 and continuing for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The period starting at the end of Commitment Period 2 and continuing for 12 months.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financial statements as of December 31, 2024, we have evaluated subsequent events through April 23, 2025, which is the date such financial statements are available to be issued. </w:t>
      </w:r>
    </w:p>
    <w:p>
      <w:pPr>
        <w:pStyle w:val="TextBody"/>
        <w:bidi w:val="0"/>
        <w:spacing w:before="360" w:after="283"/>
        <w:jc w:val="left"/>
        <w:rPr>
          <w:rFonts w:ascii="Times New Roman" w:hAnsi="Times New Roman"/>
          <w:sz w:val="20"/>
        </w:rPr>
      </w:pPr>
      <w:r>
        <w:rPr>
          <w:rFonts w:ascii="Times New Roman" w:hAnsi="Times New Roman"/>
          <w:i/>
          <w:color w:val="000000"/>
          <w:sz w:val="20"/>
        </w:rPr>
        <w:t>Senior-secured term-loan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committed amount of the Facility is $30,000,000 (the “Committed Amount”). The Company may draw the Committed Amount, in full but not in part, until February 20, 2025 upon the satisfaction or waiver of certain customary conditions precedent.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Lender or its affiliates have in the past provided and may from time to time in the future provide, investment banking and other services to the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DBLP is a related party and is wholly legally owned by Daniel Wagner and beneficially owned by John Wagner. Both Daniel Wagner and John Wagner are directors of DBLP.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Bluedot Industries, Inc., Bluedot Industries Pty. Ltd.and Bluedot Innovation Pty. Ltd, together “Bluedot”, is a developer of mobile location technology to enhance customer experiences.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and March 17, 2025, the Company closed the Bluedot Acquisition and issued the above mentioned ordinary shares as consideration to DBLP and the Tanist Group,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Bluedot was not deemed significant under Rule 3-05 of Regulation S-X (“Rule 3-05”).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GroupBy is an eCommerce Search and Product Discovery SaaS technology provider that powers some of the largest B2B and B2C brands.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2025, Rezolve closed the GroupBy acquisition. As consideration for the GroupBy acquisition, the Company issued an aggregate of 3,999,902 of its ordinary shares of the Company in a private placement to the Sellers.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GroupBy was deemed significant under Rule 3-05 and separate financial statements for GroupBy are included elsewhere in this prospectus.</w:t>
      </w:r>
    </w:p>
    <w:p>
      <w:pPr>
        <w:pStyle w:val="TextBody"/>
        <w:bidi w:val="0"/>
        <w:jc w:val="left"/>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of the Buyers or their affiliates have in the past provided and may from time to time in the future provide investment banking and other services to the Company.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Reduction of additional paid-in-capital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26, 2025, the board of the directors of the Company passed a resolution to reduce the additional paid-in-capital of the Company by $200,000,000. A recapitalization occurred capitalizing $200,000,000 to accumulated deficit.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 and other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smallCaps/>
          <w:color w:val="000000"/>
          <w:sz w:val="20"/>
        </w:rPr>
      </w:pPr>
      <w:bookmarkStart w:id="34" w:name="groupby_audit_mnp_report"/>
      <w:bookmarkEnd w:id="34"/>
      <w:r>
        <w:rPr>
          <w:rFonts w:ascii="Times New Roman" w:hAnsi="Times New Roman"/>
          <w:b/>
          <w:smallCaps/>
          <w:color w:val="000000"/>
          <w:sz w:val="20"/>
        </w:rPr>
        <w:t>INDEPENDENT AUDITOR'S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To the Board of Directors and Shareholders of GroupBy Group of Companies</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Material Uncertainty Related to Going Concern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Responsibilities of Management for the Combined Consolidated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Auditor’s Responsibilities for the Audit of the Combined Consolidated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performing an audit in accordance with generally accepted auditing standards,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 professional judgment and maintain professional skepticism throughout the audit.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 the appropriateness of accounting policies used and the reasonableness of significant accounting estimates made by management, as well as evaluate the overall presentation of the combined consolidated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jc w:val="left"/>
        <w:rPr/>
      </w:pPr>
      <w:r>
        <w:rPr/>
        <w:t> </w:t>
      </w:r>
    </w:p>
    <w:p>
      <w:pPr>
        <w:pStyle w:val="TextBody"/>
        <w:bidi w:val="0"/>
        <w:jc w:val="left"/>
        <w:rPr/>
      </w:pPr>
      <w:bookmarkStart w:id="35" w:name="independent_auditors_report_groupby"/>
      <w:bookmarkEnd w:id="35"/>
      <w:r>
        <w:rPr/>
        <w:t> </w:t>
      </w:r>
    </w:p>
    <w:p>
      <w:pPr>
        <w:pStyle w:val="TextBody"/>
        <w:bidi w:val="0"/>
        <w:jc w:val="left"/>
        <w:rPr>
          <w:rFonts w:ascii="Times New Roman" w:hAnsi="Times New Roman"/>
          <w:color w:val="000000"/>
          <w:sz w:val="20"/>
        </w:rPr>
      </w:pPr>
      <w:r>
        <w:rPr>
          <w:rFonts w:ascii="Times New Roman" w:hAnsi="Times New Roman"/>
          <w:color w:val="000000"/>
          <w:sz w:val="20"/>
        </w:rPr>
        <w:t>/s/ MNP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Chartered Professional Accountants</w:t>
      </w:r>
    </w:p>
    <w:p>
      <w:pPr>
        <w:pStyle w:val="TextBody"/>
        <w:bidi w:val="0"/>
        <w:jc w:val="left"/>
        <w:rPr>
          <w:rFonts w:ascii="Times New Roman" w:hAnsi="Times New Roman"/>
          <w:color w:val="000000"/>
          <w:sz w:val="20"/>
        </w:rPr>
      </w:pPr>
      <w:r>
        <w:rPr>
          <w:rFonts w:ascii="Times New Roman" w:hAnsi="Times New Roman"/>
          <w:color w:val="000000"/>
          <w:sz w:val="20"/>
        </w:rPr>
        <w:t>Licensed Public Accountants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Toronto, Ontario </w:t>
      </w:r>
    </w:p>
    <w:p>
      <w:pPr>
        <w:pStyle w:val="TextBody"/>
        <w:bidi w:val="0"/>
        <w:jc w:val="left"/>
        <w:rPr>
          <w:rFonts w:ascii="Times New Roman" w:hAnsi="Times New Roman"/>
          <w:color w:val="000000"/>
          <w:sz w:val="20"/>
        </w:rPr>
      </w:pPr>
      <w:r>
        <w:rPr>
          <w:rFonts w:ascii="Times New Roman" w:hAnsi="Times New Roman"/>
          <w:color w:val="000000"/>
          <w:sz w:val="20"/>
        </w:rPr>
        <w:t>April 14,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36" w:name="consolidated_balance_sheets"/>
      <w:bookmarkEnd w:id="36"/>
      <w:r>
        <w:rPr>
          <w:rFonts w:ascii="Times New Roman" w:hAnsi="Times New Roman"/>
          <w:b/>
          <w:color w:val="000000"/>
          <w:sz w:val="20"/>
        </w:rPr>
        <w:t>COMBINED CONSOLIDATED STATEMENT OF FINANCIAL POSITION</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9088" w:type="dxa"/>
        <w:jc w:val="left"/>
        <w:tblInd w:w="0" w:type="dxa"/>
        <w:tblLayout w:type="fixed"/>
        <w:tblCellMar>
          <w:top w:w="28" w:type="dxa"/>
          <w:left w:w="28" w:type="dxa"/>
          <w:bottom w:w="28" w:type="dxa"/>
          <w:right w:w="28" w:type="dxa"/>
        </w:tblCellMar>
      </w:tblPr>
      <w:tblGrid>
        <w:gridCol w:w="4698"/>
        <w:gridCol w:w="567"/>
        <w:gridCol w:w="242"/>
        <w:gridCol w:w="1258"/>
        <w:gridCol w:w="166"/>
        <w:gridCol w:w="146"/>
        <w:gridCol w:w="242"/>
        <w:gridCol w:w="1258"/>
        <w:gridCol w:w="511"/>
      </w:tblGrid>
      <w:tr>
        <w:trPr/>
        <w:tc>
          <w:tcPr>
            <w:tcW w:w="469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6,482,298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3,376,896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Accounts receivable </w:t>
            </w:r>
            <w:r>
              <w:rPr>
                <w:rFonts w:ascii="Times New Roman" w:hAnsi="Times New Roman"/>
                <w:i/>
                <w:color w:val="000000"/>
                <w:sz w:val="20"/>
              </w:rPr>
              <w:t>(Note 5, Note 15)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1,148,861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Investment tax credits receivable </w:t>
            </w:r>
            <w:r>
              <w:rPr>
                <w:rFonts w:ascii="Times New Roman" w:hAnsi="Times New Roman"/>
                <w:i/>
                <w:color w:val="000000"/>
                <w:sz w:val="20"/>
              </w:rPr>
              <w:t>(Note 7)</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Prepaid expenses and deposits </w:t>
            </w:r>
            <w:r>
              <w:rPr>
                <w:rFonts w:ascii="Times New Roman" w:hAnsi="Times New Roman"/>
                <w:i/>
                <w:color w:val="000000"/>
                <w:sz w:val="20"/>
              </w:rPr>
              <w:t>(Note 19)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1,146,327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1,153,536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taxes receivable</w:t>
            </w:r>
          </w:p>
        </w:tc>
        <w:tc>
          <w:tcPr>
            <w:tcW w:w="56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8,999,708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6,273,772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Non-current</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Property and equipment </w:t>
            </w:r>
            <w:r>
              <w:rPr>
                <w:rFonts w:ascii="Times New Roman" w:hAnsi="Times New Roman"/>
                <w:i/>
                <w:color w:val="000000"/>
                <w:sz w:val="20"/>
              </w:rPr>
              <w:t>(Note 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Right-of-use asset </w:t>
            </w:r>
            <w:r>
              <w:rPr>
                <w:rFonts w:ascii="Times New Roman" w:hAnsi="Times New Roman"/>
                <w:i/>
                <w:color w:val="000000"/>
                <w:sz w:val="20"/>
              </w:rPr>
              <w:t>(Note 8)</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 Assets</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374,938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9,174,276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6,648,710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Current</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Bank indebtedness </w:t>
            </w:r>
            <w:r>
              <w:rPr>
                <w:rFonts w:ascii="Times New Roman" w:hAnsi="Times New Roman"/>
                <w:i/>
                <w:color w:val="000000"/>
                <w:sz w:val="20"/>
              </w:rPr>
              <w:t>(Note 9)</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Accounts Payable and accrued liabilities </w:t>
            </w:r>
            <w:r>
              <w:rPr>
                <w:rFonts w:ascii="Times New Roman" w:hAnsi="Times New Roman"/>
                <w:i/>
                <w:color w:val="000000"/>
                <w:sz w:val="20"/>
              </w:rPr>
              <w:t>(Note 10, Note 15)</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21,598,041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10,416,166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taxes payable</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216,876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Deferred revenue </w:t>
            </w:r>
            <w:r>
              <w:rPr>
                <w:rFonts w:ascii="Times New Roman" w:hAnsi="Times New Roman"/>
                <w:i/>
                <w:color w:val="000000"/>
                <w:sz w:val="20"/>
              </w:rPr>
              <w:t>(Note 19)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8,584,886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8,118,419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Current portion of lease liabilities </w:t>
            </w:r>
            <w:r>
              <w:rPr>
                <w:rFonts w:ascii="Times New Roman" w:hAnsi="Times New Roman"/>
                <w:i/>
                <w:color w:val="000000"/>
                <w:sz w:val="20"/>
              </w:rPr>
              <w:t>(Note 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Warrant liability </w:t>
            </w:r>
            <w:r>
              <w:rPr>
                <w:rFonts w:ascii="Times New Roman" w:hAnsi="Times New Roman"/>
                <w:i/>
                <w:color w:val="000000"/>
                <w:sz w:val="20"/>
              </w:rPr>
              <w:t>(Note 11)</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42,246,145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30,823,750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Lease liabilities </w:t>
            </w:r>
            <w:r>
              <w:rPr>
                <w:rFonts w:ascii="Times New Roman" w:hAnsi="Times New Roman"/>
                <w:i/>
                <w:color w:val="000000"/>
                <w:sz w:val="20"/>
              </w:rPr>
              <w:t>(Note 8)</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42,395,090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31,012,719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b/>
                <w:color w:val="000000"/>
                <w:sz w:val="20"/>
              </w:rPr>
              <w:t xml:space="preserve">Contingencies </w:t>
            </w:r>
            <w:r>
              <w:rPr>
                <w:rFonts w:ascii="Times New Roman" w:hAnsi="Times New Roman"/>
                <w:i/>
                <w:color w:val="000000"/>
                <w:sz w:val="20"/>
              </w:rPr>
              <w:t>(Note 21)</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Deficit</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Share capital </w:t>
            </w:r>
            <w:r>
              <w:rPr>
                <w:rFonts w:ascii="Times New Roman" w:hAnsi="Times New Roman"/>
                <w:i/>
                <w:color w:val="000000"/>
                <w:sz w:val="20"/>
              </w:rPr>
              <w:t>(Note 13)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14,005,728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14,005,728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Warrants </w:t>
            </w:r>
            <w:r>
              <w:rPr>
                <w:rFonts w:ascii="Times New Roman" w:hAnsi="Times New Roman"/>
                <w:i/>
                <w:color w:val="000000"/>
                <w:sz w:val="20"/>
              </w:rPr>
              <w:t>(Note 14)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4,678,728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Deficit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(58,196,350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(49,263,493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Contributed surplus </w:t>
            </w:r>
            <w:r>
              <w:rPr>
                <w:rFonts w:ascii="Times New Roman" w:hAnsi="Times New Roman"/>
                <w:i/>
                <w:color w:val="000000"/>
                <w:sz w:val="20"/>
              </w:rPr>
              <w:t>(Note 20)</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6,291,080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6,215,028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Deficit</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(33,220,814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(24,364,009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Deficit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9,174,276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6,648,710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37" w:name="consolidated_statements_of_operations"/>
      <w:bookmarkEnd w:id="37"/>
      <w:r>
        <w:rPr>
          <w:rFonts w:ascii="Times New Roman" w:hAnsi="Times New Roman"/>
          <w:b/>
          <w:color w:val="000000"/>
          <w:sz w:val="20"/>
        </w:rPr>
        <w:t>COMBINED CONSOLIDATED STATEMENTS OF LOSS AND COMPREHENSIVE LOSS</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8375" w:type="dxa"/>
        <w:jc w:val="left"/>
        <w:tblInd w:w="0" w:type="dxa"/>
        <w:tblLayout w:type="fixed"/>
        <w:tblCellMar>
          <w:top w:w="28" w:type="dxa"/>
          <w:left w:w="28" w:type="dxa"/>
          <w:bottom w:w="28" w:type="dxa"/>
          <w:right w:w="28" w:type="dxa"/>
        </w:tblCellMar>
      </w:tblPr>
      <w:tblGrid>
        <w:gridCol w:w="4606"/>
        <w:gridCol w:w="246"/>
        <w:gridCol w:w="253"/>
        <w:gridCol w:w="1247"/>
        <w:gridCol w:w="166"/>
        <w:gridCol w:w="146"/>
        <w:gridCol w:w="253"/>
        <w:gridCol w:w="1247"/>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Revenue </w:t>
            </w:r>
            <w:r>
              <w:rPr>
                <w:rFonts w:ascii="Times New Roman" w:hAnsi="Times New Roman"/>
                <w:i/>
                <w:color w:val="000000"/>
                <w:sz w:val="20"/>
              </w:rPr>
              <w:t>(Note 19)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18,890,934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19,848,821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Costs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11,874,137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9,596,739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Gross profit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7,016,797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10,252,082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i/>
                <w:color w:val="000000"/>
                <w:sz w:val="20"/>
              </w:rPr>
              <w:t>(Note 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6,835,367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i/>
                <w:color w:val="000000"/>
                <w:sz w:val="20"/>
              </w:rPr>
              <w:t>(Note 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4,906,824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administration </w:t>
            </w:r>
            <w:r>
              <w:rPr>
                <w:rFonts w:ascii="Times New Roman" w:hAnsi="Times New Roman"/>
                <w:i/>
                <w:color w:val="000000"/>
                <w:sz w:val="20"/>
              </w:rPr>
              <w:t>(Note 12, Note 15, Note 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2,789,811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i/>
                <w:color w:val="000000"/>
                <w:sz w:val="20"/>
              </w:rPr>
              <w:t>(Note 6, Note 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14,732,372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14,401,283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the undernoted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(7,715,575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(4,149,201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expenses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and accretion </w:t>
            </w:r>
            <w:r>
              <w:rPr>
                <w:rFonts w:ascii="Times New Roman" w:hAnsi="Times New Roman"/>
                <w:i/>
                <w:color w:val="000000"/>
                <w:sz w:val="20"/>
              </w:rPr>
              <w:t>(Note 8, Note 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1,152,396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Gain on revaluation of warrant liability </w:t>
            </w:r>
            <w:r>
              <w:rPr>
                <w:rFonts w:ascii="Times New Roman" w:hAnsi="Times New Roman"/>
                <w:i/>
                <w:color w:val="000000"/>
                <w:sz w:val="20"/>
              </w:rPr>
              <w:t>(Note 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expenses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1,183,758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1,227,816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Loss before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(8,899,333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(5,377,017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Provision for income taxes </w:t>
            </w:r>
            <w:r>
              <w:rPr>
                <w:rFonts w:ascii="Times New Roman" w:hAnsi="Times New Roman"/>
                <w:i/>
                <w:color w:val="000000"/>
                <w:sz w:val="20"/>
              </w:rPr>
              <w:t>(Note 18)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(8,932,857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(5,697,931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38" w:name="consolidated_statements_of_changes_in"/>
      <w:bookmarkEnd w:id="38"/>
      <w:r>
        <w:rPr>
          <w:rFonts w:ascii="Times New Roman" w:hAnsi="Times New Roman"/>
          <w:b/>
          <w:color w:val="000000"/>
          <w:sz w:val="20"/>
        </w:rPr>
        <w:t>COMBINED CONSOLIDATED STATEMENTS OF CHANGES IN STOCKHOLDERS’ DEFICIT</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0"/>
        <w:gridCol w:w="146"/>
        <w:gridCol w:w="196"/>
        <w:gridCol w:w="916"/>
        <w:gridCol w:w="146"/>
        <w:gridCol w:w="146"/>
        <w:gridCol w:w="196"/>
        <w:gridCol w:w="826"/>
        <w:gridCol w:w="146"/>
        <w:gridCol w:w="146"/>
        <w:gridCol w:w="196"/>
        <w:gridCol w:w="826"/>
        <w:gridCol w:w="146"/>
        <w:gridCol w:w="146"/>
        <w:gridCol w:w="196"/>
        <w:gridCol w:w="976"/>
        <w:gridCol w:w="166"/>
        <w:gridCol w:w="146"/>
        <w:gridCol w:w="196"/>
        <w:gridCol w:w="976"/>
        <w:gridCol w:w="211"/>
      </w:tblGrid>
      <w:tr>
        <w:trPr/>
        <w:tc>
          <w:tcPr>
            <w:tcW w:w="3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Contributed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Surplus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14,005,728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4,678,728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6,085,161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(43,565,562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(18,795,945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(5,697,931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(5,697,931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Recognition of share-based payments </w:t>
            </w:r>
            <w:r>
              <w:rPr>
                <w:rFonts w:ascii="Times New Roman" w:hAnsi="Times New Roman"/>
                <w:i/>
                <w:color w:val="000000"/>
                <w:sz w:val="16"/>
              </w:rPr>
              <w:t>(Note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14,005,728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4,678,728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6,215,028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(49,263,493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(24,364,009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Recognition of share-based payments </w:t>
            </w:r>
            <w:r>
              <w:rPr>
                <w:rFonts w:ascii="Times New Roman" w:hAnsi="Times New Roman"/>
                <w:i/>
                <w:color w:val="000000"/>
                <w:sz w:val="16"/>
              </w:rPr>
              <w:t>(Note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14,005,728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4,678,728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6,291,080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(58,196,350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(33,220,814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39" w:name="consolidated_statements_of_cash_flows"/>
      <w:bookmarkEnd w:id="39"/>
      <w:r>
        <w:rPr>
          <w:rFonts w:ascii="Times New Roman" w:hAnsi="Times New Roman"/>
          <w:b/>
          <w:color w:val="000000"/>
          <w:sz w:val="20"/>
        </w:rPr>
        <w:t>COMBINED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8064" w:type="dxa"/>
        <w:jc w:val="left"/>
        <w:tblInd w:w="0" w:type="dxa"/>
        <w:tblLayout w:type="fixed"/>
        <w:tblCellMar>
          <w:top w:w="28" w:type="dxa"/>
          <w:left w:w="28" w:type="dxa"/>
          <w:bottom w:w="28" w:type="dxa"/>
          <w:right w:w="28" w:type="dxa"/>
        </w:tblCellMar>
      </w:tblPr>
      <w:tblGrid>
        <w:gridCol w:w="4396"/>
        <w:gridCol w:w="146"/>
        <w:gridCol w:w="227"/>
        <w:gridCol w:w="157"/>
        <w:gridCol w:w="1116"/>
        <w:gridCol w:w="166"/>
        <w:gridCol w:w="146"/>
        <w:gridCol w:w="234"/>
        <w:gridCol w:w="162"/>
        <w:gridCol w:w="1103"/>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provided by (used for) the following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(5,697,931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foreign exchange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revaluation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tax credits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10,415,075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1,233,267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3,264,176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Advances of bank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1,909,370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3,105,402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2,730,930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3,376,896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6,482,298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3,376,896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Supplementary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additions to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additions to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sz w:val="20"/>
        </w:rPr>
      </w:pPr>
      <w:bookmarkStart w:id="40" w:name="notes_to_financial_statements_"/>
      <w:bookmarkEnd w:id="40"/>
      <w:r>
        <w:rPr>
          <w:rFonts w:ascii="Times New Roman" w:hAnsi="Times New Roman"/>
          <w:b/>
          <w:color w:val="000000"/>
          <w:sz w:val="20"/>
        </w:rPr>
        <w:t>NOTES TO</w:t>
      </w:r>
      <w:r>
        <w:rPr>
          <w:rFonts w:ascii="Times New Roman" w:hAnsi="Times New Roman"/>
          <w:color w:val="000000"/>
          <w:sz w:val="20"/>
        </w:rPr>
        <w:t xml:space="preserve"> </w:t>
      </w:r>
      <w:r>
        <w:rPr>
          <w:rFonts w:ascii="Times New Roman" w:hAnsi="Times New Roman"/>
          <w:b/>
          <w:color w:val="000000"/>
          <w:sz w:val="20"/>
        </w:rPr>
        <w:t>COMBINED CONSOLIDIDATED FINANCIAL STATEMENTS</w:t>
      </w:r>
    </w:p>
    <w:p>
      <w:pPr>
        <w:pStyle w:val="TextBody"/>
        <w:bidi w:val="0"/>
        <w:jc w:val="center"/>
        <w:rPr>
          <w:rFonts w:ascii="Times New Roman" w:hAnsi="Times New Roman"/>
          <w:i/>
          <w:color w:val="000000"/>
          <w:sz w:val="18"/>
        </w:rPr>
      </w:pPr>
      <w:r>
        <w:rPr>
          <w:rFonts w:ascii="Times New Roman" w:hAnsi="Times New Roman"/>
          <w:i/>
          <w:color w:val="000000"/>
          <w:sz w:val="18"/>
        </w:rPr>
        <w:t>For the year ended December 31, 2024</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Nature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GroupBy Group of Companies (the “Group”) provides e-commerce software solutions that help their customers better connect with their customers by creating a more relevant user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and registered address of the Group’s registered office is 250 The Esplanade, Suite 500, Toronto, ON M5A 4J6.</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Statement of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combined consolidated financial statements were approved by the Group’s board of directors on April 12, 2025.</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consolidated financial statements were prepared on a going concern basis under the historical cost basis except for the revaluation of certain financial instruments. The principal accounting policies are set out in Note 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2024, the Group incurred a net loss before other expenses and income taxes of $ 7,715,575 (2023 - $4,149,201 ) 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Functional and presentation currency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financial statements are presented in United States dollars, which is the functional currency of each entity within the Group.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judgments, estimates and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Judgments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Embedded derivative and warrant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Functional currency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pStyle w:val="TextBody"/>
        <w:bidi w:val="0"/>
        <w:spacing w:before="240" w:after="283"/>
        <w:jc w:val="left"/>
        <w:rPr>
          <w:rFonts w:ascii="Times New Roman" w:hAnsi="Times New Roman"/>
          <w:sz w:val="20"/>
        </w:rPr>
      </w:pPr>
      <w:r>
        <w:rPr>
          <w:rFonts w:ascii="Times New Roman" w:hAnsi="Times New Roman"/>
          <w:b/>
          <w:i/>
          <w:color w:val="000000"/>
          <w:sz w:val="20"/>
        </w:rPr>
        <w:t>Recoverability of the carrying values of property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Identification of cash-generating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assesses its current liquidity and operational environment to determine if the going concern assumption is appropriate.</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Key sources of estimation uncertainty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Depreciation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of the Group's property and equipment involves estimating their useful lives and residual values. These estimates may change as more experience is obtained, thereby impacting the value of the Group's property and equipment.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estimates and assumptions are reviewed periodically and as adjustments become necessary, they are reported in net loss in the years in which they become known. Actual results may differ significantly from management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Valuation of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Expected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Material accounting policy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principle accounting policies adopted in the preparation of the combined consolidated financial statements are set out below. The policies have been consistently applied to all the years presented, unless otherwise stated.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consolidation and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translation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combined consolidated financial statements have been presented in United States ("US") dollars, the functional currency of the Group's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 from contracts with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Identifying the contract with a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Identifying the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Determining the 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Allocating the transaction price to the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Recognizing revenue when (or as) performance obligations are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 and deferred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tax is the expected taxes payable on the taxable income for the year, using tax rates enacted, or substantively enacted, at the end of the reporting period, and any adjustment to tax payable in respect of previous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is provided using the declining balance method at rates intended to depreciate the cost of assets over their estimated useful lives.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methods of depreciation and depreciation rates applicable for each class of asset during the current and comparative years are as follows:</w:t>
      </w:r>
    </w:p>
    <w:p>
      <w:pPr>
        <w:pStyle w:val="TextBody"/>
        <w:bidi w:val="0"/>
        <w:spacing w:before="240" w:after="283"/>
        <w:jc w:val="left"/>
        <w:rPr/>
      </w:pPr>
      <w:r>
        <w:rPr/>
        <w:t> </w:t>
      </w:r>
    </w:p>
    <w:tbl>
      <w:tblPr>
        <w:tblW w:w="4567" w:type="dxa"/>
        <w:jc w:val="left"/>
        <w:tblInd w:w="0" w:type="dxa"/>
        <w:tblLayout w:type="fixed"/>
        <w:tblCellMar>
          <w:top w:w="28" w:type="dxa"/>
          <w:left w:w="28" w:type="dxa"/>
          <w:bottom w:w="28" w:type="dxa"/>
          <w:right w:w="28" w:type="dxa"/>
        </w:tblCellMar>
      </w:tblPr>
      <w:tblGrid>
        <w:gridCol w:w="1876"/>
        <w:gridCol w:w="146"/>
        <w:gridCol w:w="1621"/>
        <w:gridCol w:w="146"/>
        <w:gridCol w:w="146"/>
        <w:gridCol w:w="316"/>
        <w:gridCol w:w="31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Residual values, method of depreciation and useful lives of the assets are reviewed annually and adjusted, if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Gains and losses on disposals of property and equipment are determined by comparing the proceeds with the carrying amount of the asset and are included in the combined consolidated statement of loss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equity instruments granted is recognized as an expense over the vesting period, based on the Group's estimate of the number of equity instruments that will eventually vest, with a corresponding increase to contributed surplus.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costs, other than those related to financial instruments classified as FVTPL, which are expensed as incurred,are capitalized to the carrying amount of the instrument and amortized using the effective interest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the Group's classification of their financial instruments is disclosed below: </w:t>
      </w:r>
    </w:p>
    <w:p>
      <w:pPr>
        <w:pStyle w:val="TextBody"/>
        <w:bidi w:val="0"/>
        <w:jc w:val="left"/>
        <w:rPr/>
      </w:pPr>
      <w:r>
        <w:rPr/>
        <w:t> </w:t>
      </w:r>
    </w:p>
    <w:tbl>
      <w:tblPr>
        <w:tblW w:w="5139" w:type="dxa"/>
        <w:jc w:val="left"/>
        <w:tblInd w:w="0" w:type="dxa"/>
        <w:tblLayout w:type="fixed"/>
        <w:tblCellMar>
          <w:top w:w="28" w:type="dxa"/>
          <w:left w:w="28" w:type="dxa"/>
          <w:bottom w:w="28" w:type="dxa"/>
          <w:right w:w="28" w:type="dxa"/>
        </w:tblCellMar>
      </w:tblPr>
      <w:tblGrid>
        <w:gridCol w:w="3421"/>
        <w:gridCol w:w="146"/>
        <w:gridCol w:w="1381"/>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FVTPL</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tax credits and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FVTPL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Compound financial instruments and embedded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Group had the following receivables at the end of each reporting year: </w:t>
      </w:r>
    </w:p>
    <w:p>
      <w:pPr>
        <w:pStyle w:val="TextBody"/>
        <w:bidi w:val="0"/>
        <w:jc w:val="left"/>
        <w:rPr/>
      </w:pPr>
      <w:r>
        <w:rPr/>
        <w:t> </w:t>
      </w:r>
    </w:p>
    <w:tbl>
      <w:tblPr>
        <w:tblW w:w="8036" w:type="dxa"/>
        <w:jc w:val="left"/>
        <w:tblInd w:w="0" w:type="dxa"/>
        <w:tblLayout w:type="fixed"/>
        <w:tblCellMar>
          <w:top w:w="28" w:type="dxa"/>
          <w:left w:w="28" w:type="dxa"/>
          <w:bottom w:w="28" w:type="dxa"/>
          <w:right w:w="28" w:type="dxa"/>
        </w:tblCellMar>
      </w:tblPr>
      <w:tblGrid>
        <w:gridCol w:w="4261"/>
        <w:gridCol w:w="146"/>
        <w:gridCol w:w="277"/>
        <w:gridCol w:w="1223"/>
        <w:gridCol w:w="146"/>
        <w:gridCol w:w="146"/>
        <w:gridCol w:w="277"/>
        <w:gridCol w:w="1223"/>
        <w:gridCol w:w="14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2,094,161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Harmonized sales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2,398,367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provision for expected credit losses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1,148,861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1,594,710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66"/>
        <w:gridCol w:w="211"/>
        <w:gridCol w:w="188"/>
        <w:gridCol w:w="1084"/>
        <w:gridCol w:w="166"/>
        <w:gridCol w:w="211"/>
        <w:gridCol w:w="187"/>
        <w:gridCol w:w="946"/>
        <w:gridCol w:w="166"/>
        <w:gridCol w:w="211"/>
        <w:gridCol w:w="189"/>
        <w:gridCol w:w="1090"/>
        <w:gridCol w:w="166"/>
        <w:gridCol w:w="211"/>
        <w:gridCol w:w="179"/>
        <w:gridCol w:w="908"/>
        <w:gridCol w:w="166"/>
        <w:gridCol w:w="211"/>
        <w:gridCol w:w="146"/>
        <w:gridCol w:w="841"/>
        <w:gridCol w:w="166"/>
        <w:gridCol w:w="496"/>
      </w:tblGrid>
      <w:tr>
        <w:trPr/>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Computer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Computer sofware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Funiture and fixtures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Right-of-use assets and lease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at December 31, 2024, the Group's right-of-use assets and lease liabilities include a lease agreement for office premises in Toronto, Ontario.</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Right-of-use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illustrates the right-of-use assets balance during the year:</w:t>
      </w:r>
    </w:p>
    <w:p>
      <w:pPr>
        <w:pStyle w:val="TextBody"/>
        <w:bidi w:val="0"/>
        <w:jc w:val="left"/>
        <w:rPr/>
      </w:pPr>
      <w:r>
        <w:rPr/>
        <w:t> </w:t>
      </w:r>
    </w:p>
    <w:tbl>
      <w:tblPr>
        <w:tblW w:w="5158" w:type="dxa"/>
        <w:jc w:val="left"/>
        <w:tblInd w:w="0" w:type="dxa"/>
        <w:tblLayout w:type="fixed"/>
        <w:tblCellMar>
          <w:top w:w="28" w:type="dxa"/>
          <w:left w:w="28" w:type="dxa"/>
          <w:bottom w:w="28" w:type="dxa"/>
          <w:right w:w="28" w:type="dxa"/>
        </w:tblCellMar>
      </w:tblPr>
      <w:tblGrid>
        <w:gridCol w:w="3021"/>
        <w:gridCol w:w="211"/>
        <w:gridCol w:w="179"/>
        <w:gridCol w:w="1036"/>
        <w:gridCol w:w="711"/>
      </w:tblGrid>
      <w:tr>
        <w:trPr/>
        <w:tc>
          <w:tcPr>
            <w:tcW w:w="3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 premises</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232,758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232,758</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466,165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Derecognition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Derecognition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58,190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174,568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Additions to the right-of-use assets during the year were $nil (2023 - $232,758).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right-of-use assets are depreciated on a straight-line basis over the term of the respective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out the maturity analysis of the lease liabilities:</w:t>
      </w:r>
    </w:p>
    <w:p>
      <w:pPr>
        <w:pStyle w:val="TextBody"/>
        <w:bidi w:val="0"/>
        <w:spacing w:before="240" w:after="283"/>
        <w:jc w:val="left"/>
        <w:rPr/>
      </w:pPr>
      <w:r>
        <w:rPr/>
        <w:t> </w:t>
      </w:r>
    </w:p>
    <w:tbl>
      <w:tblPr>
        <w:tblW w:w="9334" w:type="dxa"/>
        <w:jc w:val="left"/>
        <w:tblInd w:w="0" w:type="dxa"/>
        <w:tblLayout w:type="fixed"/>
        <w:tblCellMar>
          <w:top w:w="28" w:type="dxa"/>
          <w:left w:w="28" w:type="dxa"/>
          <w:bottom w:w="28" w:type="dxa"/>
          <w:right w:w="28" w:type="dxa"/>
        </w:tblCellMar>
      </w:tblPr>
      <w:tblGrid>
        <w:gridCol w:w="6721"/>
        <w:gridCol w:w="146"/>
        <w:gridCol w:w="211"/>
        <w:gridCol w:w="781"/>
        <w:gridCol w:w="146"/>
        <w:gridCol w:w="146"/>
        <w:gridCol w:w="211"/>
        <w:gridCol w:w="781"/>
        <w:gridCol w:w="1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analysis - contractual undiscounted cash 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More than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undiscounted lease liabilities as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included in the statement of financial position as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2024, the Group incurred interest expense of $nil (2023 - $2,783) on the lease liabilities, which was included in interest and accretion in the combined consolidated statement of loss and other comprehensive loss.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Bank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the Group recognized interest expense of $1,147,083 (2023 - $1,140,563) related to the above facilities, which is included in interest and accretion expense on the combined consolidated statement of loss and other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remittances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remittances payable of $12,662 (2023 - $4,374) related to United States sales taxes and United Kingdom value added taxes are included in accounts payable and accrued liabilities as at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Warrant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payments</w:t>
      </w:r>
    </w:p>
    <w:p>
      <w:pPr>
        <w:pStyle w:val="TextBody"/>
        <w:bidi w:val="0"/>
        <w:jc w:val="left"/>
        <w:rPr/>
      </w:pPr>
      <w:r>
        <w:rPr/>
        <w:t> </w:t>
      </w:r>
    </w:p>
    <w:tbl>
      <w:tblPr>
        <w:tblW w:w="8068" w:type="dxa"/>
        <w:jc w:val="left"/>
        <w:tblInd w:w="0" w:type="dxa"/>
        <w:tblLayout w:type="fixed"/>
        <w:tblCellMar>
          <w:top w:w="28" w:type="dxa"/>
          <w:left w:w="28" w:type="dxa"/>
          <w:bottom w:w="28" w:type="dxa"/>
          <w:right w:w="28" w:type="dxa"/>
        </w:tblCellMar>
      </w:tblPr>
      <w:tblGrid>
        <w:gridCol w:w="3526"/>
        <w:gridCol w:w="146"/>
        <w:gridCol w:w="146"/>
        <w:gridCol w:w="1036"/>
        <w:gridCol w:w="166"/>
        <w:gridCol w:w="146"/>
        <w:gridCol w:w="609"/>
        <w:gridCol w:w="1956"/>
        <w:gridCol w:w="14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Exercise Price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14,725,556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8579" w:type="dxa"/>
        <w:jc w:val="left"/>
        <w:tblInd w:w="0" w:type="dxa"/>
        <w:tblLayout w:type="fixed"/>
        <w:tblCellMar>
          <w:top w:w="28" w:type="dxa"/>
          <w:left w:w="28" w:type="dxa"/>
          <w:bottom w:w="28" w:type="dxa"/>
          <w:right w:w="28" w:type="dxa"/>
        </w:tblCellMar>
      </w:tblPr>
      <w:tblGrid>
        <w:gridCol w:w="1741"/>
        <w:gridCol w:w="146"/>
        <w:gridCol w:w="194"/>
        <w:gridCol w:w="1381"/>
        <w:gridCol w:w="146"/>
        <w:gridCol w:w="146"/>
        <w:gridCol w:w="152"/>
        <w:gridCol w:w="1078"/>
        <w:gridCol w:w="146"/>
        <w:gridCol w:w="146"/>
        <w:gridCol w:w="264"/>
        <w:gridCol w:w="846"/>
        <w:gridCol w:w="146"/>
        <w:gridCol w:w="146"/>
        <w:gridCol w:w="407"/>
        <w:gridCol w:w="1303"/>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br/>
              <w:t>exercisable at</w:t>
              <w:br/>
              <w:t>Liquidity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life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17, 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13, 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25, 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25,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21,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27,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15,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27,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28,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25,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12,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15,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18,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5,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14,725,556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14,725,556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are the assumptions that were used to value the options issued during the year ended December 31, 2024:</w:t>
      </w:r>
    </w:p>
    <w:p>
      <w:pPr>
        <w:pStyle w:val="TextBody"/>
        <w:bidi w:val="0"/>
        <w:jc w:val="left"/>
        <w:rPr/>
      </w:pPr>
      <w:r>
        <w:rPr/>
        <w:t> </w:t>
      </w:r>
    </w:p>
    <w:tbl>
      <w:tblPr>
        <w:tblW w:w="7215" w:type="dxa"/>
        <w:jc w:val="left"/>
        <w:tblInd w:w="0" w:type="dxa"/>
        <w:tblLayout w:type="fixed"/>
        <w:tblCellMar>
          <w:top w:w="28" w:type="dxa"/>
          <w:left w:w="28" w:type="dxa"/>
          <w:bottom w:w="28" w:type="dxa"/>
          <w:right w:w="28" w:type="dxa"/>
        </w:tblCellMar>
      </w:tblPr>
      <w:tblGrid>
        <w:gridCol w:w="3916"/>
        <w:gridCol w:w="146"/>
        <w:gridCol w:w="424"/>
        <w:gridCol w:w="941"/>
        <w:gridCol w:w="146"/>
        <w:gridCol w:w="146"/>
        <w:gridCol w:w="406"/>
        <w:gridCol w:w="899"/>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2.79% - 4.39%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3.56% - 4.96%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Share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authorized capital consists of:- An unlimited number of Class A common shares in the capital of GroupBy Inc. and GroupBy International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B common shares in the capital of GroupBy Inc. and GroupBy International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C common shares in the capital of GroupBy Inc. and GroupBy International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D common shares in the capital of GroupBy Inc. and GroupBy International Ltd.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A preferred shares in the capital of GroupBy Inc. and GroupBy International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A-1 preferred shares in the capital of GroupBy Inc. and GroupBy International Ltd.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Class A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Class B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Class C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Class D common shares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 to receive notice of and attend any meeting of the shareholders of the Group and shall be entitled to 1.0000000000003 votes in respect of each Class D common share held at all meetings of shareholders of the Group.</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Class A preferred shares and Class A-1 preferred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pStyle w:val="TextBody"/>
        <w:bidi w:val="0"/>
        <w:jc w:val="left"/>
        <w:rPr/>
      </w:pPr>
      <w:r>
        <w:rPr/>
        <w:t> </w:t>
      </w:r>
    </w:p>
    <w:tbl>
      <w:tblPr>
        <w:tblW w:w="7804" w:type="dxa"/>
        <w:jc w:val="left"/>
        <w:tblInd w:w="0" w:type="dxa"/>
        <w:tblLayout w:type="fixed"/>
        <w:tblCellMar>
          <w:top w:w="28" w:type="dxa"/>
          <w:left w:w="28" w:type="dxa"/>
          <w:bottom w:w="28" w:type="dxa"/>
          <w:right w:w="28" w:type="dxa"/>
        </w:tblCellMar>
      </w:tblPr>
      <w:tblGrid>
        <w:gridCol w:w="4681"/>
        <w:gridCol w:w="146"/>
        <w:gridCol w:w="211"/>
        <w:gridCol w:w="1036"/>
        <w:gridCol w:w="146"/>
        <w:gridCol w:w="146"/>
        <w:gridCol w:w="211"/>
        <w:gridCol w:w="1036"/>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6,075,633 Class A common shares (2023 - 6,075,633)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28,188,792 Class B common shares (2023 - 28,188,792)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4,533,882 Class D common shares (2023 - 4,533,882)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14,492,467 Class A preferred shares (2023 - 14,492,467)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13,168,946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13,168,946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14,005,728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8"/>
        <w:gridCol w:w="146"/>
        <w:gridCol w:w="265"/>
        <w:gridCol w:w="1304"/>
        <w:gridCol w:w="146"/>
        <w:gridCol w:w="146"/>
        <w:gridCol w:w="753"/>
        <w:gridCol w:w="1664"/>
        <w:gridCol w:w="146"/>
        <w:gridCol w:w="146"/>
        <w:gridCol w:w="211"/>
        <w:gridCol w:w="931"/>
        <w:gridCol w:w="146"/>
        <w:gridCol w:w="193"/>
      </w:tblGrid>
      <w:tr>
        <w:trPr/>
        <w:tc>
          <w:tcPr>
            <w:tcW w:w="4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Weigthed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included in equity,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expired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included in equity,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warrants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expired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included in equity,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11,429,093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4,678,728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as part of its operations carries a number of financial instruments. It is management's opinion that the Group is not exposed to significant interest, currency or credit risks arising from these financial instruments except as otherwise disclosed.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is exposed to interest rate cash flow risk on its bank indebtedness as it is subject to a floating interest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is exposed to interest rate price risk on its lease liabilities as they are subject to fixed interest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Group's financial liabilities that would be settled by cash resources and contractual maturities as follows:</w:t>
      </w:r>
    </w:p>
    <w:p>
      <w:pPr>
        <w:pStyle w:val="TextBody"/>
        <w:bidi w:val="0"/>
        <w:jc w:val="left"/>
        <w:rPr/>
      </w:pPr>
      <w:r>
        <w:rPr/>
        <w:t> </w:t>
      </w:r>
    </w:p>
    <w:tbl>
      <w:tblPr>
        <w:tblW w:w="8673" w:type="dxa"/>
        <w:jc w:val="left"/>
        <w:tblInd w:w="0" w:type="dxa"/>
        <w:tblLayout w:type="fixed"/>
        <w:tblCellMar>
          <w:top w:w="28" w:type="dxa"/>
          <w:left w:w="28" w:type="dxa"/>
          <w:bottom w:w="28" w:type="dxa"/>
          <w:right w:w="28" w:type="dxa"/>
        </w:tblCellMar>
      </w:tblPr>
      <w:tblGrid>
        <w:gridCol w:w="3421"/>
        <w:gridCol w:w="146"/>
        <w:gridCol w:w="211"/>
        <w:gridCol w:w="1036"/>
        <w:gridCol w:w="146"/>
        <w:gridCol w:w="146"/>
        <w:gridCol w:w="231"/>
        <w:gridCol w:w="549"/>
        <w:gridCol w:w="146"/>
        <w:gridCol w:w="146"/>
        <w:gridCol w:w="227"/>
        <w:gridCol w:w="538"/>
        <w:gridCol w:w="146"/>
        <w:gridCol w:w="146"/>
        <w:gridCol w:w="211"/>
        <w:gridCol w:w="103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20,831,240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Note 8 describes the contractual maturities of the Group's lease liabilities.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146"/>
        <w:gridCol w:w="211"/>
        <w:gridCol w:w="931"/>
        <w:gridCol w:w="146"/>
        <w:gridCol w:w="146"/>
        <w:gridCol w:w="327"/>
        <w:gridCol w:w="1448"/>
        <w:gridCol w:w="146"/>
        <w:gridCol w:w="146"/>
        <w:gridCol w:w="146"/>
        <w:gridCol w:w="421"/>
        <w:gridCol w:w="301"/>
        <w:gridCol w:w="146"/>
        <w:gridCol w:w="211"/>
        <w:gridCol w:w="931"/>
        <w:gridCol w:w="146"/>
        <w:gridCol w:w="146"/>
        <w:gridCol w:w="322"/>
        <w:gridCol w:w="1421"/>
        <w:gridCol w:w="146"/>
        <w:gridCol w:w="146"/>
        <w:gridCol w:w="146"/>
        <w:gridCol w:w="421"/>
        <w:gridCol w:w="319"/>
      </w:tblGrid>
      <w:tr>
        <w:trPr/>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 receivable aging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Lifetime expected credit loss 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Lifetime expected credit loss 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0-30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90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2,094,161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pStyle w:val="TextBody"/>
        <w:bidi w:val="0"/>
        <w:spacing w:before="240" w:after="283"/>
        <w:jc w:val="left"/>
        <w:rPr/>
      </w:pPr>
      <w:r>
        <w:rPr/>
        <w:t> </w:t>
      </w:r>
    </w:p>
    <w:tbl>
      <w:tblPr>
        <w:tblW w:w="6825" w:type="dxa"/>
        <w:jc w:val="left"/>
        <w:tblInd w:w="0" w:type="dxa"/>
        <w:tblLayout w:type="fixed"/>
        <w:tblCellMar>
          <w:top w:w="28" w:type="dxa"/>
          <w:left w:w="28" w:type="dxa"/>
          <w:bottom w:w="28" w:type="dxa"/>
          <w:right w:w="28" w:type="dxa"/>
        </w:tblCellMar>
      </w:tblPr>
      <w:tblGrid>
        <w:gridCol w:w="3721"/>
        <w:gridCol w:w="146"/>
        <w:gridCol w:w="211"/>
        <w:gridCol w:w="781"/>
        <w:gridCol w:w="146"/>
        <w:gridCol w:w="146"/>
        <w:gridCol w:w="211"/>
        <w:gridCol w:w="826"/>
        <w:gridCol w:w="146"/>
        <w:gridCol w:w="4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Canadian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Investment tax credits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British pound 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 and balances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Key management compensation of the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Key management personnel are comprised of four (2023 - four) of the Group’s directors and executive officers. In addition to salaries and benefits, key management personnel also receive share-based payments, which are further described in Note 12, and management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management personnel compensation is as follows:</w:t>
      </w:r>
    </w:p>
    <w:p>
      <w:pPr>
        <w:pStyle w:val="TextBody"/>
        <w:bidi w:val="0"/>
        <w:jc w:val="left"/>
        <w:rPr/>
      </w:pPr>
      <w:r>
        <w:rPr/>
        <w:t> </w:t>
      </w:r>
    </w:p>
    <w:tbl>
      <w:tblPr>
        <w:tblW w:w="8625" w:type="dxa"/>
        <w:jc w:val="left"/>
        <w:tblInd w:w="0" w:type="dxa"/>
        <w:tblLayout w:type="fixed"/>
        <w:tblCellMar>
          <w:top w:w="28" w:type="dxa"/>
          <w:left w:w="28" w:type="dxa"/>
          <w:bottom w:w="28" w:type="dxa"/>
          <w:right w:w="28" w:type="dxa"/>
        </w:tblCellMar>
      </w:tblPr>
      <w:tblGrid>
        <w:gridCol w:w="5866"/>
        <w:gridCol w:w="146"/>
        <w:gridCol w:w="211"/>
        <w:gridCol w:w="781"/>
        <w:gridCol w:w="146"/>
        <w:gridCol w:w="146"/>
        <w:gridCol w:w="211"/>
        <w:gridCol w:w="781"/>
        <w:gridCol w:w="146"/>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benefits (included in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(included in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857,788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943,942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Capital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reconciliation of the combined Canadian federal and provincial statutory income tax rate of 26.5% (2023- 26.5%) to the effective tax rate is as follows:</w:t>
      </w:r>
    </w:p>
    <w:p>
      <w:pPr>
        <w:pStyle w:val="TextBody"/>
        <w:bidi w:val="0"/>
        <w:spacing w:before="240" w:after="283"/>
        <w:jc w:val="left"/>
        <w:rPr/>
      </w:pPr>
      <w:r>
        <w:rPr/>
        <w:t> </w:t>
      </w:r>
    </w:p>
    <w:tbl>
      <w:tblPr>
        <w:tblW w:w="7889" w:type="dxa"/>
        <w:jc w:val="left"/>
        <w:tblInd w:w="0" w:type="dxa"/>
        <w:tblLayout w:type="fixed"/>
        <w:tblCellMar>
          <w:top w:w="28" w:type="dxa"/>
          <w:left w:w="28" w:type="dxa"/>
          <w:bottom w:w="28" w:type="dxa"/>
          <w:right w:w="28" w:type="dxa"/>
        </w:tblCellMar>
      </w:tblPr>
      <w:tblGrid>
        <w:gridCol w:w="4606"/>
        <w:gridCol w:w="196"/>
        <w:gridCol w:w="146"/>
        <w:gridCol w:w="1111"/>
        <w:gridCol w:w="166"/>
        <w:gridCol w:w="196"/>
        <w:gridCol w:w="146"/>
        <w:gridCol w:w="1111"/>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recovery of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(8,899,333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(5,377,017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income tax recovery at 26.5%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(2,358,330.00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(1,424,909.00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Difference in tax rates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adjustments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Tax</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FX translation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948,432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based compensation and non-deductible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 to filing adjustment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tax benefits not recognized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1,225,375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1,850,140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Group's income tax is allocated as follows: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following table summarizes the components of deferred tax:</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obligations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SR&amp;ED pool from T661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Financing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Federal ITCs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assets and lease receivables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(58,599.00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12(1)(x) Inducement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tax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Unrecognized deferred tax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pStyle w:val="TextBody"/>
        <w:bidi w:val="0"/>
        <w:jc w:val="left"/>
        <w:rPr/>
      </w:pPr>
      <w:r>
        <w:rPr/>
        <w:t> </w:t>
      </w:r>
    </w:p>
    <w:tbl>
      <w:tblPr>
        <w:tblW w:w="6769" w:type="dxa"/>
        <w:jc w:val="left"/>
        <w:tblInd w:w="0" w:type="dxa"/>
        <w:tblLayout w:type="fixed"/>
        <w:tblCellMar>
          <w:top w:w="28" w:type="dxa"/>
          <w:left w:w="28" w:type="dxa"/>
          <w:bottom w:w="28" w:type="dxa"/>
          <w:right w:w="28" w:type="dxa"/>
        </w:tblCellMar>
      </w:tblPr>
      <w:tblGrid>
        <w:gridCol w:w="3646"/>
        <w:gridCol w:w="211"/>
        <w:gridCol w:w="146"/>
        <w:gridCol w:w="1036"/>
        <w:gridCol w:w="146"/>
        <w:gridCol w:w="211"/>
        <w:gridCol w:w="146"/>
        <w:gridCol w:w="1036"/>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1,084,954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reserves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issuance costs - 20(1)(e)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Non-capital losses carried forward - Canada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39,585,210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37,762,917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Non-capital losses carried forward - Foreign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SR&amp;ED pool from T661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Costs - US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ORDTC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donations carryforward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46,418,316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41,731,303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unused Canadian non-capital income tax losses, for which no deferred tax has been recognized, expires as follows:</w:t>
      </w:r>
    </w:p>
    <w:p>
      <w:pPr>
        <w:pStyle w:val="TextBody"/>
        <w:bidi w:val="0"/>
        <w:jc w:val="left"/>
        <w:rPr/>
      </w:pPr>
      <w:r>
        <w:rPr/>
        <w:t> </w:t>
      </w:r>
    </w:p>
    <w:tbl>
      <w:tblPr>
        <w:tblW w:w="2316" w:type="dxa"/>
        <w:jc w:val="left"/>
        <w:tblInd w:w="0" w:type="dxa"/>
        <w:tblLayout w:type="fixed"/>
        <w:tblCellMar>
          <w:top w:w="28" w:type="dxa"/>
          <w:left w:w="28" w:type="dxa"/>
          <w:bottom w:w="28" w:type="dxa"/>
          <w:right w:w="28" w:type="dxa"/>
        </w:tblCellMar>
      </w:tblPr>
      <w:tblGrid>
        <w:gridCol w:w="586"/>
        <w:gridCol w:w="211"/>
        <w:gridCol w:w="146"/>
        <w:gridCol w:w="1036"/>
        <w:gridCol w:w="146"/>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1,275,928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3,580,452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4,935,279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4,948,348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2,178,411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3,157,169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8,197,548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5,312,888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5,014,108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39,585,210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pStyle w:val="TextBody"/>
        <w:bidi w:val="0"/>
        <w:spacing w:before="240" w:after="283"/>
        <w:jc w:val="left"/>
        <w:rPr/>
      </w:pPr>
      <w:r>
        <w:rPr/>
        <w:t> </w:t>
      </w:r>
    </w:p>
    <w:tbl>
      <w:tblPr>
        <w:tblW w:w="8264" w:type="dxa"/>
        <w:jc w:val="left"/>
        <w:tblInd w:w="0" w:type="dxa"/>
        <w:tblLayout w:type="fixed"/>
        <w:tblCellMar>
          <w:top w:w="28" w:type="dxa"/>
          <w:left w:w="28" w:type="dxa"/>
          <w:bottom w:w="28" w:type="dxa"/>
          <w:right w:w="28" w:type="dxa"/>
        </w:tblCellMar>
      </w:tblPr>
      <w:tblGrid>
        <w:gridCol w:w="4981"/>
        <w:gridCol w:w="211"/>
        <w:gridCol w:w="146"/>
        <w:gridCol w:w="1096"/>
        <w:gridCol w:w="166"/>
        <w:gridCol w:w="211"/>
        <w:gridCol w:w="146"/>
        <w:gridCol w:w="1096"/>
        <w:gridCol w:w="211"/>
      </w:tblGrid>
      <w:tr>
        <w:trPr/>
        <w:tc>
          <w:tcPr>
            <w:tcW w:w="4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geography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1,223,946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18,890,934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19,848,821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costs (included in prepaid expenses and deposits)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(included in sales and marketing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666,994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8,118,419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4,854,243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19,785,348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22,719,505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recognized to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(18,552,081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(19,455,329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9,351,686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8,118,419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Contributed surplus</w:t>
      </w:r>
    </w:p>
    <w:p>
      <w:pPr>
        <w:pStyle w:val="TextBody"/>
        <w:bidi w:val="0"/>
        <w:spacing w:before="120" w:after="283"/>
        <w:jc w:val="left"/>
        <w:rPr/>
      </w:pPr>
      <w:r>
        <w:rPr/>
        <w:t> </w:t>
      </w:r>
    </w:p>
    <w:tbl>
      <w:tblPr>
        <w:tblW w:w="5644" w:type="dxa"/>
        <w:jc w:val="left"/>
        <w:tblInd w:w="0" w:type="dxa"/>
        <w:tblLayout w:type="fixed"/>
        <w:tblCellMar>
          <w:top w:w="28" w:type="dxa"/>
          <w:left w:w="28" w:type="dxa"/>
          <w:bottom w:w="28" w:type="dxa"/>
          <w:right w:w="28" w:type="dxa"/>
        </w:tblCellMar>
      </w:tblPr>
      <w:tblGrid>
        <w:gridCol w:w="2731"/>
        <w:gridCol w:w="211"/>
        <w:gridCol w:w="146"/>
        <w:gridCol w:w="931"/>
        <w:gridCol w:w="146"/>
        <w:gridCol w:w="211"/>
        <w:gridCol w:w="146"/>
        <w:gridCol w:w="93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6,215,028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(Note 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end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6,291,080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6,215,028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Statement of claim - July 27,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27, 2021, the Group filed a claim against Wondr Gaming Corp (the "Defendant"), alleging breach of contract and unjust enrichment and seeking $4,136,807 plus interest and costs. The Defendant is contesting the claim.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2021, the Defendant filed a Statement of Defence and Counterclaim in the Ontario Superior Court of Justice against GroupBy Inc. The Defendant claims, among other things, the Group's failure to perform the services and misrepresentation and seeks dismissal of the action. Furthermore, the Company is counterclaiming seeking damages of $400,000 plus costs for breach of contract and negligent misrepresentation.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Statement of claim - May 16,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16, 2024, the Group was named as a defendant in a case to recover a payment of $2,500,000 made by Bed Bath &amp; Beyond Inc. ("BBB") to the Company on February 20,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F-62</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118014</Words>
  <Characters>646860</Characters>
  <CharactersWithSpaces>766485</CharactersWithSpaces>
  <Paragraphs>15860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