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9"/>
          <w:szCs w:val="9"/>
          <w:b w:val="1"/>
          <w:bCs w:val="1"/>
          <w:color w:val="auto"/>
        </w:rPr>
        <w:t>As filed with the Securities and Exchange Commission on October 28, 2024.</w:t>
      </w:r>
    </w:p>
    <w:p>
      <w:pPr>
        <w:spacing w:after="0" w:line="21"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9"/>
          <w:szCs w:val="9"/>
          <w:b w:val="1"/>
          <w:bCs w:val="1"/>
          <w:color w:val="auto"/>
        </w:rPr>
        <w:t>Registration Statement No. 333-282004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Amendment No. 1 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 F-1</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REGISTRATION STATEMENT</w:t>
      </w:r>
    </w:p>
    <w:p>
      <w:pPr>
        <w:jc w:val="center"/>
        <w:spacing w:after="0" w:line="235" w:lineRule="auto"/>
        <w:rPr>
          <w:sz w:val="20"/>
          <w:szCs w:val="20"/>
          <w:color w:val="auto"/>
        </w:rPr>
      </w:pPr>
      <w:r>
        <w:rPr>
          <w:rFonts w:ascii="Times New Roman" w:cs="Times New Roman" w:eastAsia="Times New Roman" w:hAnsi="Times New Roman"/>
          <w:sz w:val="10"/>
          <w:szCs w:val="1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0"/>
          <w:szCs w:val="10"/>
          <w:b w:val="1"/>
          <w:bCs w:val="1"/>
          <w:i w:val="1"/>
          <w:iCs w:val="1"/>
          <w:color w:val="auto"/>
        </w:rPr>
        <w:t>THE SECURITIES ACT OF 1933</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ectPr>
          <w:pgSz w:w="11900" w:h="16840" w:orient="portrait"/>
          <w:cols w:equalWidth="0" w:num="1">
            <w:col w:w="10620"/>
          </w:cols>
          <w:pgMar w:left="640" w:top="1033" w:right="640" w:bottom="1440" w:gutter="0" w:footer="0" w:header="0"/>
        </w:sectPr>
      </w:pPr>
    </w:p>
    <w:p>
      <w:pPr>
        <w:spacing w:after="0" w:line="6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9"/>
          <w:szCs w:val="9"/>
          <w:b w:val="1"/>
          <w:bCs w:val="1"/>
          <w:color w:val="auto"/>
        </w:rPr>
        <w:t>United Kingdom</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2580"/>
        <w:spacing w:after="0"/>
        <w:rPr>
          <w:sz w:val="20"/>
          <w:szCs w:val="20"/>
          <w:color w:val="auto"/>
        </w:rPr>
      </w:pPr>
      <w:r>
        <w:rPr>
          <w:rFonts w:ascii="Times New Roman" w:cs="Times New Roman" w:eastAsia="Times New Roman" w:hAnsi="Times New Roman"/>
          <w:sz w:val="10"/>
          <w:szCs w:val="10"/>
          <w:b w:val="1"/>
          <w:bCs w:val="1"/>
          <w:color w:val="auto"/>
        </w:rPr>
        <w:t>7370</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Not Applicable</w:t>
      </w:r>
    </w:p>
    <w:p>
      <w:pPr>
        <w:spacing w:after="0" w:line="24" w:lineRule="exact"/>
        <w:rPr>
          <w:sz w:val="24"/>
          <w:szCs w:val="24"/>
          <w:color w:val="auto"/>
        </w:rPr>
      </w:pPr>
    </w:p>
    <w:p>
      <w:pPr>
        <w:sectPr>
          <w:pgSz w:w="11900" w:h="16840" w:orient="portrait"/>
          <w:cols w:equalWidth="0" w:num="3">
            <w:col w:w="4500" w:space="720"/>
            <w:col w:w="2780" w:space="720"/>
            <w:col w:w="1900"/>
          </w:cols>
          <w:pgMar w:left="640" w:top="1033" w:right="6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9"/>
          <w:szCs w:val="9"/>
          <w:b w:val="1"/>
          <w:bCs w:val="1"/>
          <w:color w:val="auto"/>
        </w:rPr>
        <w:t>(State or other jurisdiction of</w:t>
      </w:r>
    </w:p>
    <w:p>
      <w:pPr>
        <w:spacing w:after="0" w:line="2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(Primary Standard Industrial</w:t>
      </w:r>
    </w:p>
    <w:p>
      <w:pPr>
        <w:spacing w:after="0" w:line="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57" w:lineRule="exact"/>
        <w:rPr>
          <w:sz w:val="24"/>
          <w:szCs w:val="24"/>
          <w:color w:val="auto"/>
        </w:rPr>
      </w:pPr>
    </w:p>
    <w:p>
      <w:pPr>
        <w:sectPr>
          <w:pgSz w:w="11900" w:h="16840" w:orient="portrait"/>
          <w:cols w:equalWidth="0" w:num="3">
            <w:col w:w="3960" w:space="720"/>
            <w:col w:w="3240" w:space="720"/>
            <w:col w:w="1980"/>
          </w:cols>
          <w:pgMar w:left="640" w:top="1033" w:right="640" w:bottom="1440" w:gutter="0" w:footer="0" w:header="0"/>
          <w:type w:val="continuous"/>
        </w:sectPr>
      </w:pPr>
    </w:p>
    <w:p>
      <w:pPr>
        <w:ind w:left="4680"/>
        <w:spacing w:after="0"/>
        <w:rPr>
          <w:sz w:val="20"/>
          <w:szCs w:val="20"/>
          <w:color w:val="auto"/>
        </w:rPr>
      </w:pPr>
      <w:r>
        <w:rPr>
          <w:rFonts w:ascii="Times New Roman" w:cs="Times New Roman" w:eastAsia="Times New Roman" w:hAnsi="Times New Roman"/>
          <w:sz w:val="10"/>
          <w:szCs w:val="10"/>
          <w:b w:val="1"/>
          <w:bCs w:val="1"/>
          <w:color w:val="auto"/>
        </w:rPr>
        <w:t>3rd Floor, 80 New Bond Street</w:t>
      </w:r>
    </w:p>
    <w:p>
      <w:pPr>
        <w:spacing w:after="0" w:line="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0"/>
          <w:szCs w:val="10"/>
          <w:b w:val="1"/>
          <w:bCs w:val="1"/>
          <w:color w:val="auto"/>
        </w:rPr>
        <w:t>London, W1S 1SB</w:t>
      </w:r>
    </w:p>
    <w:p>
      <w:pPr>
        <w:ind w:left="4960"/>
        <w:spacing w:after="0" w:line="234" w:lineRule="auto"/>
        <w:rPr>
          <w:sz w:val="20"/>
          <w:szCs w:val="20"/>
          <w:color w:val="auto"/>
        </w:rPr>
      </w:pPr>
      <w:r>
        <w:rPr>
          <w:rFonts w:ascii="Times New Roman" w:cs="Times New Roman" w:eastAsia="Times New Roman" w:hAnsi="Times New Roman"/>
          <w:sz w:val="10"/>
          <w:szCs w:val="10"/>
          <w:b w:val="1"/>
          <w:bCs w:val="1"/>
          <w:color w:val="auto"/>
        </w:rPr>
        <w:t>United Kingdom</w:t>
      </w:r>
    </w:p>
    <w:p>
      <w:pPr>
        <w:ind w:left="4920"/>
        <w:spacing w:after="0" w:line="235" w:lineRule="auto"/>
        <w:rPr>
          <w:sz w:val="20"/>
          <w:szCs w:val="20"/>
          <w:color w:val="auto"/>
        </w:rPr>
      </w:pPr>
      <w:r>
        <w:rPr>
          <w:rFonts w:ascii="Times New Roman" w:cs="Times New Roman" w:eastAsia="Times New Roman" w:hAnsi="Times New Roman"/>
          <w:sz w:val="10"/>
          <w:szCs w:val="10"/>
          <w:b w:val="1"/>
          <w:bCs w:val="1"/>
          <w:color w:val="auto"/>
        </w:rPr>
        <w:t>(+44 77 8094 7233)</w:t>
      </w:r>
    </w:p>
    <w:p>
      <w:pPr>
        <w:ind w:left="2920"/>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3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0"/>
          <w:szCs w:val="10"/>
          <w:b w:val="1"/>
          <w:bCs w:val="1"/>
          <w:color w:val="auto"/>
        </w:rPr>
        <w:t>122 East 42nd Street, 18th Floor</w:t>
      </w:r>
    </w:p>
    <w:p>
      <w:pPr>
        <w:ind w:left="4840"/>
        <w:spacing w:after="0" w:line="234" w:lineRule="auto"/>
        <w:rPr>
          <w:sz w:val="20"/>
          <w:szCs w:val="20"/>
          <w:color w:val="auto"/>
        </w:rPr>
      </w:pPr>
      <w:r>
        <w:rPr>
          <w:rFonts w:ascii="Times New Roman" w:cs="Times New Roman" w:eastAsia="Times New Roman" w:hAnsi="Times New Roman"/>
          <w:sz w:val="10"/>
          <w:szCs w:val="10"/>
          <w:b w:val="1"/>
          <w:bCs w:val="1"/>
          <w:color w:val="auto"/>
        </w:rPr>
        <w:t>New York, N.Y. 10016</w:t>
      </w:r>
    </w:p>
    <w:p>
      <w:pPr>
        <w:ind w:left="4840"/>
        <w:spacing w:after="0" w:line="235" w:lineRule="auto"/>
        <w:rPr>
          <w:sz w:val="20"/>
          <w:szCs w:val="20"/>
          <w:color w:val="auto"/>
        </w:rPr>
      </w:pPr>
      <w:r>
        <w:rPr>
          <w:rFonts w:ascii="Times New Roman" w:cs="Times New Roman" w:eastAsia="Times New Roman" w:hAnsi="Times New Roman"/>
          <w:sz w:val="10"/>
          <w:szCs w:val="10"/>
          <w:b w:val="1"/>
          <w:bCs w:val="1"/>
          <w:color w:val="auto"/>
        </w:rPr>
        <w:t>Tel: +1 (212) 947-7200</w:t>
      </w:r>
    </w:p>
    <w:p>
      <w:pPr>
        <w:ind w:left="32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Copies to:</w:t>
      </w:r>
    </w:p>
    <w:p>
      <w:pPr>
        <w:sectPr>
          <w:pgSz w:w="11900" w:h="16840" w:orient="portrait"/>
          <w:cols w:equalWidth="0" w:num="1">
            <w:col w:w="10620"/>
          </w:cols>
          <w:pgMar w:left="640" w:top="1033" w:right="640" w:bottom="1440" w:gutter="0" w:footer="0" w:header="0"/>
          <w:type w:val="continuous"/>
        </w:sectPr>
      </w:pP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Gerry Williams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Penny Minna</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DLA Piper LLP</w:t>
      </w:r>
    </w:p>
    <w:p>
      <w:pPr>
        <w:jc w:val="center"/>
        <w:spacing w:after="0" w:line="235" w:lineRule="auto"/>
        <w:rPr>
          <w:sz w:val="20"/>
          <w:szCs w:val="20"/>
          <w:color w:val="auto"/>
        </w:rPr>
      </w:pPr>
      <w:r>
        <w:rPr>
          <w:rFonts w:ascii="Times New Roman" w:cs="Times New Roman" w:eastAsia="Times New Roman" w:hAnsi="Times New Roman"/>
          <w:sz w:val="10"/>
          <w:szCs w:val="10"/>
          <w:b w:val="1"/>
          <w:bCs w:val="1"/>
          <w:color w:val="auto"/>
        </w:rPr>
        <w:t>1201 W Peachtree St NE #2800</w:t>
      </w:r>
    </w:p>
    <w:p>
      <w:pPr>
        <w:jc w:val="center"/>
        <w:spacing w:after="0" w:line="235" w:lineRule="auto"/>
        <w:rPr>
          <w:sz w:val="20"/>
          <w:szCs w:val="20"/>
          <w:color w:val="auto"/>
        </w:rPr>
      </w:pPr>
      <w:r>
        <w:rPr>
          <w:rFonts w:ascii="Times New Roman" w:cs="Times New Roman" w:eastAsia="Times New Roman" w:hAnsi="Times New Roman"/>
          <w:sz w:val="10"/>
          <w:szCs w:val="10"/>
          <w:b w:val="1"/>
          <w:bCs w:val="1"/>
          <w:color w:val="auto"/>
        </w:rPr>
        <w:t>Atlanta, GA 30309</w:t>
      </w:r>
    </w:p>
    <w:p>
      <w:pPr>
        <w:ind w:left="5240" w:hanging="236"/>
        <w:spacing w:after="0"/>
        <w:tabs>
          <w:tab w:leader="none" w:pos="5240" w:val="left"/>
        </w:tabs>
        <w:numPr>
          <w:ilvl w:val="0"/>
          <w:numId w:val="1"/>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736-7800</w:t>
      </w:r>
    </w:p>
    <w:p>
      <w:pPr>
        <w:spacing w:after="0" w:line="23" w:lineRule="exact"/>
        <w:rPr>
          <w:rFonts w:ascii="Times New Roman" w:cs="Times New Roman" w:eastAsia="Times New Roman" w:hAnsi="Times New Roman"/>
          <w:sz w:val="10"/>
          <w:szCs w:val="10"/>
          <w:b w:val="1"/>
          <w:bCs w:val="1"/>
          <w:color w:val="auto"/>
        </w:rPr>
      </w:pPr>
    </w:p>
    <w:p>
      <w:pPr>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As soon as practicable after this Registration Statement becomes effective.</w:t>
      </w:r>
    </w:p>
    <w:p>
      <w:pPr>
        <w:spacing w:after="0" w:line="15" w:lineRule="exact"/>
        <w:rPr>
          <w:rFonts w:ascii="Times New Roman" w:cs="Times New Roman" w:eastAsia="Times New Roman" w:hAnsi="Times New Roman"/>
          <w:sz w:val="10"/>
          <w:szCs w:val="10"/>
          <w:b w:val="1"/>
          <w:bCs w:val="1"/>
          <w:color w:val="auto"/>
        </w:rPr>
      </w:pPr>
    </w:p>
    <w:p>
      <w:pPr>
        <w:spacing w:after="0" w:line="115" w:lineRule="exact"/>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57" w:lineRule="exact"/>
        <w:rPr>
          <w:sz w:val="24"/>
          <w:szCs w:val="24"/>
          <w:color w:val="auto"/>
        </w:rPr>
      </w:pPr>
    </w:p>
    <w:p>
      <w:pPr>
        <w:ind w:right="40"/>
        <w:spacing w:after="0" w:line="127"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0"/>
          <w:szCs w:val="10"/>
          <w:color w:val="auto"/>
        </w:rPr>
        <w:t>☐</w:t>
      </w:r>
    </w:p>
    <w:p>
      <w:pPr>
        <w:spacing w:after="0" w:line="44"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Emerging growth company</w:t>
      </w:r>
      <w:r>
        <w:rPr>
          <w:rFonts w:ascii="MS PGothic" w:cs="MS PGothic" w:eastAsia="MS PGothic" w:hAnsi="MS PGothic"/>
          <w:sz w:val="10"/>
          <w:szCs w:val="10"/>
          <w:color w:val="auto"/>
        </w:rPr>
        <w:t>☒</w:t>
      </w:r>
    </w:p>
    <w:p>
      <w:pPr>
        <w:spacing w:after="0" w:line="13"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55" w:lineRule="exact"/>
        <w:rPr>
          <w:sz w:val="24"/>
          <w:szCs w:val="24"/>
          <w:color w:val="auto"/>
        </w:rPr>
      </w:pPr>
    </w:p>
    <w:p>
      <w:pPr>
        <w:ind w:right="140"/>
        <w:spacing w:after="0" w:line="247"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248285</wp:posOffset>
            </wp:positionV>
            <wp:extent cx="677862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type w:val="continuous"/>
        </w:sectPr>
      </w:pPr>
    </w:p>
    <w:bookmarkStart w:id="1" w:name="page2"/>
    <w:bookmarkEnd w:id="1"/>
    <w:p>
      <w:pPr>
        <w:jc w:val="center"/>
        <w:ind w:right="40"/>
        <w:spacing w:after="0" w:line="259" w:lineRule="auto"/>
        <w:rPr>
          <w:sz w:val="20"/>
          <w:szCs w:val="20"/>
          <w:color w:val="auto"/>
        </w:rPr>
      </w:pPr>
      <w:r>
        <w:rPr>
          <w:rFonts w:ascii="Times New Roman" w:cs="Times New Roman" w:eastAsia="Times New Roman" w:hAnsi="Times New Roman"/>
          <w:sz w:val="10"/>
          <w:szCs w:val="10"/>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FC0000"/>
        </w:rPr>
        <w:t>SUBJECT TO COMPLETION, DATED October 28, 2024</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FC0000"/>
        </w:rPr>
        <w:t>PRELIMINARY PROSPECTUS</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 xml:space="preserve">Up to 7,499,994 Ordinary Shares </w:t>
      </w:r>
      <w:r>
        <w:rPr>
          <w:rFonts w:ascii="Times New Roman" w:cs="Times New Roman" w:eastAsia="Times New Roman" w:hAnsi="Times New Roman"/>
          <w:sz w:val="10"/>
          <w:szCs w:val="10"/>
          <w:b w:val="1"/>
          <w:bCs w:val="1"/>
          <w:i w:val="1"/>
          <w:iCs w:val="1"/>
          <w:color w:val="auto"/>
        </w:rPr>
        <w:t>(for issuance)</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 xml:space="preserve">Up to 185,068,790 Ordinary Shares </w:t>
      </w:r>
      <w:r>
        <w:rPr>
          <w:rFonts w:ascii="Times New Roman" w:cs="Times New Roman" w:eastAsia="Times New Roman" w:hAnsi="Times New Roman"/>
          <w:sz w:val="10"/>
          <w:szCs w:val="10"/>
          <w:b w:val="1"/>
          <w:bCs w:val="1"/>
          <w:i w:val="1"/>
          <w:iCs w:val="1"/>
          <w:color w:val="auto"/>
        </w:rPr>
        <w:t>(for resale)</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This prospectus relates to the issuance by us of up to 7,499,994 ordinary shares, par value £0.0001 (“</w:t>
      </w:r>
      <w:r>
        <w:rPr>
          <w:rFonts w:ascii="Times New Roman" w:cs="Times New Roman" w:eastAsia="Times New Roman" w:hAnsi="Times New Roman"/>
          <w:sz w:val="10"/>
          <w:szCs w:val="10"/>
          <w:b w:val="1"/>
          <w:bCs w:val="1"/>
          <w:i w:val="1"/>
          <w:iCs w:val="1"/>
          <w:color w:val="auto"/>
        </w:rPr>
        <w:t>Ordinary Shares</w:t>
      </w:r>
      <w:r>
        <w:rPr>
          <w:rFonts w:ascii="Times New Roman" w:cs="Times New Roman" w:eastAsia="Times New Roman" w:hAnsi="Times New Roman"/>
          <w:sz w:val="10"/>
          <w:szCs w:val="10"/>
          <w:color w:val="auto"/>
        </w:rPr>
        <w:t>”), issuable upon the exercise of public warrants to purchase Ordinary Shares at a price of $11.50 per share (“</w:t>
      </w:r>
      <w:r>
        <w:rPr>
          <w:rFonts w:ascii="Times New Roman" w:cs="Times New Roman" w:eastAsia="Times New Roman" w:hAnsi="Times New Roman"/>
          <w:sz w:val="10"/>
          <w:szCs w:val="10"/>
          <w:b w:val="1"/>
          <w:bCs w:val="1"/>
          <w:i w:val="1"/>
          <w:iCs w:val="1"/>
          <w:color w:val="auto"/>
        </w:rPr>
        <w:t>Public Warrants</w:t>
      </w:r>
      <w:r>
        <w:rPr>
          <w:rFonts w:ascii="Times New Roman" w:cs="Times New Roman" w:eastAsia="Times New Roman" w:hAnsi="Times New Roman"/>
          <w:sz w:val="10"/>
          <w:szCs w:val="10"/>
          <w:color w:val="auto"/>
        </w:rPr>
        <w:t>”).</w:t>
      </w:r>
    </w:p>
    <w:p>
      <w:pPr>
        <w:spacing w:after="0" w:line="11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0"/>
          <w:szCs w:val="10"/>
          <w:color w:val="auto"/>
        </w:rPr>
        <w:t>We are also registering for resale by certain selling securityholders named herein (the “</w:t>
      </w:r>
      <w:r>
        <w:rPr>
          <w:rFonts w:ascii="Times New Roman" w:cs="Times New Roman" w:eastAsia="Times New Roman" w:hAnsi="Times New Roman"/>
          <w:sz w:val="10"/>
          <w:szCs w:val="10"/>
          <w:b w:val="1"/>
          <w:bCs w:val="1"/>
          <w:i w:val="1"/>
          <w:iCs w:val="1"/>
          <w:color w:val="auto"/>
        </w:rPr>
        <w:t>Selling Holders</w:t>
      </w:r>
      <w:r>
        <w:rPr>
          <w:rFonts w:ascii="Times New Roman" w:cs="Times New Roman" w:eastAsia="Times New Roman" w:hAnsi="Times New Roman"/>
          <w:sz w:val="10"/>
          <w:szCs w:val="10"/>
          <w:color w:val="auto"/>
        </w:rPr>
        <w:t>”) an aggregate of up to 185,068,790 Ordinary Shares, consisting of (i) up to 122,655,854 Ordinary Shares; (ii) up to 569,982 Ordinary Shares issuable upon the exercise of private warrants to purchase Ordinary Shares at a price of $8.00 per share (“</w:t>
      </w:r>
      <w:r>
        <w:rPr>
          <w:rFonts w:ascii="Times New Roman" w:cs="Times New Roman" w:eastAsia="Times New Roman" w:hAnsi="Times New Roman"/>
          <w:sz w:val="10"/>
          <w:szCs w:val="10"/>
          <w:b w:val="1"/>
          <w:bCs w:val="1"/>
          <w:i w:val="1"/>
          <w:iCs w:val="1"/>
          <w:color w:val="auto"/>
        </w:rPr>
        <w:t>Private Warrants</w:t>
      </w:r>
      <w:r>
        <w:rPr>
          <w:rFonts w:ascii="Times New Roman" w:cs="Times New Roman" w:eastAsia="Times New Roman" w:hAnsi="Times New Roman"/>
          <w:sz w:val="10"/>
          <w:szCs w:val="10"/>
          <w:color w:val="auto"/>
        </w:rPr>
        <w:t>” and together with the Public Warrants, the "</w:t>
      </w:r>
      <w:r>
        <w:rPr>
          <w:rFonts w:ascii="Times New Roman" w:cs="Times New Roman" w:eastAsia="Times New Roman" w:hAnsi="Times New Roman"/>
          <w:sz w:val="10"/>
          <w:szCs w:val="10"/>
          <w:b w:val="1"/>
          <w:bCs w:val="1"/>
          <w:i w:val="1"/>
          <w:iCs w:val="1"/>
          <w:color w:val="auto"/>
        </w:rPr>
        <w:t>Warrants</w:t>
      </w:r>
      <w:r>
        <w:rPr>
          <w:rFonts w:ascii="Times New Roman" w:cs="Times New Roman" w:eastAsia="Times New Roman" w:hAnsi="Times New Roman"/>
          <w:sz w:val="10"/>
          <w:szCs w:val="10"/>
          <w:color w:val="auto"/>
        </w:rPr>
        <w:t xml:space="preserve">"); (iii) 20,895,861 Ordinary Shares issuable upon the conversion of the Convertible Notes (as defined herein); (iv) 15,374,145 Ordinary Shares issuable pursuant to the advanced subscription agreements; (v) 4,838,779 Ordinary Shares issuable pursuant to an agreement with </w:t>
      </w:r>
      <w:r>
        <w:rPr>
          <w:rFonts w:ascii="Times New Roman" w:cs="Times New Roman" w:eastAsia="Times New Roman" w:hAnsi="Times New Roman"/>
          <w:sz w:val="10"/>
          <w:szCs w:val="10"/>
          <w:color w:val="212529"/>
        </w:rPr>
        <w:t>YA II PN, LTD; (vi) up to 1,071,429 Ordinary Shares issuable upon conversion of the YA Notes (as defined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212529"/>
        </w:rPr>
        <w:t xml:space="preserve">herein); (vii) up 400,625 Ordinary Shares issuable pursuant to the Northland Note (as defined herein) </w:t>
      </w:r>
      <w:r>
        <w:rPr>
          <w:rFonts w:ascii="Times New Roman" w:cs="Times New Roman" w:eastAsia="Times New Roman" w:hAnsi="Times New Roman"/>
          <w:sz w:val="10"/>
          <w:szCs w:val="10"/>
          <w:color w:val="000000"/>
        </w:rPr>
        <w:t>and (viii) 545,373 Ordinary Shares issuable upon the conversion of the Promissory Notes (as defined herein).</w:t>
      </w:r>
    </w:p>
    <w:p>
      <w:pPr>
        <w:spacing w:after="0" w:line="1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0"/>
          <w:szCs w:val="10"/>
          <w:color w:val="auto"/>
        </w:rPr>
        <w:t xml:space="preserve">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 </w:t>
      </w:r>
      <w:r>
        <w:rPr>
          <w:rFonts w:ascii="Times New Roman" w:cs="Times New Roman" w:eastAsia="Times New Roman" w:hAnsi="Times New Roman"/>
          <w:sz w:val="10"/>
          <w:szCs w:val="10"/>
          <w:i w:val="1"/>
          <w:iCs w:val="1"/>
          <w:color w:val="auto"/>
        </w:rPr>
        <w:t>Risk Factors</w:t>
      </w:r>
      <w:r>
        <w:rPr>
          <w:rFonts w:ascii="Arial" w:cs="Arial" w:eastAsia="Arial" w:hAnsi="Arial"/>
          <w:sz w:val="10"/>
          <w:szCs w:val="10"/>
          <w:i w:val="1"/>
          <w:iCs w:val="1"/>
          <w:color w:val="auto"/>
        </w:rPr>
        <w:t xml:space="preserve"> </w:t>
      </w:r>
      <w:r>
        <w:rPr>
          <w:rFonts w:ascii="Times New Roman" w:cs="Times New Roman" w:eastAsia="Times New Roman" w:hAnsi="Times New Roman"/>
          <w:sz w:val="10"/>
          <w:szCs w:val="10"/>
          <w:i w:val="1"/>
          <w:iCs w:val="1"/>
          <w:color w:val="auto"/>
        </w:rPr>
        <w:t>—</w:t>
      </w:r>
      <w:r>
        <w:rPr>
          <w:rFonts w:ascii="Arial" w:cs="Arial" w:eastAsia="Arial" w:hAnsi="Arial"/>
          <w:sz w:val="10"/>
          <w:szCs w:val="10"/>
          <w:i w:val="1"/>
          <w:iCs w:val="1"/>
          <w:color w:val="auto"/>
        </w:rPr>
        <w:t xml:space="preserve"> </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Risks Related to Ownership of Ordinary</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 xml:space="preserve">Shares and Rezolve Operating as a Public Company </w:t>
      </w:r>
      <w:r>
        <w:rPr>
          <w:rFonts w:ascii="Arial" w:cs="Arial" w:eastAsia="Arial" w:hAnsi="Arial"/>
          <w:sz w:val="10"/>
          <w:szCs w:val="10"/>
          <w:i w:val="1"/>
          <w:iCs w:val="1"/>
          <w:color w:val="auto"/>
        </w:rPr>
        <w:t xml:space="preserve"> </w:t>
      </w:r>
      <w:r>
        <w:rPr>
          <w:rFonts w:ascii="Times New Roman" w:cs="Times New Roman" w:eastAsia="Times New Roman" w:hAnsi="Times New Roman"/>
          <w:sz w:val="10"/>
          <w:szCs w:val="10"/>
          <w:i w:val="1"/>
          <w:iCs w:val="1"/>
          <w:color w:val="auto"/>
        </w:rPr>
        <w:t>—</w:t>
      </w:r>
      <w:r>
        <w:rPr>
          <w:rFonts w:ascii="Arial" w:cs="Arial" w:eastAsia="Arial" w:hAnsi="Arial"/>
          <w:sz w:val="10"/>
          <w:szCs w:val="10"/>
          <w:i w:val="1"/>
          <w:iCs w:val="1"/>
          <w:color w:val="auto"/>
        </w:rPr>
        <w:t xml:space="preserve"> </w:t>
      </w:r>
      <w:r>
        <w:rPr>
          <w:rFonts w:ascii="Times New Roman" w:cs="Times New Roman" w:eastAsia="Times New Roman" w:hAnsi="Times New Roman"/>
          <w:sz w:val="10"/>
          <w:szCs w:val="10"/>
          <w:i w:val="1"/>
          <w:iCs w:val="1"/>
          <w:color w:val="auto"/>
        </w:rPr>
        <w:t xml:space="preserve"> The trading price of Ordinary Shares could be volatile, and the value of Ordinary Shares may decline.</w:t>
      </w:r>
      <w:r>
        <w:rPr>
          <w:rFonts w:ascii="Times New Roman" w:cs="Times New Roman" w:eastAsia="Times New Roman" w:hAnsi="Times New Roman"/>
          <w:sz w:val="10"/>
          <w:szCs w:val="10"/>
          <w:color w:val="auto"/>
        </w:rPr>
        <w:t>”). The Ordinary Shares being offered for resale pursuant to this prospectus by the Selling Holders represent</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approximately 107.48% of the outstanding Ordinary Shares as of the date of this prospectus, assuming the exercise of all Warrants.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0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0"/>
          <w:szCs w:val="10"/>
          <w:color w:val="auto"/>
        </w:rPr>
        <w:t xml:space="preserve">We will not receive any proceeds from the sale of the Ordinary Shares by the Selling Holders pursuant to this prospectus. We also will not receive any proceeds from the issuance of the Ordinary Shares by us pursuant to this prospectus, except with respect to amounts received by us upon exercise of the Warrants to the extent such Warrants are exercised for cash. However, as of the date of this prospectus, the Public Warrants are “out-of-the money,” which means that the trading price of Ordinary Shares underlying the Public Warrants is below the $11.50 exercise price of the Public Warrants. For so long as the Public Warrants remain “out-of-the money,” we do not expect warrant holders to exercise their Public Warrants and, therefore, we do not expect to receive cash proceeds from any such exercise. See the risk factor entitled </w:t>
      </w:r>
      <w:r>
        <w:rPr>
          <w:rFonts w:ascii="Times New Roman" w:cs="Times New Roman" w:eastAsia="Times New Roman" w:hAnsi="Times New Roman"/>
          <w:sz w:val="10"/>
          <w:szCs w:val="10"/>
          <w:i w:val="1"/>
          <w:iCs w:val="1"/>
          <w:color w:val="auto"/>
        </w:rPr>
        <w:t>“There can be no assurance that the Public Warrants will ever be in the money at the time they become exercisable or otherwise, and they may expire worthless”</w:t>
      </w:r>
      <w:r>
        <w:rPr>
          <w:rFonts w:ascii="Times New Roman" w:cs="Times New Roman" w:eastAsia="Times New Roman" w:hAnsi="Times New Roman"/>
          <w:sz w:val="10"/>
          <w:szCs w:val="10"/>
          <w:color w:val="auto"/>
        </w:rPr>
        <w:t xml:space="preserve"> for more information. We will pay the expenses, other than underwriting discounts and commissions,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0"/>
          <w:szCs w:val="10"/>
          <w:i w:val="1"/>
          <w:iCs w:val="1"/>
          <w:color w:val="auto"/>
        </w:rPr>
        <w:t>“Plan of Distribution.”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You should read this prospectus and any prospectus supplement or amendment carefully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3" w:right="620" w:bottom="1440" w:gutter="0" w:footer="0" w:header="0"/>
        </w:sectPr>
      </w:pPr>
    </w:p>
    <w:bookmarkStart w:id="2" w:name="page3"/>
    <w:bookmarkEnd w:id="2"/>
    <w:p>
      <w:pPr>
        <w:ind w:right="40"/>
        <w:spacing w:after="0" w:line="259" w:lineRule="auto"/>
        <w:rPr>
          <w:sz w:val="20"/>
          <w:szCs w:val="20"/>
          <w:color w:val="auto"/>
        </w:rPr>
      </w:pPr>
      <w:r>
        <w:rPr>
          <w:rFonts w:ascii="Times New Roman" w:cs="Times New Roman" w:eastAsia="Times New Roman" w:hAnsi="Times New Roman"/>
          <w:sz w:val="10"/>
          <w:szCs w:val="10"/>
          <w:color w:val="auto"/>
        </w:rPr>
        <w:t>The Ordinary Shares and the Public Warrants are traded on The Nasdaq Stock Market LLC (“</w:t>
      </w:r>
      <w:r>
        <w:rPr>
          <w:rFonts w:ascii="Times New Roman" w:cs="Times New Roman" w:eastAsia="Times New Roman" w:hAnsi="Times New Roman"/>
          <w:sz w:val="10"/>
          <w:szCs w:val="10"/>
          <w:b w:val="1"/>
          <w:bCs w:val="1"/>
          <w:i w:val="1"/>
          <w:iCs w:val="1"/>
          <w:color w:val="auto"/>
        </w:rPr>
        <w:t>Nasdaq</w:t>
      </w:r>
      <w:r>
        <w:rPr>
          <w:rFonts w:ascii="Times New Roman" w:cs="Times New Roman" w:eastAsia="Times New Roman" w:hAnsi="Times New Roman"/>
          <w:sz w:val="10"/>
          <w:szCs w:val="10"/>
          <w:color w:val="auto"/>
        </w:rPr>
        <w:t>”) under the symbols “RZLV” and “RZLVW,” respectively. On October 25, 2024, the closing price of the Ordinary Shares was $5.08 per share and the closing price of the Public Warrants was $0.1360 per warrant.</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 xml:space="preserve">Investing in our securities involves risks. See </w:t>
      </w:r>
      <w:r>
        <w:rPr>
          <w:rFonts w:ascii="Times New Roman" w:cs="Times New Roman" w:eastAsia="Times New Roman" w:hAnsi="Times New Roman"/>
          <w:sz w:val="10"/>
          <w:szCs w:val="10"/>
          <w:b w:val="1"/>
          <w:bCs w:val="1"/>
          <w:i w:val="1"/>
          <w:iCs w:val="1"/>
          <w:color w:val="auto"/>
        </w:rPr>
        <w:t>“Risk Factors”</w:t>
      </w:r>
      <w:r>
        <w:rPr>
          <w:rFonts w:ascii="Times New Roman" w:cs="Times New Roman" w:eastAsia="Times New Roman" w:hAnsi="Times New Roman"/>
          <w:sz w:val="10"/>
          <w:szCs w:val="10"/>
          <w:b w:val="1"/>
          <w:bCs w:val="1"/>
          <w:color w:val="auto"/>
        </w:rPr>
        <w:t xml:space="preserve"> beginning on page 12 and in any applicable prospectus supplement.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780" w:type="dxa"/>
            <w:vAlign w:val="bottom"/>
          </w:tcPr>
          <w:p>
            <w:pPr>
              <w:ind w:left="4400"/>
              <w:spacing w:after="0"/>
              <w:rPr>
                <w:sz w:val="20"/>
                <w:szCs w:val="20"/>
                <w:color w:val="auto"/>
              </w:rPr>
            </w:pPr>
            <w:r>
              <w:rPr>
                <w:rFonts w:ascii="Times New Roman" w:cs="Times New Roman" w:eastAsia="Times New Roman" w:hAnsi="Times New Roman"/>
                <w:sz w:val="10"/>
                <w:szCs w:val="10"/>
                <w:b w:val="1"/>
                <w:bCs w:val="1"/>
                <w:color w:val="auto"/>
              </w:rPr>
              <w:t>The date of this prospectus is</w:t>
            </w:r>
          </w:p>
        </w:tc>
        <w:tc>
          <w:tcPr>
            <w:tcW w:w="4840" w:type="dxa"/>
            <w:vAlign w:val="bottom"/>
          </w:tcPr>
          <w:p>
            <w:pPr>
              <w:jc w:val="right"/>
              <w:ind w:right="4351"/>
              <w:spacing w:after="0"/>
              <w:rPr>
                <w:sz w:val="20"/>
                <w:szCs w:val="20"/>
                <w:color w:val="auto"/>
              </w:rPr>
            </w:pPr>
            <w:r>
              <w:rPr>
                <w:rFonts w:ascii="Times New Roman" w:cs="Times New Roman" w:eastAsia="Times New Roman" w:hAnsi="Times New Roman"/>
                <w:sz w:val="10"/>
                <w:szCs w:val="10"/>
                <w:b w:val="1"/>
                <w:bCs w:val="1"/>
                <w:color w:val="auto"/>
              </w:rPr>
              <w:t>, 2024.</w:t>
            </w:r>
          </w:p>
        </w:tc>
      </w:tr>
      <w:tr>
        <w:trPr>
          <w:trHeight w:val="422"/>
        </w:trPr>
        <w:tc>
          <w:tcPr>
            <w:tcW w:w="5780" w:type="dxa"/>
            <w:vAlign w:val="bottom"/>
            <w:tcBorders>
              <w:bottom w:val="single" w:sz="8" w:color="EEEEEE"/>
            </w:tcBorders>
          </w:tcPr>
          <w:p>
            <w:pPr>
              <w:spacing w:after="0"/>
              <w:rPr>
                <w:sz w:val="24"/>
                <w:szCs w:val="24"/>
                <w:color w:val="auto"/>
              </w:rPr>
            </w:pPr>
          </w:p>
        </w:tc>
        <w:tc>
          <w:tcPr>
            <w:tcW w:w="48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68" w:right="60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27"/>
        </w:trPr>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0" w:type="dxa"/>
            <w:vAlign w:val="bottom"/>
            <w:gridSpan w:val="2"/>
          </w:tcPr>
          <w:p>
            <w:pPr>
              <w:ind w:left="1220"/>
              <w:spacing w:after="0"/>
              <w:rPr>
                <w:sz w:val="20"/>
                <w:szCs w:val="20"/>
                <w:color w:val="auto"/>
              </w:rPr>
            </w:pPr>
            <w:r>
              <w:rPr>
                <w:rFonts w:ascii="Times New Roman" w:cs="Times New Roman" w:eastAsia="Times New Roman" w:hAnsi="Times New Roman"/>
                <w:sz w:val="10"/>
                <w:szCs w:val="10"/>
                <w:b w:val="1"/>
                <w:bCs w:val="1"/>
                <w:color w:val="auto"/>
              </w:rPr>
              <w:t>TABLE OF CONTENTS</w:t>
            </w:r>
          </w:p>
        </w:tc>
        <w:tc>
          <w:tcPr>
            <w:tcW w:w="2460" w:type="dxa"/>
            <w:vAlign w:val="bottom"/>
          </w:tcPr>
          <w:p>
            <w:pPr>
              <w:spacing w:after="0"/>
              <w:rPr>
                <w:sz w:val="11"/>
                <w:szCs w:val="11"/>
                <w:color w:val="auto"/>
              </w:rPr>
            </w:pPr>
          </w:p>
        </w:tc>
      </w:tr>
      <w:tr>
        <w:trPr>
          <w:trHeight w:val="219"/>
        </w:trPr>
        <w:tc>
          <w:tcPr>
            <w:tcW w:w="8160" w:type="dxa"/>
            <w:vAlign w:val="bottom"/>
            <w:gridSpan w:val="22"/>
          </w:tcPr>
          <w:p>
            <w:pPr>
              <w:spacing w:after="0"/>
              <w:rPr>
                <w:rFonts w:ascii="Times New Roman" w:cs="Times New Roman" w:eastAsia="Times New Roman" w:hAnsi="Times New Roman"/>
                <w:sz w:val="10"/>
                <w:szCs w:val="10"/>
                <w:color w:val="0000FF"/>
              </w:rPr>
            </w:pPr>
            <w:hyperlink w:anchor="page5">
              <w:r>
                <w:rPr>
                  <w:rFonts w:ascii="Times New Roman" w:cs="Times New Roman" w:eastAsia="Times New Roman" w:hAnsi="Times New Roman"/>
                  <w:sz w:val="10"/>
                  <w:szCs w:val="10"/>
                  <w:color w:val="0000FF"/>
                </w:rPr>
                <w:t>ABOUT THIS PROSPECTUS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ii</w:t>
            </w:r>
          </w:p>
        </w:tc>
      </w:tr>
      <w:tr>
        <w:trPr>
          <w:trHeight w:val="100"/>
        </w:trPr>
        <w:tc>
          <w:tcPr>
            <w:tcW w:w="1200" w:type="dxa"/>
            <w:vAlign w:val="bottom"/>
            <w:tcBorders>
              <w:top w:val="single" w:sz="8" w:color="0000FF"/>
            </w:tcBorders>
            <w:gridSpan w:val="11"/>
          </w:tcPr>
          <w:p>
            <w:pPr>
              <w:spacing w:after="0" w:line="100" w:lineRule="exact"/>
              <w:rPr>
                <w:rFonts w:ascii="Times New Roman" w:cs="Times New Roman" w:eastAsia="Times New Roman" w:hAnsi="Times New Roman"/>
                <w:sz w:val="10"/>
                <w:szCs w:val="10"/>
                <w:color w:val="0000FF"/>
              </w:rPr>
            </w:pPr>
            <w:hyperlink w:anchor="page7">
              <w:r>
                <w:rPr>
                  <w:rFonts w:ascii="Times New Roman" w:cs="Times New Roman" w:eastAsia="Times New Roman" w:hAnsi="Times New Roman"/>
                  <w:sz w:val="10"/>
                  <w:szCs w:val="10"/>
                  <w:color w:val="0000FF"/>
                </w:rPr>
                <w:t>TRADEMARKS</w:t>
              </w:r>
            </w:hyperlink>
          </w:p>
        </w:tc>
        <w:tc>
          <w:tcPr>
            <w:tcW w:w="6960" w:type="dxa"/>
            <w:vAlign w:val="bottom"/>
            <w:gridSpan w:val="11"/>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iv</w:t>
            </w:r>
          </w:p>
        </w:tc>
      </w:tr>
      <w:tr>
        <w:trPr>
          <w:trHeight w:val="20"/>
        </w:trPr>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00"/>
        </w:trPr>
        <w:tc>
          <w:tcPr>
            <w:tcW w:w="1120" w:type="dxa"/>
            <w:vAlign w:val="bottom"/>
            <w:tcBorders>
              <w:bottom w:val="single" w:sz="8" w:color="0000FF"/>
            </w:tcBorders>
            <w:gridSpan w:val="9"/>
          </w:tcPr>
          <w:p>
            <w:pPr>
              <w:spacing w:after="0" w:line="100" w:lineRule="exact"/>
              <w:rPr>
                <w:rFonts w:ascii="Times New Roman" w:cs="Times New Roman" w:eastAsia="Times New Roman" w:hAnsi="Times New Roman"/>
                <w:sz w:val="10"/>
                <w:szCs w:val="10"/>
                <w:color w:val="0000FF"/>
                <w:w w:val="95"/>
              </w:rPr>
            </w:pPr>
            <w:hyperlink w:anchor="page8">
              <w:r>
                <w:rPr>
                  <w:rFonts w:ascii="Times New Roman" w:cs="Times New Roman" w:eastAsia="Times New Roman" w:hAnsi="Times New Roman"/>
                  <w:sz w:val="10"/>
                  <w:szCs w:val="10"/>
                  <w:color w:val="0000FF"/>
                  <w:w w:val="95"/>
                </w:rPr>
                <w:t>SELECTED DEFINITIONS</w:t>
              </w:r>
            </w:hyperlink>
          </w:p>
        </w:tc>
        <w:tc>
          <w:tcPr>
            <w:tcW w:w="7040" w:type="dxa"/>
            <w:vAlign w:val="bottom"/>
            <w:gridSpan w:val="13"/>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v</w:t>
            </w:r>
          </w:p>
        </w:tc>
      </w:tr>
      <w:tr>
        <w:trPr>
          <w:trHeight w:val="100"/>
        </w:trPr>
        <w:tc>
          <w:tcPr>
            <w:tcW w:w="3180" w:type="dxa"/>
            <w:vAlign w:val="bottom"/>
            <w:tcBorders>
              <w:bottom w:val="single" w:sz="8" w:color="0000FF"/>
            </w:tcBorders>
            <w:gridSpan w:val="19"/>
          </w:tcPr>
          <w:p>
            <w:pPr>
              <w:spacing w:after="0" w:line="100" w:lineRule="exact"/>
              <w:rPr>
                <w:rFonts w:ascii="Times New Roman" w:cs="Times New Roman" w:eastAsia="Times New Roman" w:hAnsi="Times New Roman"/>
                <w:sz w:val="10"/>
                <w:szCs w:val="10"/>
                <w:color w:val="0000FF"/>
                <w:w w:val="97"/>
              </w:rPr>
            </w:pPr>
            <w:hyperlink w:anchor="page10">
              <w:r>
                <w:rPr>
                  <w:rFonts w:ascii="Times New Roman" w:cs="Times New Roman" w:eastAsia="Times New Roman" w:hAnsi="Times New Roman"/>
                  <w:sz w:val="10"/>
                  <w:szCs w:val="10"/>
                  <w:color w:val="0000FF"/>
                  <w:w w:val="97"/>
                </w:rPr>
                <w:t>CAUTIONARY NOTE REGARDING FORWARD-LOOKING STATEMENTS</w:t>
              </w:r>
            </w:hyperlink>
          </w:p>
        </w:tc>
        <w:tc>
          <w:tcPr>
            <w:tcW w:w="4980" w:type="dxa"/>
            <w:vAlign w:val="bottom"/>
            <w:gridSpan w:val="3"/>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vii</w:t>
            </w:r>
          </w:p>
        </w:tc>
      </w:tr>
      <w:tr>
        <w:trPr>
          <w:trHeight w:val="100"/>
        </w:trPr>
        <w:tc>
          <w:tcPr>
            <w:tcW w:w="1140" w:type="dxa"/>
            <w:vAlign w:val="bottom"/>
            <w:tcBorders>
              <w:bottom w:val="single" w:sz="8" w:color="0000FF"/>
            </w:tcBorders>
            <w:gridSpan w:val="10"/>
          </w:tcPr>
          <w:p>
            <w:pPr>
              <w:spacing w:after="0" w:line="100" w:lineRule="exact"/>
              <w:rPr>
                <w:rFonts w:ascii="Times New Roman" w:cs="Times New Roman" w:eastAsia="Times New Roman" w:hAnsi="Times New Roman"/>
                <w:sz w:val="10"/>
                <w:szCs w:val="10"/>
                <w:color w:val="0000FF"/>
                <w:w w:val="96"/>
              </w:rPr>
            </w:pPr>
            <w:hyperlink w:anchor="page11">
              <w:r>
                <w:rPr>
                  <w:rFonts w:ascii="Times New Roman" w:cs="Times New Roman" w:eastAsia="Times New Roman" w:hAnsi="Times New Roman"/>
                  <w:sz w:val="10"/>
                  <w:szCs w:val="10"/>
                  <w:color w:val="0000FF"/>
                  <w:w w:val="96"/>
                </w:rPr>
                <w:t>PROSPECTUS SUMMARY</w:t>
              </w:r>
            </w:hyperlink>
          </w:p>
        </w:tc>
        <w:tc>
          <w:tcPr>
            <w:tcW w:w="7020" w:type="dxa"/>
            <w:vAlign w:val="bottom"/>
            <w:gridSpan w:val="12"/>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w:t>
            </w:r>
          </w:p>
        </w:tc>
      </w:tr>
      <w:tr>
        <w:trPr>
          <w:trHeight w:val="100"/>
        </w:trPr>
        <w:tc>
          <w:tcPr>
            <w:tcW w:w="700" w:type="dxa"/>
            <w:vAlign w:val="bottom"/>
            <w:tcBorders>
              <w:bottom w:val="single" w:sz="8" w:color="0000FF"/>
            </w:tcBorders>
            <w:gridSpan w:val="4"/>
          </w:tcPr>
          <w:p>
            <w:pPr>
              <w:spacing w:after="0" w:line="100" w:lineRule="exact"/>
              <w:rPr>
                <w:rFonts w:ascii="Times New Roman" w:cs="Times New Roman" w:eastAsia="Times New Roman" w:hAnsi="Times New Roman"/>
                <w:sz w:val="10"/>
                <w:szCs w:val="10"/>
                <w:color w:val="0000FF"/>
                <w:w w:val="95"/>
              </w:rPr>
            </w:pPr>
            <w:hyperlink w:anchor="page20">
              <w:r>
                <w:rPr>
                  <w:rFonts w:ascii="Times New Roman" w:cs="Times New Roman" w:eastAsia="Times New Roman" w:hAnsi="Times New Roman"/>
                  <w:sz w:val="10"/>
                  <w:szCs w:val="10"/>
                  <w:color w:val="0000FF"/>
                  <w:w w:val="95"/>
                </w:rPr>
                <w:t>THE OFFERING</w:t>
              </w:r>
            </w:hyperlink>
          </w:p>
        </w:tc>
        <w:tc>
          <w:tcPr>
            <w:tcW w:w="7460" w:type="dxa"/>
            <w:vAlign w:val="bottom"/>
            <w:gridSpan w:val="18"/>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10</w:t>
            </w:r>
          </w:p>
        </w:tc>
      </w:tr>
      <w:tr>
        <w:trPr>
          <w:trHeight w:val="100"/>
        </w:trPr>
        <w:tc>
          <w:tcPr>
            <w:tcW w:w="8160" w:type="dxa"/>
            <w:vAlign w:val="bottom"/>
            <w:gridSpan w:val="22"/>
          </w:tcPr>
          <w:p>
            <w:pPr>
              <w:spacing w:after="0" w:line="100" w:lineRule="exact"/>
              <w:rPr>
                <w:rFonts w:ascii="Times New Roman" w:cs="Times New Roman" w:eastAsia="Times New Roman" w:hAnsi="Times New Roman"/>
                <w:sz w:val="10"/>
                <w:szCs w:val="10"/>
                <w:color w:val="0000FF"/>
              </w:rPr>
            </w:pPr>
            <w:hyperlink w:anchor="page22">
              <w:r>
                <w:rPr>
                  <w:rFonts w:ascii="Times New Roman" w:cs="Times New Roman" w:eastAsia="Times New Roman" w:hAnsi="Times New Roman"/>
                  <w:sz w:val="10"/>
                  <w:szCs w:val="10"/>
                  <w:color w:val="0000FF"/>
                </w:rPr>
                <w:t>RISK FACTORS</w:t>
              </w:r>
            </w:hyperlink>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12</w:t>
            </w:r>
          </w:p>
        </w:tc>
      </w:tr>
      <w:tr>
        <w:trPr>
          <w:trHeight w:val="20"/>
        </w:trPr>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00"/>
        </w:trPr>
        <w:tc>
          <w:tcPr>
            <w:tcW w:w="860" w:type="dxa"/>
            <w:vAlign w:val="bottom"/>
            <w:tcBorders>
              <w:bottom w:val="single" w:sz="8" w:color="0000FF"/>
            </w:tcBorders>
            <w:gridSpan w:val="6"/>
          </w:tcPr>
          <w:p>
            <w:pPr>
              <w:spacing w:after="0" w:line="100" w:lineRule="exact"/>
              <w:rPr>
                <w:rFonts w:ascii="Times New Roman" w:cs="Times New Roman" w:eastAsia="Times New Roman" w:hAnsi="Times New Roman"/>
                <w:sz w:val="10"/>
                <w:szCs w:val="10"/>
                <w:color w:val="0000FF"/>
                <w:w w:val="95"/>
              </w:rPr>
            </w:pPr>
            <w:hyperlink w:anchor="page46">
              <w:r>
                <w:rPr>
                  <w:rFonts w:ascii="Times New Roman" w:cs="Times New Roman" w:eastAsia="Times New Roman" w:hAnsi="Times New Roman"/>
                  <w:sz w:val="10"/>
                  <w:szCs w:val="10"/>
                  <w:color w:val="0000FF"/>
                  <w:w w:val="95"/>
                </w:rPr>
                <w:t>USE OF PROCEEDS</w:t>
              </w:r>
            </w:hyperlink>
          </w:p>
        </w:tc>
        <w:tc>
          <w:tcPr>
            <w:tcW w:w="7300" w:type="dxa"/>
            <w:vAlign w:val="bottom"/>
            <w:gridSpan w:val="16"/>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36</w:t>
            </w:r>
          </w:p>
        </w:tc>
      </w:tr>
      <w:tr>
        <w:trPr>
          <w:trHeight w:val="100"/>
        </w:trPr>
        <w:tc>
          <w:tcPr>
            <w:tcW w:w="8160" w:type="dxa"/>
            <w:vAlign w:val="bottom"/>
            <w:gridSpan w:val="22"/>
          </w:tcPr>
          <w:p>
            <w:pPr>
              <w:spacing w:after="0" w:line="100" w:lineRule="exact"/>
              <w:rPr>
                <w:rFonts w:ascii="Times New Roman" w:cs="Times New Roman" w:eastAsia="Times New Roman" w:hAnsi="Times New Roman"/>
                <w:sz w:val="10"/>
                <w:szCs w:val="10"/>
                <w:color w:val="0000FF"/>
              </w:rPr>
            </w:pPr>
            <w:hyperlink w:anchor="page49">
              <w:r>
                <w:rPr>
                  <w:rFonts w:ascii="Times New Roman" w:cs="Times New Roman" w:eastAsia="Times New Roman" w:hAnsi="Times New Roman"/>
                  <w:sz w:val="10"/>
                  <w:szCs w:val="10"/>
                  <w:color w:val="0000FF"/>
                </w:rPr>
                <w:t>UNAUDITED PRO FORMA CONDENSED COMBINED FINANCIAL INFORMATION</w:t>
              </w:r>
            </w:hyperlink>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39</w:t>
            </w: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00"/>
        </w:trPr>
        <w:tc>
          <w:tcPr>
            <w:tcW w:w="4860" w:type="dxa"/>
            <w:vAlign w:val="bottom"/>
            <w:tcBorders>
              <w:bottom w:val="single" w:sz="8" w:color="0000FF"/>
            </w:tcBorders>
            <w:gridSpan w:val="21"/>
          </w:tcPr>
          <w:p>
            <w:pPr>
              <w:spacing w:after="0" w:line="100" w:lineRule="exact"/>
              <w:rPr>
                <w:rFonts w:ascii="Times New Roman" w:cs="Times New Roman" w:eastAsia="Times New Roman" w:hAnsi="Times New Roman"/>
                <w:sz w:val="10"/>
                <w:szCs w:val="10"/>
                <w:color w:val="0000FF"/>
                <w:w w:val="97"/>
              </w:rPr>
            </w:pPr>
            <w:hyperlink w:anchor="page57">
              <w:r>
                <w:rPr>
                  <w:rFonts w:ascii="Times New Roman" w:cs="Times New Roman" w:eastAsia="Times New Roman" w:hAnsi="Times New Roman"/>
                  <w:sz w:val="10"/>
                  <w:szCs w:val="10"/>
                  <w:color w:val="0000FF"/>
                  <w:w w:val="97"/>
                </w:rPr>
                <w:t>MANAGEMENT’S DISCUSSION AND ANALYSIS OF FINANCIAL CONDITION AND RESULTS OF OPERATIONS</w:t>
              </w:r>
            </w:hyperlink>
          </w:p>
        </w:tc>
        <w:tc>
          <w:tcPr>
            <w:tcW w:w="3300" w:type="dxa"/>
            <w:vAlign w:val="bottom"/>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47</w:t>
            </w:r>
          </w:p>
        </w:tc>
      </w:tr>
      <w:tr>
        <w:trPr>
          <w:trHeight w:val="100"/>
        </w:trPr>
        <w:tc>
          <w:tcPr>
            <w:tcW w:w="8160" w:type="dxa"/>
            <w:vAlign w:val="bottom"/>
            <w:gridSpan w:val="22"/>
          </w:tcPr>
          <w:p>
            <w:pPr>
              <w:spacing w:after="0" w:line="100" w:lineRule="exact"/>
              <w:rPr>
                <w:rFonts w:ascii="Times New Roman" w:cs="Times New Roman" w:eastAsia="Times New Roman" w:hAnsi="Times New Roman"/>
                <w:sz w:val="10"/>
                <w:szCs w:val="10"/>
                <w:color w:val="0000FF"/>
              </w:rPr>
            </w:pPr>
            <w:hyperlink w:anchor="page102">
              <w:r>
                <w:rPr>
                  <w:rFonts w:ascii="Times New Roman" w:cs="Times New Roman" w:eastAsia="Times New Roman" w:hAnsi="Times New Roman"/>
                  <w:sz w:val="10"/>
                  <w:szCs w:val="10"/>
                  <w:color w:val="0000FF"/>
                </w:rPr>
                <w:t>MANAGEMENT AND COMPENSATION</w:t>
              </w:r>
            </w:hyperlink>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92</w:t>
            </w: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00"/>
        </w:trPr>
        <w:tc>
          <w:tcPr>
            <w:tcW w:w="8160" w:type="dxa"/>
            <w:vAlign w:val="bottom"/>
            <w:gridSpan w:val="22"/>
          </w:tcPr>
          <w:p>
            <w:pPr>
              <w:spacing w:after="0" w:line="100" w:lineRule="exact"/>
              <w:rPr>
                <w:rFonts w:ascii="Times New Roman" w:cs="Times New Roman" w:eastAsia="Times New Roman" w:hAnsi="Times New Roman"/>
                <w:sz w:val="10"/>
                <w:szCs w:val="10"/>
                <w:color w:val="0000FF"/>
              </w:rPr>
            </w:pPr>
            <w:hyperlink w:anchor="page110">
              <w:r>
                <w:rPr>
                  <w:rFonts w:ascii="Times New Roman" w:cs="Times New Roman" w:eastAsia="Times New Roman" w:hAnsi="Times New Roman"/>
                  <w:sz w:val="10"/>
                  <w:szCs w:val="10"/>
                  <w:color w:val="0000FF"/>
                </w:rPr>
                <w:t>CERTAIN RELATIONSHIPS AND RELATED PARTY TRANSACTIONS</w:t>
              </w:r>
            </w:hyperlink>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100</w:t>
            </w:r>
          </w:p>
        </w:tc>
      </w:tr>
      <w:tr>
        <w:trPr>
          <w:trHeight w:val="100"/>
        </w:trPr>
        <w:tc>
          <w:tcPr>
            <w:tcW w:w="3000" w:type="dxa"/>
            <w:vAlign w:val="bottom"/>
            <w:tcBorders>
              <w:top w:val="single" w:sz="8" w:color="0000FF"/>
            </w:tcBorders>
            <w:gridSpan w:val="18"/>
          </w:tcPr>
          <w:p>
            <w:pPr>
              <w:spacing w:after="0" w:line="100" w:lineRule="exact"/>
              <w:rPr>
                <w:rFonts w:ascii="Times New Roman" w:cs="Times New Roman" w:eastAsia="Times New Roman" w:hAnsi="Times New Roman"/>
                <w:sz w:val="10"/>
                <w:szCs w:val="10"/>
                <w:color w:val="0000FF"/>
              </w:rPr>
            </w:pPr>
            <w:hyperlink w:anchor="page111">
              <w:r>
                <w:rPr>
                  <w:rFonts w:ascii="Times New Roman" w:cs="Times New Roman" w:eastAsia="Times New Roman" w:hAnsi="Times New Roman"/>
                  <w:sz w:val="10"/>
                  <w:szCs w:val="10"/>
                  <w:color w:val="0000FF"/>
                </w:rPr>
                <w:t>BENEFICIAL OWNERSHIP OF SECURITIES</w:t>
              </w:r>
            </w:hyperlink>
          </w:p>
        </w:tc>
        <w:tc>
          <w:tcPr>
            <w:tcW w:w="5160" w:type="dxa"/>
            <w:vAlign w:val="bottom"/>
            <w:gridSpan w:val="4"/>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101</w:t>
            </w:r>
          </w:p>
        </w:tc>
      </w:tr>
      <w:tr>
        <w:trPr>
          <w:trHeight w:val="100"/>
        </w:trPr>
        <w:tc>
          <w:tcPr>
            <w:tcW w:w="880" w:type="dxa"/>
            <w:vAlign w:val="bottom"/>
            <w:tcBorders>
              <w:top w:val="single" w:sz="8" w:color="0000FF"/>
              <w:bottom w:val="single" w:sz="8" w:color="0000FF"/>
            </w:tcBorders>
            <w:gridSpan w:val="7"/>
          </w:tcPr>
          <w:p>
            <w:pPr>
              <w:spacing w:after="0" w:line="100" w:lineRule="exact"/>
              <w:rPr>
                <w:rFonts w:ascii="Times New Roman" w:cs="Times New Roman" w:eastAsia="Times New Roman" w:hAnsi="Times New Roman"/>
                <w:sz w:val="10"/>
                <w:szCs w:val="10"/>
                <w:color w:val="0000FF"/>
                <w:w w:val="95"/>
              </w:rPr>
            </w:pPr>
            <w:hyperlink w:anchor="page113">
              <w:r>
                <w:rPr>
                  <w:rFonts w:ascii="Times New Roman" w:cs="Times New Roman" w:eastAsia="Times New Roman" w:hAnsi="Times New Roman"/>
                  <w:sz w:val="10"/>
                  <w:szCs w:val="10"/>
                  <w:color w:val="0000FF"/>
                  <w:w w:val="95"/>
                </w:rPr>
                <w:t>SELLING HOLDERS</w:t>
              </w:r>
            </w:hyperlink>
          </w:p>
        </w:tc>
        <w:tc>
          <w:tcPr>
            <w:tcW w:w="1000" w:type="dxa"/>
            <w:vAlign w:val="bottom"/>
            <w:tcBorders>
              <w:top w:val="single" w:sz="8" w:color="0000FF"/>
            </w:tcBorders>
            <w:gridSpan w:val="8"/>
          </w:tcPr>
          <w:p>
            <w:pPr>
              <w:spacing w:after="0"/>
              <w:rPr>
                <w:sz w:val="8"/>
                <w:szCs w:val="8"/>
                <w:color w:val="auto"/>
              </w:rPr>
            </w:pPr>
          </w:p>
        </w:tc>
        <w:tc>
          <w:tcPr>
            <w:tcW w:w="6280" w:type="dxa"/>
            <w:vAlign w:val="bottom"/>
            <w:gridSpan w:val="7"/>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103</w:t>
            </w:r>
          </w:p>
        </w:tc>
      </w:tr>
      <w:tr>
        <w:trPr>
          <w:trHeight w:val="100"/>
        </w:trPr>
        <w:tc>
          <w:tcPr>
            <w:tcW w:w="8160" w:type="dxa"/>
            <w:vAlign w:val="bottom"/>
            <w:gridSpan w:val="22"/>
          </w:tcPr>
          <w:p>
            <w:pPr>
              <w:spacing w:after="0" w:line="100" w:lineRule="exact"/>
              <w:rPr>
                <w:rFonts w:ascii="Times New Roman" w:cs="Times New Roman" w:eastAsia="Times New Roman" w:hAnsi="Times New Roman"/>
                <w:sz w:val="10"/>
                <w:szCs w:val="10"/>
                <w:color w:val="0000FF"/>
              </w:rPr>
            </w:pPr>
            <w:hyperlink w:anchor="page139">
              <w:r>
                <w:rPr>
                  <w:rFonts w:ascii="Times New Roman" w:cs="Times New Roman" w:eastAsia="Times New Roman" w:hAnsi="Times New Roman"/>
                  <w:sz w:val="10"/>
                  <w:szCs w:val="10"/>
                  <w:color w:val="0000FF"/>
                </w:rPr>
                <w:t>MATERIAL INCOME TAX CONSIDERATIONS</w:t>
              </w:r>
            </w:hyperlink>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129</w:t>
            </w:r>
          </w:p>
        </w:tc>
      </w:tr>
      <w:tr>
        <w:trPr>
          <w:trHeight w:val="100"/>
        </w:trPr>
        <w:tc>
          <w:tcPr>
            <w:tcW w:w="2000" w:type="dxa"/>
            <w:vAlign w:val="bottom"/>
            <w:tcBorders>
              <w:top w:val="single" w:sz="8" w:color="0000FF"/>
            </w:tcBorders>
            <w:gridSpan w:val="16"/>
          </w:tcPr>
          <w:p>
            <w:pPr>
              <w:spacing w:after="0" w:line="100" w:lineRule="exact"/>
              <w:rPr>
                <w:rFonts w:ascii="Times New Roman" w:cs="Times New Roman" w:eastAsia="Times New Roman" w:hAnsi="Times New Roman"/>
                <w:sz w:val="10"/>
                <w:szCs w:val="10"/>
                <w:color w:val="0000FF"/>
              </w:rPr>
            </w:pPr>
            <w:hyperlink w:anchor="page145">
              <w:r>
                <w:rPr>
                  <w:rFonts w:ascii="Times New Roman" w:cs="Times New Roman" w:eastAsia="Times New Roman" w:hAnsi="Times New Roman"/>
                  <w:sz w:val="10"/>
                  <w:szCs w:val="10"/>
                  <w:color w:val="0000FF"/>
                </w:rPr>
                <w:t>PLAN OF DISTRIBUTION</w:t>
              </w:r>
            </w:hyperlink>
          </w:p>
        </w:tc>
        <w:tc>
          <w:tcPr>
            <w:tcW w:w="6160" w:type="dxa"/>
            <w:vAlign w:val="bottom"/>
            <w:gridSpan w:val="6"/>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135</w:t>
            </w: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00"/>
        </w:trPr>
        <w:tc>
          <w:tcPr>
            <w:tcW w:w="8160" w:type="dxa"/>
            <w:vAlign w:val="bottom"/>
            <w:gridSpan w:val="22"/>
          </w:tcPr>
          <w:p>
            <w:pPr>
              <w:spacing w:after="0" w:line="100" w:lineRule="exact"/>
              <w:rPr>
                <w:rFonts w:ascii="Times New Roman" w:cs="Times New Roman" w:eastAsia="Times New Roman" w:hAnsi="Times New Roman"/>
                <w:sz w:val="10"/>
                <w:szCs w:val="10"/>
                <w:color w:val="0000FF"/>
              </w:rPr>
            </w:pPr>
            <w:hyperlink w:anchor="page147">
              <w:r>
                <w:rPr>
                  <w:rFonts w:ascii="Times New Roman" w:cs="Times New Roman" w:eastAsia="Times New Roman" w:hAnsi="Times New Roman"/>
                  <w:sz w:val="10"/>
                  <w:szCs w:val="10"/>
                  <w:color w:val="0000FF"/>
                </w:rPr>
                <w:t>EXPENSES RELATED TO THIS OFFERING</w:t>
              </w:r>
            </w:hyperlink>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137</w:t>
            </w:r>
          </w:p>
        </w:tc>
      </w:tr>
      <w:tr>
        <w:trPr>
          <w:trHeight w:val="100"/>
        </w:trPr>
        <w:tc>
          <w:tcPr>
            <w:tcW w:w="800" w:type="dxa"/>
            <w:vAlign w:val="bottom"/>
            <w:tcBorders>
              <w:top w:val="single" w:sz="8" w:color="0000FF"/>
              <w:bottom w:val="single" w:sz="8" w:color="0000FF"/>
            </w:tcBorders>
            <w:gridSpan w:val="5"/>
          </w:tcPr>
          <w:p>
            <w:pPr>
              <w:spacing w:after="0" w:line="100" w:lineRule="exact"/>
              <w:rPr>
                <w:rFonts w:ascii="Times New Roman" w:cs="Times New Roman" w:eastAsia="Times New Roman" w:hAnsi="Times New Roman"/>
                <w:sz w:val="10"/>
                <w:szCs w:val="10"/>
                <w:color w:val="0000FF"/>
                <w:w w:val="95"/>
              </w:rPr>
            </w:pPr>
            <w:hyperlink w:anchor="page147">
              <w:r>
                <w:rPr>
                  <w:rFonts w:ascii="Times New Roman" w:cs="Times New Roman" w:eastAsia="Times New Roman" w:hAnsi="Times New Roman"/>
                  <w:sz w:val="10"/>
                  <w:szCs w:val="10"/>
                  <w:color w:val="0000FF"/>
                  <w:w w:val="95"/>
                </w:rPr>
                <w:t>LEGAL MATTERS</w:t>
              </w:r>
            </w:hyperlink>
          </w:p>
        </w:tc>
        <w:tc>
          <w:tcPr>
            <w:tcW w:w="1040" w:type="dxa"/>
            <w:vAlign w:val="bottom"/>
            <w:tcBorders>
              <w:top w:val="single" w:sz="8" w:color="0000FF"/>
            </w:tcBorders>
            <w:gridSpan w:val="9"/>
          </w:tcPr>
          <w:p>
            <w:pPr>
              <w:spacing w:after="0"/>
              <w:rPr>
                <w:sz w:val="8"/>
                <w:szCs w:val="8"/>
                <w:color w:val="auto"/>
              </w:rPr>
            </w:pPr>
          </w:p>
        </w:tc>
        <w:tc>
          <w:tcPr>
            <w:tcW w:w="6320" w:type="dxa"/>
            <w:vAlign w:val="bottom"/>
            <w:gridSpan w:val="8"/>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137</w:t>
            </w:r>
          </w:p>
        </w:tc>
      </w:tr>
      <w:tr>
        <w:trPr>
          <w:trHeight w:val="100"/>
        </w:trPr>
        <w:tc>
          <w:tcPr>
            <w:tcW w:w="420" w:type="dxa"/>
            <w:vAlign w:val="bottom"/>
            <w:tcBorders>
              <w:bottom w:val="single" w:sz="8" w:color="0000FF"/>
            </w:tcBorders>
          </w:tcPr>
          <w:p>
            <w:pPr>
              <w:spacing w:after="0" w:line="100" w:lineRule="exact"/>
              <w:rPr>
                <w:rFonts w:ascii="Times New Roman" w:cs="Times New Roman" w:eastAsia="Times New Roman" w:hAnsi="Times New Roman"/>
                <w:sz w:val="10"/>
                <w:szCs w:val="10"/>
                <w:color w:val="0000FF"/>
                <w:w w:val="92"/>
              </w:rPr>
            </w:pPr>
            <w:hyperlink w:anchor="page147">
              <w:r>
                <w:rPr>
                  <w:rFonts w:ascii="Times New Roman" w:cs="Times New Roman" w:eastAsia="Times New Roman" w:hAnsi="Times New Roman"/>
                  <w:sz w:val="10"/>
                  <w:szCs w:val="10"/>
                  <w:color w:val="0000FF"/>
                  <w:w w:val="92"/>
                </w:rPr>
                <w:t>EXPERTS</w:t>
              </w:r>
            </w:hyperlink>
          </w:p>
        </w:tc>
        <w:tc>
          <w:tcPr>
            <w:tcW w:w="7740" w:type="dxa"/>
            <w:vAlign w:val="bottom"/>
            <w:gridSpan w:val="21"/>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137</w:t>
            </w:r>
          </w:p>
        </w:tc>
      </w:tr>
      <w:tr>
        <w:trPr>
          <w:trHeight w:val="100"/>
        </w:trPr>
        <w:tc>
          <w:tcPr>
            <w:tcW w:w="8160" w:type="dxa"/>
            <w:vAlign w:val="bottom"/>
            <w:gridSpan w:val="22"/>
          </w:tcPr>
          <w:p>
            <w:pPr>
              <w:spacing w:after="0" w:line="100" w:lineRule="exact"/>
              <w:rPr>
                <w:rFonts w:ascii="Times New Roman" w:cs="Times New Roman" w:eastAsia="Times New Roman" w:hAnsi="Times New Roman"/>
                <w:sz w:val="10"/>
                <w:szCs w:val="10"/>
                <w:color w:val="0000FF"/>
              </w:rPr>
            </w:pPr>
            <w:hyperlink w:anchor="page147">
              <w:r>
                <w:rPr>
                  <w:rFonts w:ascii="Times New Roman" w:cs="Times New Roman" w:eastAsia="Times New Roman" w:hAnsi="Times New Roman"/>
                  <w:sz w:val="10"/>
                  <w:szCs w:val="10"/>
                  <w:color w:val="0000FF"/>
                </w:rPr>
                <w:t>ENFORCEABILITY OF CIVIL LIABILITY</w:t>
              </w:r>
            </w:hyperlink>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137</w:t>
            </w:r>
          </w:p>
        </w:tc>
      </w:tr>
      <w:tr>
        <w:trPr>
          <w:trHeight w:val="20"/>
        </w:trPr>
        <w:tc>
          <w:tcPr>
            <w:tcW w:w="1760" w:type="dxa"/>
            <w:vAlign w:val="bottom"/>
            <w:gridSpan w:val="13"/>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00"/>
        </w:trPr>
        <w:tc>
          <w:tcPr>
            <w:tcW w:w="2080" w:type="dxa"/>
            <w:vAlign w:val="bottom"/>
            <w:tcBorders>
              <w:bottom w:val="single" w:sz="8" w:color="0000FF"/>
            </w:tcBorders>
            <w:gridSpan w:val="17"/>
          </w:tcPr>
          <w:p>
            <w:pPr>
              <w:spacing w:after="0" w:line="100" w:lineRule="exact"/>
              <w:rPr>
                <w:rFonts w:ascii="Times New Roman" w:cs="Times New Roman" w:eastAsia="Times New Roman" w:hAnsi="Times New Roman"/>
                <w:sz w:val="10"/>
                <w:szCs w:val="10"/>
                <w:color w:val="0000FF"/>
                <w:w w:val="96"/>
              </w:rPr>
            </w:pPr>
            <w:hyperlink w:anchor="page147">
              <w:r>
                <w:rPr>
                  <w:rFonts w:ascii="Times New Roman" w:cs="Times New Roman" w:eastAsia="Times New Roman" w:hAnsi="Times New Roman"/>
                  <w:sz w:val="10"/>
                  <w:szCs w:val="10"/>
                  <w:color w:val="0000FF"/>
                  <w:w w:val="96"/>
                </w:rPr>
                <w:t>WHERE YOU CAN FIND MORE INFORMATION</w:t>
              </w:r>
            </w:hyperlink>
          </w:p>
        </w:tc>
        <w:tc>
          <w:tcPr>
            <w:tcW w:w="6080" w:type="dxa"/>
            <w:vAlign w:val="bottom"/>
            <w:gridSpan w:val="5"/>
          </w:tcPr>
          <w:p>
            <w:pPr>
              <w:spacing w:after="0"/>
              <w:rPr>
                <w:sz w:val="8"/>
                <w:szCs w:val="8"/>
                <w:color w:val="auto"/>
              </w:rPr>
            </w:pPr>
          </w:p>
        </w:tc>
        <w:tc>
          <w:tcPr>
            <w:tcW w:w="24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137</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ABOUT THIS PROSPECTUS</w:t>
      </w:r>
    </w:p>
    <w:p>
      <w:pPr>
        <w:spacing w:after="0" w:line="97"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This prospectus is part of a registration statement on Form F -l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7,499,994 Ordinary Shares upon exercise of the Public Warrants. The Selling Holders may use the shelf registration statement to sell up to an aggregate of 185,068,790 Ordinary Shares from time to time through any means described in the section entitled “</w:t>
      </w:r>
      <w:r>
        <w:rPr>
          <w:rFonts w:ascii="Times New Roman" w:cs="Times New Roman" w:eastAsia="Times New Roman" w:hAnsi="Times New Roman"/>
          <w:sz w:val="10"/>
          <w:szCs w:val="10"/>
          <w:i w:val="1"/>
          <w:iCs w:val="1"/>
          <w:color w:val="auto"/>
        </w:rPr>
        <w:t>Plan of Distribution</w:t>
      </w:r>
      <w:r>
        <w:rPr>
          <w:rFonts w:ascii="Times New Roman" w:cs="Times New Roman" w:eastAsia="Times New Roman" w:hAnsi="Times New Roman"/>
          <w:sz w:val="10"/>
          <w:szCs w:val="10"/>
          <w:color w:val="auto"/>
        </w:rPr>
        <w:t>.” More specific terms of any securities that the Selling Holders offer and sell may be provided in a prospectus supplement that describes, among other things, the specific amounts and prices of the Ordinary Shares and/or warrants being offered and the terms of the offering the Selling Holders may, from time to time, issue, offer and sell, as applicable, any combination of the securities described in this prospectus in one or more offerings.</w:t>
      </w:r>
    </w:p>
    <w:p>
      <w:pPr>
        <w:spacing w:after="0" w:line="110"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0"/>
          <w:szCs w:val="10"/>
          <w:i w:val="1"/>
          <w:iCs w:val="1"/>
          <w:color w:val="auto"/>
        </w:rPr>
        <w:t>“Where You Can Find More Information.”</w:t>
      </w:r>
    </w:p>
    <w:p>
      <w:pPr>
        <w:spacing w:after="0" w:line="105"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94"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0"/>
          <w:szCs w:val="10"/>
          <w:i w:val="1"/>
          <w:iCs w:val="1"/>
          <w:color w:val="auto"/>
        </w:rPr>
        <w:t>“Where You Can Find More Information.”</w:t>
      </w:r>
    </w:p>
    <w:p>
      <w:pPr>
        <w:spacing w:after="0" w:line="103"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On August 15, 2024 (the “</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Armada Acquisition Corp. I, a Delaware corporation (“</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Rezolve AI Limited, a private limited company registered under the laws of England and Wales with registration number 14573691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or “</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Rezolve Merger Sub, Inc., a Delaware corporation (“</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xml:space="preserve"> ”), pursuant to which, among other things, (i) on July 4, 2024, Rezolve Limited, a private limited company organized under the laws of England and Wales ("</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effected a pre-Closing demerger (the “</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pursuant to UK legislation under which (x) part of Rezolve Limited’s business and assets (being all of its business and assets except for certain shares in Rezolve Information Technology (Shanghai) Co Ltd and its wholly owned subsidiary Nine Stone</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08"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0"/>
          <w:szCs w:val="10"/>
          <w:color w:val="auto"/>
        </w:rPr>
        <w:t>It should be remembered that the price of securities and the income from them can go down as well as up.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you are in any doubt about the contents of this prospectus, you should consult your stockbroker, bank manager, solicitor, accountant or financial adviser.</w:t>
      </w:r>
    </w:p>
    <w:p>
      <w:pPr>
        <w:spacing w:after="0" w:line="118" w:lineRule="exact"/>
        <w:rPr>
          <w:sz w:val="20"/>
          <w:szCs w:val="20"/>
          <w:color w:val="auto"/>
        </w:rPr>
      </w:pPr>
    </w:p>
    <w:p>
      <w:pPr>
        <w:jc w:val="center"/>
        <w:spacing w:after="0" w:line="380" w:lineRule="auto"/>
        <w:rPr>
          <w:sz w:val="20"/>
          <w:szCs w:val="20"/>
          <w:color w:val="auto"/>
        </w:rPr>
      </w:pPr>
      <w:r>
        <w:rPr>
          <w:rFonts w:ascii="Times New Roman" w:cs="Times New Roman" w:eastAsia="Times New Roman" w:hAnsi="Times New Roman"/>
          <w:sz w:val="10"/>
          <w:szCs w:val="10"/>
          <w:color w:val="auto"/>
        </w:rPr>
        <w:t>Unless the context indicates otherwise, references to the “Company,” “Rezolve,” “we,” “us” and “our”, prior to the Pre-Closing Demerger, refer to Rezolve Limited and after the Pre-Closing Demerger, Rezolve AI Limited, including its subsidiaries.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208280</wp:posOffset>
            </wp:positionV>
            <wp:extent cx="6778625" cy="34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680"/>
          </w:cols>
          <w:pgMar w:left="1120" w:top="1155" w:right="1100"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TRADEMARKS</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MARKET AND INDUSTRY DATA</w:t>
      </w:r>
    </w:p>
    <w:p>
      <w:pPr>
        <w:spacing w:after="0" w:line="97" w:lineRule="exact"/>
        <w:rPr>
          <w:sz w:val="20"/>
          <w:szCs w:val="20"/>
          <w:color w:val="auto"/>
        </w:rPr>
      </w:pPr>
    </w:p>
    <w:p>
      <w:pPr>
        <w:jc w:val="both"/>
        <w:ind w:right="180" w:firstLine="480"/>
        <w:spacing w:after="0" w:line="285" w:lineRule="auto"/>
        <w:rPr>
          <w:sz w:val="20"/>
          <w:szCs w:val="20"/>
          <w:color w:val="auto"/>
        </w:rPr>
      </w:pPr>
      <w:r>
        <w:rPr>
          <w:rFonts w:ascii="Times New Roman" w:cs="Times New Roman" w:eastAsia="Times New Roman" w:hAnsi="Times New Roman"/>
          <w:sz w:val="9"/>
          <w:szCs w:val="9"/>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 -party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7" w:name="page8"/>
    <w:bookmarkEnd w:id="7"/>
    <w:p>
      <w:pPr>
        <w:ind w:left="4240"/>
        <w:spacing w:after="0"/>
        <w:rPr>
          <w:sz w:val="20"/>
          <w:szCs w:val="20"/>
          <w:color w:val="auto"/>
        </w:rPr>
      </w:pPr>
      <w:r>
        <w:rPr>
          <w:rFonts w:ascii="Times New Roman" w:cs="Times New Roman" w:eastAsia="Times New Roman" w:hAnsi="Times New Roman"/>
          <w:sz w:val="10"/>
          <w:szCs w:val="10"/>
          <w:b w:val="1"/>
          <w:bCs w:val="1"/>
          <w:color w:val="auto"/>
        </w:rPr>
        <w:t>SELECTED DEFINITIONS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Terms defined in the body of this document shall have the meanings attributed to them therein and in addition the following terms shall have the following meanings: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means Armada Acquisition Corp. I, a Delaware corporation;</w:t>
      </w:r>
    </w:p>
    <w:p>
      <w:pPr>
        <w:spacing w:after="0" w:line="58" w:lineRule="exact"/>
        <w:rPr>
          <w:sz w:val="20"/>
          <w:szCs w:val="20"/>
          <w:color w:val="auto"/>
        </w:rPr>
      </w:pPr>
    </w:p>
    <w:p>
      <w:pPr>
        <w:ind w:right="494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Common Stock</w:t>
      </w:r>
      <w:r>
        <w:rPr>
          <w:rFonts w:ascii="Times New Roman" w:cs="Times New Roman" w:eastAsia="Times New Roman" w:hAnsi="Times New Roman"/>
          <w:sz w:val="10"/>
          <w:szCs w:val="10"/>
          <w:color w:val="auto"/>
        </w:rPr>
        <w:t>” means, prior to the Business Combination, an issued and outstanding share of common stock of Armada; •“</w:t>
      </w:r>
      <w:r>
        <w:rPr>
          <w:rFonts w:ascii="Times New Roman" w:cs="Times New Roman" w:eastAsia="Times New Roman" w:hAnsi="Times New Roman"/>
          <w:sz w:val="10"/>
          <w:szCs w:val="10"/>
          <w:b w:val="1"/>
          <w:bCs w:val="1"/>
          <w:i w:val="1"/>
          <w:iCs w:val="1"/>
          <w:color w:val="auto"/>
        </w:rPr>
        <w:t>Armada Unit</w:t>
      </w:r>
      <w:r>
        <w:rPr>
          <w:rFonts w:ascii="Times New Roman" w:cs="Times New Roman" w:eastAsia="Times New Roman" w:hAnsi="Times New Roman"/>
          <w:sz w:val="10"/>
          <w:szCs w:val="10"/>
          <w:color w:val="auto"/>
        </w:rPr>
        <w:t>” means, prior to the Business Combination, an issued and outstanding unit of Armada;</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Warran</w:t>
      </w:r>
      <w:r>
        <w:rPr>
          <w:rFonts w:ascii="Times New Roman" w:cs="Times New Roman" w:eastAsia="Times New Roman" w:hAnsi="Times New Roman"/>
          <w:sz w:val="10"/>
          <w:szCs w:val="10"/>
          <w:color w:val="auto"/>
        </w:rPr>
        <w:t>t” means, prior to the Business Combination, an issued and outstanding warrant of Armada;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means Rezolve’s articles of association;</w:t>
      </w:r>
    </w:p>
    <w:p>
      <w:pPr>
        <w:spacing w:after="0" w:line="58"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Channels</w:t>
      </w:r>
      <w:r>
        <w:rPr>
          <w:rFonts w:ascii="Times New Roman" w:cs="Times New Roman" w:eastAsia="Times New Roman" w:hAnsi="Times New Roman"/>
          <w:sz w:val="10"/>
          <w:szCs w:val="10"/>
          <w:color w:val="auto"/>
        </w:rPr>
        <w:t>” means the Rezolve’s distribution partners who distribute Rezolve’s offerings and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Convertible Notes</w:t>
      </w:r>
      <w:r>
        <w:rPr>
          <w:rFonts w:ascii="Times New Roman" w:cs="Times New Roman" w:eastAsia="Times New Roman" w:hAnsi="Times New Roman"/>
          <w:sz w:val="10"/>
          <w:szCs w:val="10"/>
          <w:color w:val="auto"/>
        </w:rPr>
        <w:t>” means the convertible loan notes issued on the terms of the Loan Note Instrument and the JVB Note;</w:t>
      </w:r>
    </w:p>
    <w:p>
      <w:pPr>
        <w:spacing w:after="0" w:line="58" w:lineRule="exact"/>
        <w:rPr>
          <w:sz w:val="20"/>
          <w:szCs w:val="20"/>
          <w:color w:val="auto"/>
        </w:rPr>
      </w:pPr>
    </w:p>
    <w:p>
      <w:pPr>
        <w:ind w:right="228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Founder Shares</w:t>
      </w:r>
      <w:r>
        <w:rPr>
          <w:rFonts w:ascii="Times New Roman" w:cs="Times New Roman" w:eastAsia="Times New Roman" w:hAnsi="Times New Roman"/>
          <w:sz w:val="10"/>
          <w:szCs w:val="10"/>
          <w:color w:val="auto"/>
        </w:rPr>
        <w:t>” means, collectively, the shares of Armada Common Stock held by the Sponsor, the chief executive officer of Armada, the president of Armada and independent directors of Armada; •“</w:t>
      </w:r>
      <w:r>
        <w:rPr>
          <w:rFonts w:ascii="Times New Roman" w:cs="Times New Roman" w:eastAsia="Times New Roman" w:hAnsi="Times New Roman"/>
          <w:sz w:val="10"/>
          <w:szCs w:val="10"/>
          <w:b w:val="1"/>
          <w:bCs w:val="1"/>
          <w:i w:val="1"/>
          <w:iCs w:val="1"/>
          <w:color w:val="auto"/>
        </w:rPr>
        <w:t>GeoZone</w:t>
      </w:r>
      <w:r>
        <w:rPr>
          <w:rFonts w:ascii="Times New Roman" w:cs="Times New Roman" w:eastAsia="Times New Roman" w:hAnsi="Times New Roman"/>
          <w:sz w:val="10"/>
          <w:szCs w:val="10"/>
          <w:color w:val="auto"/>
        </w:rPr>
        <w:t>” means a location-based marketing tool which is a feature of Rezolve’s platform;</w:t>
      </w:r>
    </w:p>
    <w:p>
      <w:pPr>
        <w:ind w:right="362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Investor Rights Agreement</w:t>
      </w:r>
      <w:r>
        <w:rPr>
          <w:rFonts w:ascii="Times New Roman" w:cs="Times New Roman" w:eastAsia="Times New Roman" w:hAnsi="Times New Roman"/>
          <w:sz w:val="10"/>
          <w:szCs w:val="10"/>
          <w:color w:val="auto"/>
        </w:rPr>
        <w:t>” means the amended form investor rights agreements entered into by Rezolve, Armada, the Sponsor and certain stockholders of Rezolve; •“</w:t>
      </w:r>
      <w:r>
        <w:rPr>
          <w:rFonts w:ascii="Times New Roman" w:cs="Times New Roman" w:eastAsia="Times New Roman" w:hAnsi="Times New Roman"/>
          <w:sz w:val="10"/>
          <w:szCs w:val="10"/>
          <w:b w:val="1"/>
          <w:bCs w:val="1"/>
          <w:i w:val="1"/>
          <w:iCs w:val="1"/>
          <w:color w:val="auto"/>
        </w:rPr>
        <w:t>JVB Note</w:t>
      </w:r>
      <w:r>
        <w:rPr>
          <w:rFonts w:ascii="Times New Roman" w:cs="Times New Roman" w:eastAsia="Times New Roman" w:hAnsi="Times New Roman"/>
          <w:sz w:val="10"/>
          <w:szCs w:val="10"/>
          <w:color w:val="auto"/>
        </w:rPr>
        <w:t>” means the convertible note issued by Rezolve to J.V.B. Financial Group, LLC, a registered broker-dealer,on August 14, 2024.</w:t>
      </w:r>
    </w:p>
    <w:p>
      <w:pPr>
        <w:ind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Loan Note Instrument</w:t>
      </w:r>
      <w:r>
        <w:rPr>
          <w:rFonts w:ascii="Times New Roman" w:cs="Times New Roman" w:eastAsia="Times New Roman" w:hAnsi="Times New Roman"/>
          <w:sz w:val="10"/>
          <w:szCs w:val="10"/>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Major Investor</w:t>
      </w:r>
      <w:r>
        <w:rPr>
          <w:rFonts w:ascii="Times New Roman" w:cs="Times New Roman" w:eastAsia="Times New Roman" w:hAnsi="Times New Roman"/>
          <w:sz w:val="10"/>
          <w:szCs w:val="10"/>
          <w:color w:val="auto"/>
        </w:rPr>
        <w:t>” has the meaning given to it in the Loan Note Instrument.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Nasdaq</w:t>
      </w:r>
      <w:r>
        <w:rPr>
          <w:rFonts w:ascii="Times New Roman" w:cs="Times New Roman" w:eastAsia="Times New Roman" w:hAnsi="Times New Roman"/>
          <w:sz w:val="10"/>
          <w:szCs w:val="10"/>
          <w:color w:val="auto"/>
        </w:rPr>
        <w:t>” means The Nasdaq Stock Market LLC;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Noteholder Majority</w:t>
      </w:r>
      <w:r>
        <w:rPr>
          <w:rFonts w:ascii="Times New Roman" w:cs="Times New Roman" w:eastAsia="Times New Roman" w:hAnsi="Times New Roman"/>
          <w:sz w:val="10"/>
          <w:szCs w:val="10"/>
          <w:color w:val="auto"/>
        </w:rPr>
        <w:t>” means the prior consent of holders of more than two-thirds of the aggregate principal amount of the Convertible Notes outstanding from time to time;</w:t>
      </w:r>
    </w:p>
    <w:p>
      <w:pPr>
        <w:spacing w:after="0" w:line="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Platform Transactions</w:t>
      </w:r>
      <w:r>
        <w:rPr>
          <w:rFonts w:ascii="Times New Roman" w:cs="Times New Roman" w:eastAsia="Times New Roman" w:hAnsi="Times New Roman"/>
          <w:sz w:val="10"/>
          <w:szCs w:val="10"/>
          <w:color w:val="auto"/>
        </w:rPr>
        <w:t>”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Registerable Securities</w:t>
      </w:r>
      <w:r>
        <w:rPr>
          <w:rFonts w:ascii="Times New Roman" w:cs="Times New Roman" w:eastAsia="Times New Roman" w:hAnsi="Times New Roman"/>
          <w:sz w:val="10"/>
          <w:szCs w:val="10"/>
          <w:color w:val="auto"/>
        </w:rPr>
        <w:t>” has the meaning given to it in the Investor Rights Agreement.</w:t>
      </w:r>
    </w:p>
    <w:p>
      <w:pPr>
        <w:spacing w:after="0" w:line="58" w:lineRule="exact"/>
        <w:rPr>
          <w:sz w:val="20"/>
          <w:szCs w:val="20"/>
          <w:color w:val="auto"/>
        </w:rPr>
      </w:pPr>
    </w:p>
    <w:p>
      <w:pPr>
        <w:ind w:right="20"/>
        <w:spacing w:after="0" w:line="362"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means Rezolve AI Limited, a private limited liability company registered under the laws of England and Wales with registration number 14573691 and, following its re-registration as a public limited company, Rezolve AI PLC; •“</w:t>
      </w:r>
      <w:r>
        <w:rPr>
          <w:rFonts w:ascii="Times New Roman" w:cs="Times New Roman" w:eastAsia="Times New Roman" w:hAnsi="Times New Roman"/>
          <w:sz w:val="10"/>
          <w:szCs w:val="10"/>
          <w:b w:val="1"/>
          <w:bCs w:val="1"/>
          <w:i w:val="1"/>
          <w:iCs w:val="1"/>
          <w:color w:val="auto"/>
        </w:rPr>
        <w:t>Rezolve Founder</w:t>
      </w:r>
      <w:r>
        <w:rPr>
          <w:rFonts w:ascii="Times New Roman" w:cs="Times New Roman" w:eastAsia="Times New Roman" w:hAnsi="Times New Roman"/>
          <w:sz w:val="10"/>
          <w:szCs w:val="10"/>
          <w:color w:val="auto"/>
        </w:rPr>
        <w:t>” means Daniel Wagner;</w:t>
      </w:r>
    </w:p>
    <w:p>
      <w:pPr>
        <w:jc w:val="center"/>
        <w:ind w:right="480"/>
        <w:spacing w:after="0"/>
        <w:rPr>
          <w:sz w:val="20"/>
          <w:szCs w:val="20"/>
          <w:color w:val="auto"/>
        </w:rPr>
      </w:pPr>
      <w:r>
        <w:rPr>
          <w:rFonts w:ascii="Times New Roman" w:cs="Times New Roman" w:eastAsia="Times New Roman" w:hAnsi="Times New Roman"/>
          <w:sz w:val="10"/>
          <w:szCs w:val="1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40"/>
          </w:cols>
          <w:pgMar w:left="1120" w:top="1033" w:right="6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Incentive Equity Plan</w:t>
      </w:r>
      <w:r>
        <w:rPr>
          <w:rFonts w:ascii="Times New Roman" w:cs="Times New Roman" w:eastAsia="Times New Roman" w:hAnsi="Times New Roman"/>
          <w:sz w:val="10"/>
          <w:szCs w:val="10"/>
          <w:color w:val="auto"/>
        </w:rPr>
        <w:t>” means the incentive equity plan adopted by Rezolve;</w:t>
      </w:r>
    </w:p>
    <w:p>
      <w:pPr>
        <w:spacing w:after="0" w:line="58" w:lineRule="exact"/>
        <w:rPr>
          <w:sz w:val="20"/>
          <w:szCs w:val="20"/>
          <w:color w:val="auto"/>
        </w:rPr>
      </w:pPr>
    </w:p>
    <w:p>
      <w:pPr>
        <w:ind w:right="464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means Rezolve Limited, a private limited company organized under the laws of England and Wales; •“</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means Rezolve Merger Sub, Inc., a Delaware corporation; •“</w:t>
      </w:r>
      <w:r>
        <w:rPr>
          <w:rFonts w:ascii="Times New Roman" w:cs="Times New Roman" w:eastAsia="Times New Roman" w:hAnsi="Times New Roman"/>
          <w:sz w:val="10"/>
          <w:szCs w:val="10"/>
          <w:b w:val="1"/>
          <w:bCs w:val="1"/>
          <w:i w:val="1"/>
          <w:iCs w:val="1"/>
          <w:color w:val="auto"/>
        </w:rPr>
        <w:t>Ordinary Shares</w:t>
      </w:r>
      <w:r>
        <w:rPr>
          <w:rFonts w:ascii="Times New Roman" w:cs="Times New Roman" w:eastAsia="Times New Roman" w:hAnsi="Times New Roman"/>
          <w:sz w:val="10"/>
          <w:szCs w:val="10"/>
          <w:color w:val="auto"/>
        </w:rPr>
        <w:t>” means the ordinary shares of Rezolve, par value £0.0001;</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Options</w:t>
      </w:r>
      <w:r>
        <w:rPr>
          <w:rFonts w:ascii="Times New Roman" w:cs="Times New Roman" w:eastAsia="Times New Roman" w:hAnsi="Times New Roman"/>
          <w:sz w:val="10"/>
          <w:szCs w:val="10"/>
          <w:color w:val="auto"/>
        </w:rPr>
        <w:t>” means options to subscribe for Ordinary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Shareholder</w:t>
      </w:r>
      <w:r>
        <w:rPr>
          <w:rFonts w:ascii="Times New Roman" w:cs="Times New Roman" w:eastAsia="Times New Roman" w:hAnsi="Times New Roman"/>
          <w:sz w:val="10"/>
          <w:szCs w:val="10"/>
          <w:color w:val="auto"/>
        </w:rPr>
        <w:t>” means a holder of shares of stock in the capital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Private Warrant</w:t>
      </w:r>
      <w:r>
        <w:rPr>
          <w:rFonts w:ascii="Times New Roman" w:cs="Times New Roman" w:eastAsia="Times New Roman" w:hAnsi="Times New Roman"/>
          <w:sz w:val="10"/>
          <w:szCs w:val="10"/>
          <w:color w:val="auto"/>
        </w:rPr>
        <w:t>” means a private warrant to purchase one Ordinary Share;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Public Warrant</w:t>
      </w:r>
      <w:r>
        <w:rPr>
          <w:rFonts w:ascii="Times New Roman" w:cs="Times New Roman" w:eastAsia="Times New Roman" w:hAnsi="Times New Roman"/>
          <w:sz w:val="10"/>
          <w:szCs w:val="10"/>
          <w:color w:val="auto"/>
        </w:rPr>
        <w:t>” means a public warrant to purchase one Ordinary Share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Warrant</w:t>
      </w:r>
      <w:r>
        <w:rPr>
          <w:rFonts w:ascii="Times New Roman" w:cs="Times New Roman" w:eastAsia="Times New Roman" w:hAnsi="Times New Roman"/>
          <w:sz w:val="10"/>
          <w:szCs w:val="10"/>
          <w:color w:val="auto"/>
        </w:rPr>
        <w:t>” mean, collectively, the Private Warrants and the Public Warrants;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Selling Holders</w:t>
      </w:r>
      <w:r>
        <w:rPr>
          <w:rFonts w:ascii="Times New Roman" w:cs="Times New Roman" w:eastAsia="Times New Roman" w:hAnsi="Times New Roman"/>
          <w:sz w:val="10"/>
          <w:szCs w:val="10"/>
          <w:color w:val="auto"/>
        </w:rPr>
        <w:t>” means the selling security holders named in this Registration Statement on Form F-1;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SMBs</w:t>
      </w:r>
      <w:r>
        <w:rPr>
          <w:rFonts w:ascii="Times New Roman" w:cs="Times New Roman" w:eastAsia="Times New Roman" w:hAnsi="Times New Roman"/>
          <w:sz w:val="10"/>
          <w:szCs w:val="10"/>
          <w:color w:val="auto"/>
        </w:rPr>
        <w:t>” means small and medium-sized businesses;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Sponsor</w:t>
      </w:r>
      <w:r>
        <w:rPr>
          <w:rFonts w:ascii="Times New Roman" w:cs="Times New Roman" w:eastAsia="Times New Roman" w:hAnsi="Times New Roman"/>
          <w:sz w:val="10"/>
          <w:szCs w:val="10"/>
          <w:color w:val="auto"/>
        </w:rPr>
        <w:t>” means Armada Sponsor LLC;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means the United Kingdom;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means the UK Companies Act 2006 (as amended from time to time);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w:t>
      </w:r>
      <w:r>
        <w:rPr>
          <w:rFonts w:ascii="Times New Roman" w:cs="Times New Roman" w:eastAsia="Times New Roman" w:hAnsi="Times New Roman"/>
          <w:sz w:val="10"/>
          <w:szCs w:val="10"/>
          <w:color w:val="auto"/>
        </w:rPr>
        <w:t>” refers to the United States of America;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USD</w:t>
      </w:r>
      <w:r>
        <w:rPr>
          <w:rFonts w:ascii="Times New Roman" w:cs="Times New Roman" w:eastAsia="Times New Roman" w:hAnsi="Times New Roman"/>
          <w:sz w:val="10"/>
          <w:szCs w:val="10"/>
          <w:color w:val="auto"/>
        </w:rPr>
        <w:t>” refers to the U.S. Dollar.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Unless otherwise stated in this prospectus or the context otherwise requires, all references in this prospectus to the Warrants include such Ordinary Shares underlying the Warrants.</w:t>
      </w:r>
    </w:p>
    <w:p>
      <w:pPr>
        <w:spacing w:after="0" w:line="6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0"/>
          <w:szCs w:val="1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340"/>
          </w:cols>
          <w:pgMar w:left="1120" w:top="1093"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CAUTIONARY NOTE REGARDING FORWARD-LOOKING STATEMENTS</w:t>
      </w:r>
    </w:p>
    <w:p>
      <w:pPr>
        <w:spacing w:after="0" w:line="97"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•discuss future expectations;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•contain projections of future results of operations or financial condition;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•state other “forward-looking” information.</w:t>
      </w:r>
    </w:p>
    <w:p>
      <w:pPr>
        <w:spacing w:after="0" w:line="118"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9"/>
          <w:szCs w:val="9"/>
          <w:i w:val="1"/>
          <w:iCs w:val="1"/>
          <w:color w:val="auto"/>
        </w:rPr>
        <w:t>Risk Factors,</w:t>
      </w:r>
      <w:r>
        <w:rPr>
          <w:rFonts w:ascii="Times New Roman" w:cs="Times New Roman" w:eastAsia="Times New Roman" w:hAnsi="Times New Roman"/>
          <w:sz w:val="9"/>
          <w:szCs w:val="9"/>
          <w:color w:val="auto"/>
        </w:rPr>
        <w:t>” provide examples of risks, uncertainties and events that may cause actual results to differ materially from the expectations we described in such forward-looking statements, including among other things: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recognize the anticipated benefits of the transactions with Armada;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continue to meet Nasdaq’s listing standards;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adversely affecting our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effect of the COVID-19 pandemic on our business;</w:t>
      </w:r>
    </w:p>
    <w:p>
      <w:pPr>
        <w:spacing w:after="0" w:line="58" w:lineRule="exact"/>
        <w:rPr>
          <w:sz w:val="20"/>
          <w:szCs w:val="20"/>
          <w:color w:val="auto"/>
        </w:rPr>
      </w:pPr>
    </w:p>
    <w:p>
      <w:pPr>
        <w:ind w:left="480" w:right="3400"/>
        <w:spacing w:after="0" w:line="360" w:lineRule="auto"/>
        <w:rPr>
          <w:sz w:val="20"/>
          <w:szCs w:val="20"/>
          <w:color w:val="auto"/>
        </w:rPr>
      </w:pPr>
      <w:r>
        <w:rPr>
          <w:rFonts w:ascii="Times New Roman" w:cs="Times New Roman" w:eastAsia="Times New Roman" w:hAnsi="Times New Roman"/>
          <w:sz w:val="10"/>
          <w:szCs w:val="10"/>
          <w:color w:val="auto"/>
        </w:rPr>
        <w:t>•the outcome of any legal proceedings that may be instituted against us following the consummation of the Business Combination and the transactions contemplated thereby •general economic conditions;</w:t>
      </w:r>
    </w:p>
    <w:p>
      <w:pPr>
        <w:ind w:left="480"/>
        <w:spacing w:after="0"/>
        <w:rPr>
          <w:sz w:val="20"/>
          <w:szCs w:val="20"/>
          <w:color w:val="auto"/>
        </w:rPr>
      </w:pPr>
      <w:r>
        <w:rPr>
          <w:rFonts w:ascii="Times New Roman" w:cs="Times New Roman" w:eastAsia="Times New Roman" w:hAnsi="Times New Roman"/>
          <w:sz w:val="10"/>
          <w:szCs w:val="10"/>
          <w:color w:val="auto"/>
        </w:rPr>
        <w:t>•the effect of the conflict in Ukraine or other hostilities;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applicable law or regulations;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business strategy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result of future financing efforts; and</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•other factors detailed in the section entitled </w:t>
      </w:r>
      <w:r>
        <w:rPr>
          <w:rFonts w:ascii="Times New Roman" w:cs="Times New Roman" w:eastAsia="Times New Roman" w:hAnsi="Times New Roman"/>
          <w:sz w:val="10"/>
          <w:szCs w:val="10"/>
          <w:i w:val="1"/>
          <w:iCs w:val="1"/>
          <w:color w:val="auto"/>
        </w:rPr>
        <w:t>“Risk Factors.”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You are cautioned not to place undue reliance on these forward-looking statements, which speak only as of the date of this prospectus.</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All forward-looking statements included herein are expressly qualified in their entirety by the cautionary statements contained or referred to in this section. Except to the extent required by applicable laws and regulations, Armada and Rezolve undertake no obligations to update these forward-looking statements to reflect events or circumstances after the date of this prospectus or to reflect the occurrence of unanticipated events.</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additional information, please see the section of this prospectus titled “</w:t>
      </w:r>
      <w:r>
        <w:rPr>
          <w:rFonts w:ascii="Times New Roman" w:cs="Times New Roman" w:eastAsia="Times New Roman" w:hAnsi="Times New Roman"/>
          <w:sz w:val="10"/>
          <w:szCs w:val="10"/>
          <w:i w:val="1"/>
          <w:iCs w:val="1"/>
          <w:color w:val="auto"/>
        </w:rPr>
        <w:t>Where You Can Find More Information</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PROSPECTUS SUMMARY</w:t>
      </w:r>
    </w:p>
    <w:p>
      <w:pPr>
        <w:spacing w:after="0" w:line="95" w:lineRule="exact"/>
        <w:rPr>
          <w:sz w:val="20"/>
          <w:szCs w:val="20"/>
          <w:color w:val="auto"/>
        </w:rPr>
      </w:pPr>
    </w:p>
    <w:p>
      <w:pPr>
        <w:ind w:right="40" w:firstLine="240"/>
        <w:spacing w:after="0" w:line="247" w:lineRule="auto"/>
        <w:rPr>
          <w:sz w:val="20"/>
          <w:szCs w:val="20"/>
          <w:color w:val="auto"/>
        </w:rPr>
      </w:pPr>
      <w:r>
        <w:rPr>
          <w:rFonts w:ascii="Times New Roman" w:cs="Times New Roman" w:eastAsia="Times New Roman" w:hAnsi="Times New Roman"/>
          <w:sz w:val="10"/>
          <w:szCs w:val="10"/>
          <w:color w:val="auto"/>
        </w:rPr>
        <w:t xml:space="preserve">This </w:t>
      </w:r>
      <w:r>
        <w:rPr>
          <w:rFonts w:ascii="Times New Roman" w:cs="Times New Roman" w:eastAsia="Times New Roman" w:hAnsi="Times New Roman"/>
          <w:sz w:val="10"/>
          <w:szCs w:val="10"/>
          <w:i w:val="1"/>
          <w:iCs w:val="1"/>
          <w:color w:val="auto"/>
        </w:rPr>
        <w:t>summary highlights, and is qualified in its entirety by, the more detailed information and financial statements included elsewhere in this prospectus. This summary does not contain all of the information that may be important to you in making your investment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 or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w:t>
      </w:r>
    </w:p>
    <w:p>
      <w:pPr>
        <w:spacing w:after="0" w:line="68" w:lineRule="exact"/>
        <w:rPr>
          <w:sz w:val="20"/>
          <w:szCs w:val="20"/>
          <w:color w:val="auto"/>
        </w:rPr>
      </w:pPr>
    </w:p>
    <w:p>
      <w:pPr>
        <w:ind w:firstLine="24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1</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right="120" w:firstLine="36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right="120" w:firstLine="24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right="80" w:firstLine="24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mailing address of Rezolve’s registered office is 5 New Street Square, London, United Kingdom, EC4A 3TW and its principal executive office is 3rd Floor, 80 New Bond Street, London, United Kingdom, W1S 1SB.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4200525" cy="5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0525" cy="5080"/>
                    </a:xfrm>
                    <a:prstGeom prst="rect">
                      <a:avLst/>
                    </a:prstGeom>
                    <a:noFill/>
                  </pic:spPr>
                </pic:pic>
              </a:graphicData>
            </a:graphic>
          </wp:anchor>
        </w:drawing>
      </w:r>
    </w:p>
    <w:p>
      <w:pPr>
        <w:spacing w:after="0" w:line="98" w:lineRule="exact"/>
        <w:rPr>
          <w:sz w:val="20"/>
          <w:szCs w:val="20"/>
          <w:color w:val="auto"/>
        </w:rPr>
      </w:pPr>
    </w:p>
    <w:p>
      <w:pPr>
        <w:ind w:left="5260" w:right="4280" w:hanging="5260"/>
        <w:spacing w:after="0" w:line="676" w:lineRule="auto"/>
        <w:tabs>
          <w:tab w:leader="none" w:pos="61"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 brain-heralds-new-era-of-commerce-enabled-ai/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64770</wp:posOffset>
            </wp:positionV>
            <wp:extent cx="677862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033" w:right="68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b w:val="1"/>
          <w:bCs w:val="1"/>
          <w:color w:val="auto"/>
        </w:rPr>
        <w:t>Background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On the Closing Date, we consummated the previously announced Business Combination with Armada.</w:t>
      </w:r>
    </w:p>
    <w:p>
      <w:pPr>
        <w:spacing w:after="0" w:line="118" w:lineRule="exact"/>
        <w:rPr>
          <w:sz w:val="20"/>
          <w:szCs w:val="20"/>
          <w:color w:val="auto"/>
        </w:rPr>
      </w:pPr>
    </w:p>
    <w:p>
      <w:pPr>
        <w:ind w:right="20" w:firstLine="240"/>
        <w:spacing w:after="0" w:line="241" w:lineRule="auto"/>
        <w:rPr>
          <w:sz w:val="20"/>
          <w:szCs w:val="20"/>
          <w:color w:val="auto"/>
        </w:rPr>
      </w:pPr>
      <w:r>
        <w:rPr>
          <w:rFonts w:ascii="Times New Roman" w:cs="Times New Roman" w:eastAsia="Times New Roman" w:hAnsi="Times New Roman"/>
          <w:sz w:val="10"/>
          <w:szCs w:val="10"/>
          <w:color w:val="auto"/>
        </w:rPr>
        <w:t>On July 4, 2024, prior to the Closing Date, Rezolve Limited effected the Pre -Closing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08" w:lineRule="exact"/>
        <w:rPr>
          <w:sz w:val="20"/>
          <w:szCs w:val="20"/>
          <w:color w:val="auto"/>
        </w:rPr>
      </w:pPr>
    </w:p>
    <w:p>
      <w:pPr>
        <w:jc w:val="both"/>
        <w:ind w:right="60" w:firstLine="240"/>
        <w:spacing w:after="0" w:line="285" w:lineRule="auto"/>
        <w:rPr>
          <w:sz w:val="20"/>
          <w:szCs w:val="20"/>
          <w:color w:val="auto"/>
        </w:rPr>
      </w:pPr>
      <w:r>
        <w:rPr>
          <w:rFonts w:ascii="Times New Roman" w:cs="Times New Roman" w:eastAsia="Times New Roman" w:hAnsi="Times New Roman"/>
          <w:sz w:val="9"/>
          <w:szCs w:val="9"/>
          <w:color w:val="auto"/>
        </w:rPr>
        <w:t>Pursuant to 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111" w:lineRule="exact"/>
        <w:rPr>
          <w:sz w:val="20"/>
          <w:szCs w:val="20"/>
          <w:color w:val="auto"/>
        </w:rPr>
      </w:pPr>
    </w:p>
    <w:p>
      <w:pPr>
        <w:ind w:right="100" w:firstLine="240"/>
        <w:spacing w:after="0" w:line="271" w:lineRule="auto"/>
        <w:rPr>
          <w:sz w:val="20"/>
          <w:szCs w:val="20"/>
          <w:color w:val="auto"/>
        </w:rPr>
      </w:pPr>
      <w:r>
        <w:rPr>
          <w:rFonts w:ascii="Times New Roman" w:cs="Times New Roman" w:eastAsia="Times New Roman" w:hAnsi="Times New Roman"/>
          <w:sz w:val="10"/>
          <w:szCs w:val="10"/>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Lock-Up Restrictions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Investor Rights Agreement</w:t>
      </w:r>
    </w:p>
    <w:p>
      <w:pPr>
        <w:spacing w:after="0" w:line="58" w:lineRule="exact"/>
        <w:rPr>
          <w:sz w:val="20"/>
          <w:szCs w:val="20"/>
          <w:color w:val="auto"/>
        </w:rPr>
      </w:pPr>
    </w:p>
    <w:p>
      <w:pPr>
        <w:ind w:right="100" w:firstLine="240"/>
        <w:spacing w:after="0" w:line="259" w:lineRule="auto"/>
        <w:rPr>
          <w:sz w:val="20"/>
          <w:szCs w:val="20"/>
          <w:color w:val="auto"/>
        </w:rPr>
      </w:pPr>
      <w:r>
        <w:rPr>
          <w:rFonts w:ascii="Times New Roman" w:cs="Times New Roman" w:eastAsia="Times New Roman" w:hAnsi="Times New Roman"/>
          <w:sz w:val="10"/>
          <w:szCs w:val="10"/>
          <w:color w:val="auto"/>
        </w:rPr>
        <w:t>At the Closing, the Company entered into that certain Investor Rights Agreement with certain directors and officers and certain other parties identified therein (such persons, the “</w:t>
      </w:r>
      <w:r>
        <w:rPr>
          <w:rFonts w:ascii="Times New Roman" w:cs="Times New Roman" w:eastAsia="Times New Roman" w:hAnsi="Times New Roman"/>
          <w:sz w:val="10"/>
          <w:szCs w:val="10"/>
          <w:b w:val="1"/>
          <w:bCs w:val="1"/>
          <w:i w:val="1"/>
          <w:iCs w:val="1"/>
          <w:color w:val="auto"/>
        </w:rPr>
        <w:t>Holders</w:t>
      </w:r>
      <w:r>
        <w:rPr>
          <w:rFonts w:ascii="Times New Roman" w:cs="Times New Roman" w:eastAsia="Times New Roman" w:hAnsi="Times New Roman"/>
          <w:sz w:val="10"/>
          <w:szCs w:val="10"/>
          <w:color w:val="auto"/>
        </w:rPr>
        <w:t>”) (the “</w:t>
      </w:r>
      <w:r>
        <w:rPr>
          <w:rFonts w:ascii="Times New Roman" w:cs="Times New Roman" w:eastAsia="Times New Roman" w:hAnsi="Times New Roman"/>
          <w:sz w:val="10"/>
          <w:szCs w:val="10"/>
          <w:b w:val="1"/>
          <w:bCs w:val="1"/>
          <w:i w:val="1"/>
          <w:iCs w:val="1"/>
          <w:color w:val="auto"/>
        </w:rPr>
        <w:t>Investor Rights Agreement</w:t>
      </w:r>
      <w:r>
        <w:rPr>
          <w:rFonts w:ascii="Times New Roman" w:cs="Times New Roman" w:eastAsia="Times New Roman" w:hAnsi="Times New Roman"/>
          <w:sz w:val="10"/>
          <w:szCs w:val="10"/>
          <w:color w:val="auto"/>
        </w:rPr>
        <w:t>”). Pursuant to the terms of the Investor Rights Agreement, the Holders are entitled to certain piggyback registration rights and customary registration rights.</w:t>
      </w:r>
    </w:p>
    <w:p>
      <w:pPr>
        <w:spacing w:after="0" w:line="99"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Pursuant to terms of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such as a member of a person’s immediate family or to a trust, the beneficiary of which is a member of a person’s immediate family or an affiliate of such person.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Notes</w:t>
      </w:r>
    </w:p>
    <w:p>
      <w:pPr>
        <w:spacing w:after="0" w:line="60" w:lineRule="exact"/>
        <w:rPr>
          <w:sz w:val="20"/>
          <w:szCs w:val="20"/>
          <w:color w:val="auto"/>
        </w:rPr>
      </w:pPr>
    </w:p>
    <w:p>
      <w:pPr>
        <w:ind w:firstLine="240"/>
        <w:spacing w:after="0" w:line="239" w:lineRule="auto"/>
        <w:rPr>
          <w:sz w:val="20"/>
          <w:szCs w:val="20"/>
          <w:color w:val="auto"/>
        </w:rPr>
      </w:pPr>
      <w:r>
        <w:rPr>
          <w:rFonts w:ascii="Times New Roman" w:cs="Times New Roman" w:eastAsia="Times New Roman" w:hAnsi="Times New Roman"/>
          <w:sz w:val="10"/>
          <w:szCs w:val="10"/>
          <w:color w:val="auto"/>
        </w:rPr>
        <w:t xml:space="preserve">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 </w:t>
      </w:r>
      <w:r>
        <w:rPr>
          <w:rFonts w:ascii="Times New Roman" w:cs="Times New Roman" w:eastAsia="Times New Roman" w:hAnsi="Times New Roman"/>
          <w:sz w:val="10"/>
          <w:szCs w:val="10"/>
          <w:b w:val="1"/>
          <w:bCs w:val="1"/>
          <w:i w:val="1"/>
          <w:iCs w:val="1"/>
          <w:color w:val="auto"/>
        </w:rPr>
        <w:t>Loan Note Instrument</w:t>
      </w:r>
      <w:r>
        <w:rPr>
          <w:rFonts w:ascii="Times New Roman" w:cs="Times New Roman" w:eastAsia="Times New Roman" w:hAnsi="Times New Roman"/>
          <w:sz w:val="10"/>
          <w:szCs w:val="10"/>
          <w:color w:val="auto"/>
        </w:rPr>
        <w:t>”). Upon the closing of the Pre-Closing Demerger, the Loan Note Instrument was novated to Rezolve and was secured by a debenture over the assets of Rezolve. As of the date hereof, there is outstanding an aggregate amount of $49,892,080 loan notes of $1.00 each in the capital of Rezolve (the “</w:t>
      </w:r>
      <w:r>
        <w:rPr>
          <w:rFonts w:ascii="Times New Roman" w:cs="Times New Roman" w:eastAsia="Times New Roman" w:hAnsi="Times New Roman"/>
          <w:sz w:val="10"/>
          <w:szCs w:val="10"/>
          <w:b w:val="1"/>
          <w:bCs w:val="1"/>
          <w:i w:val="1"/>
          <w:iCs w:val="1"/>
          <w:color w:val="auto"/>
        </w:rPr>
        <w:t>Convertible Notes</w:t>
      </w:r>
      <w:r>
        <w:rPr>
          <w:rFonts w:ascii="Times New Roman" w:cs="Times New Roman" w:eastAsia="Times New Roman" w:hAnsi="Times New Roman"/>
          <w:sz w:val="10"/>
          <w:szCs w:val="10"/>
          <w:color w:val="auto"/>
        </w:rPr>
        <w:t>”),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August 15, 2027,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110" w:lineRule="exact"/>
        <w:rPr>
          <w:sz w:val="20"/>
          <w:szCs w:val="20"/>
          <w:color w:val="auto"/>
        </w:rPr>
      </w:pPr>
    </w:p>
    <w:p>
      <w:pPr>
        <w:ind w:right="20" w:firstLine="240"/>
        <w:spacing w:after="0" w:line="285" w:lineRule="auto"/>
        <w:rPr>
          <w:sz w:val="20"/>
          <w:szCs w:val="20"/>
          <w:color w:val="auto"/>
        </w:rPr>
      </w:pPr>
      <w:r>
        <w:rPr>
          <w:rFonts w:ascii="Times New Roman" w:cs="Times New Roman" w:eastAsia="Times New Roman" w:hAnsi="Times New Roman"/>
          <w:sz w:val="9"/>
          <w:szCs w:val="9"/>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holders of more than two-thirds of the aggregate principal amount of the Convertible Notes outstanding from time to time (the “</w:t>
      </w:r>
      <w:r>
        <w:rPr>
          <w:rFonts w:ascii="Times New Roman" w:cs="Times New Roman" w:eastAsia="Times New Roman" w:hAnsi="Times New Roman"/>
          <w:sz w:val="9"/>
          <w:szCs w:val="9"/>
          <w:b w:val="1"/>
          <w:bCs w:val="1"/>
          <w:i w:val="1"/>
          <w:iCs w:val="1"/>
          <w:color w:val="auto"/>
        </w:rPr>
        <w:t>Noteholder Majority</w:t>
      </w:r>
      <w:r>
        <w:rPr>
          <w:rFonts w:ascii="Times New Roman" w:cs="Times New Roman" w:eastAsia="Times New Roman" w:hAnsi="Times New Roman"/>
          <w:sz w:val="9"/>
          <w:szCs w:val="9"/>
          <w:color w:val="auto"/>
        </w:rPr>
        <w:t>”);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213" w:right="680" w:bottom="1440" w:gutter="0" w:footer="0" w:header="0"/>
        </w:sectPr>
      </w:pPr>
    </w:p>
    <w:bookmarkStart w:id="12" w:name="page13"/>
    <w:bookmarkEnd w:id="12"/>
    <w:p>
      <w:pPr>
        <w:spacing w:after="0" w:line="238" w:lineRule="auto"/>
        <w:rPr>
          <w:sz w:val="20"/>
          <w:szCs w:val="20"/>
          <w:color w:val="auto"/>
        </w:rPr>
      </w:pPr>
      <w:r>
        <w:rPr>
          <w:rFonts w:ascii="Times New Roman" w:cs="Times New Roman" w:eastAsia="Times New Roman" w:hAnsi="Times New Roman"/>
          <w:sz w:val="10"/>
          <w:szCs w:val="10"/>
          <w:color w:val="auto"/>
        </w:rPr>
        <w:t xml:space="preserve">the principal amount of the Convertible Notes from time to time, Rezolve and its subsidiaries shall not enter into any Extraordinary Transactions (as defined below) without the prior consent of a Noteholder Majority. The definition of “ </w:t>
      </w:r>
      <w:r>
        <w:rPr>
          <w:rFonts w:ascii="Times New Roman" w:cs="Times New Roman" w:eastAsia="Times New Roman" w:hAnsi="Times New Roman"/>
          <w:sz w:val="10"/>
          <w:szCs w:val="10"/>
          <w:b w:val="1"/>
          <w:bCs w:val="1"/>
          <w:i w:val="1"/>
          <w:iCs w:val="1"/>
          <w:color w:val="auto"/>
        </w:rPr>
        <w:t>Extraordinary Transactions</w:t>
      </w:r>
      <w:r>
        <w:rPr>
          <w:rFonts w:ascii="Times New Roman" w:cs="Times New Roman" w:eastAsia="Times New Roman" w:hAnsi="Times New Roman"/>
          <w:sz w:val="10"/>
          <w:szCs w:val="10"/>
          <w:color w:val="auto"/>
        </w:rPr>
        <w:t>”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stock or option plan that has been notified to the noteholders; (b) guaranteeing, directly or indirectly, or permitting any subsidiary to guarantee, directly or indirectly, any indebtedness except for trade accounts of Rezolve or any of its subsidiaries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except for any merger, combination or scheme of arrangement undertaken solely to implement the acquisition or disposition of assets which would not constitute an Extraordinary Transaction (as defined in the Loan Note Instrument) under (f); and (i) liquidating, dissolving or winding up the affairs of Rezolve.</w:t>
      </w:r>
    </w:p>
    <w:p>
      <w:pPr>
        <w:spacing w:after="0" w:line="108" w:lineRule="exact"/>
        <w:rPr>
          <w:sz w:val="20"/>
          <w:szCs w:val="20"/>
          <w:color w:val="auto"/>
        </w:rPr>
      </w:pPr>
    </w:p>
    <w:p>
      <w:pPr>
        <w:ind w:right="60" w:firstLine="240"/>
        <w:spacing w:after="0" w:line="255" w:lineRule="auto"/>
        <w:rPr>
          <w:sz w:val="20"/>
          <w:szCs w:val="20"/>
          <w:color w:val="auto"/>
        </w:rPr>
      </w:pPr>
      <w:r>
        <w:rPr>
          <w:rFonts w:ascii="Times New Roman" w:cs="Times New Roman" w:eastAsia="Times New Roman" w:hAnsi="Times New Roman"/>
          <w:sz w:val="10"/>
          <w:szCs w:val="10"/>
          <w:color w:val="auto"/>
        </w:rPr>
        <w:t>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58" w:lineRule="exact"/>
        <w:rPr>
          <w:sz w:val="20"/>
          <w:szCs w:val="20"/>
          <w:color w:val="auto"/>
        </w:rPr>
      </w:pPr>
    </w:p>
    <w:p>
      <w:pPr>
        <w:ind w:right="80" w:firstLine="240"/>
        <w:spacing w:after="0" w:line="241" w:lineRule="auto"/>
        <w:rPr>
          <w:sz w:val="20"/>
          <w:szCs w:val="20"/>
          <w:color w:val="auto"/>
        </w:rPr>
      </w:pPr>
      <w:r>
        <w:rPr>
          <w:rFonts w:ascii="Times New Roman" w:cs="Times New Roman" w:eastAsia="Times New Roman" w:hAnsi="Times New Roman"/>
          <w:sz w:val="10"/>
          <w:szCs w:val="10"/>
          <w:color w:val="212529"/>
        </w:rPr>
        <w:t>On February 23, 2023, Rezolve Limited entered into a $250 million standby equity purchase agreement with YA II PN, LTD (“</w:t>
      </w:r>
      <w:r>
        <w:rPr>
          <w:rFonts w:ascii="Times New Roman" w:cs="Times New Roman" w:eastAsia="Times New Roman" w:hAnsi="Times New Roman"/>
          <w:sz w:val="10"/>
          <w:szCs w:val="10"/>
          <w:b w:val="1"/>
          <w:bCs w:val="1"/>
          <w:i w:val="1"/>
          <w:iCs w:val="1"/>
          <w:color w:val="212529"/>
        </w:rPr>
        <w:t>YA</w:t>
      </w:r>
      <w:r>
        <w:rPr>
          <w:rFonts w:ascii="Times New Roman" w:cs="Times New Roman" w:eastAsia="Times New Roman" w:hAnsi="Times New Roman"/>
          <w:sz w:val="10"/>
          <w:szCs w:val="10"/>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0"/>
          <w:szCs w:val="10"/>
          <w:b w:val="1"/>
          <w:bCs w:val="1"/>
          <w:i w:val="1"/>
          <w:iCs w:val="1"/>
          <w:color w:val="212529"/>
        </w:rPr>
        <w:t>YA Agreement</w:t>
      </w:r>
      <w:r>
        <w:rPr>
          <w:rFonts w:ascii="Times New Roman" w:cs="Times New Roman" w:eastAsia="Times New Roman" w:hAnsi="Times New Roman"/>
          <w:sz w:val="10"/>
          <w:szCs w:val="10"/>
          <w:color w:val="212529"/>
        </w:rPr>
        <w: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0"/>
          <w:szCs w:val="10"/>
          <w:b w:val="1"/>
          <w:bCs w:val="1"/>
          <w:i w:val="1"/>
          <w:iCs w:val="1"/>
          <w:color w:val="212529"/>
        </w:rPr>
        <w:t>YA Note</w:t>
      </w:r>
      <w:r>
        <w:rPr>
          <w:rFonts w:ascii="Times New Roman" w:cs="Times New Roman" w:eastAsia="Times New Roman" w:hAnsi="Times New Roman"/>
          <w:sz w:val="10"/>
          <w:szCs w:val="10"/>
          <w:color w:val="212529"/>
        </w:rPr>
        <w:t>”) to YA, pursuant to the terms of a convertible promissory note instrument entered into by Rezolve Limited and Rezolve (“</w:t>
      </w:r>
      <w:r>
        <w:rPr>
          <w:rFonts w:ascii="Times New Roman" w:cs="Times New Roman" w:eastAsia="Times New Roman" w:hAnsi="Times New Roman"/>
          <w:sz w:val="10"/>
          <w:szCs w:val="10"/>
          <w:b w:val="1"/>
          <w:bCs w:val="1"/>
          <w:i w:val="1"/>
          <w:iCs w:val="1"/>
          <w:color w:val="212529"/>
        </w:rPr>
        <w:t>YA Note Instrument</w:t>
      </w:r>
      <w:r>
        <w:rPr>
          <w:rFonts w:ascii="Times New Roman" w:cs="Times New Roman" w:eastAsia="Times New Roman" w:hAnsi="Times New Roman"/>
          <w:sz w:val="10"/>
          <w:szCs w:val="10"/>
          <w:color w:val="212529"/>
        </w:rPr>
        <w:t>”) . The YA Note is convertible into Ordinary Shares, pursuant to its terms, at the noteholder’s election. Upon the closing of the Pre-Closing Demerger, the rights and obligations of Rezolve Limited under the YA Agreement and the YA Note Instrument were novated to Rezolve.</w:t>
      </w:r>
    </w:p>
    <w:p>
      <w:pPr>
        <w:spacing w:after="0" w:line="45" w:lineRule="exact"/>
        <w:rPr>
          <w:sz w:val="20"/>
          <w:szCs w:val="20"/>
          <w:color w:val="auto"/>
        </w:rPr>
      </w:pPr>
    </w:p>
    <w:p>
      <w:pPr>
        <w:ind w:right="40" w:firstLine="180"/>
        <w:spacing w:after="0" w:line="243" w:lineRule="auto"/>
        <w:rPr>
          <w:sz w:val="20"/>
          <w:szCs w:val="20"/>
          <w:color w:val="auto"/>
        </w:rPr>
      </w:pPr>
      <w:r>
        <w:rPr>
          <w:rFonts w:ascii="Times New Roman" w:cs="Times New Roman" w:eastAsia="Times New Roman" w:hAnsi="Times New Roman"/>
          <w:sz w:val="10"/>
          <w:szCs w:val="10"/>
          <w:color w:val="auto"/>
        </w:rPr>
        <w:t>On September 6, 2024, YA and Rezolve amended and restated the YA Agreement (the “</w:t>
      </w:r>
      <w:r>
        <w:rPr>
          <w:rFonts w:ascii="Times New Roman" w:cs="Times New Roman" w:eastAsia="Times New Roman" w:hAnsi="Times New Roman"/>
          <w:sz w:val="10"/>
          <w:szCs w:val="10"/>
          <w:b w:val="1"/>
          <w:bCs w:val="1"/>
          <w:i w:val="1"/>
          <w:iCs w:val="1"/>
          <w:color w:val="auto"/>
        </w:rPr>
        <w:t>Second A&amp;R YA Agreement</w:t>
      </w:r>
      <w:r>
        <w:rPr>
          <w:rFonts w:ascii="Times New Roman" w:cs="Times New Roman" w:eastAsia="Times New Roman" w:hAnsi="Times New Roman"/>
          <w:sz w:val="10"/>
          <w:szCs w:val="10"/>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Additional YA Note (as defined below), the second tranche in an original principal amount of Two Million Five Hundred Thousand Dollars ($2,500,000) that was funded as part of the Additional YA Note and the third tranche in an original principal amount of Two Million Five Hundred Thousand Dollars ($2,500,000) to be funded upon effectiveness of this Registration Statement. The Second A&amp;R YA Agreement superseded the original agreement.</w:t>
      </w:r>
    </w:p>
    <w:p>
      <w:pPr>
        <w:spacing w:after="0" w:line="44" w:lineRule="exact"/>
        <w:rPr>
          <w:sz w:val="20"/>
          <w:szCs w:val="20"/>
          <w:color w:val="auto"/>
        </w:rPr>
      </w:pPr>
    </w:p>
    <w:p>
      <w:pPr>
        <w:ind w:right="100" w:firstLine="180"/>
        <w:spacing w:after="0" w:line="247"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auto"/>
        </w:rPr>
        <w:t>YA Note Amendment</w:t>
      </w:r>
      <w:r>
        <w:rPr>
          <w:rFonts w:ascii="Times New Roman" w:cs="Times New Roman" w:eastAsia="Times New Roman" w:hAnsi="Times New Roman"/>
          <w:sz w:val="10"/>
          <w:szCs w:val="10"/>
          <w:color w:val="auto"/>
        </w:rPr>
        <w:t>” and the YA Note, as amended by the YA Note Amendment, the “</w:t>
      </w:r>
      <w:r>
        <w:rPr>
          <w:rFonts w:ascii="Times New Roman" w:cs="Times New Roman" w:eastAsia="Times New Roman" w:hAnsi="Times New Roman"/>
          <w:sz w:val="10"/>
          <w:szCs w:val="10"/>
          <w:b w:val="1"/>
          <w:bCs w:val="1"/>
          <w:i w:val="1"/>
          <w:iCs w:val="1"/>
          <w:color w:val="auto"/>
        </w:rPr>
        <w:t>Amended YA Note</w:t>
      </w:r>
      <w:r>
        <w:rPr>
          <w:rFonts w:ascii="Times New Roman" w:cs="Times New Roman" w:eastAsia="Times New Roman" w:hAnsi="Times New Roman"/>
          <w:sz w:val="10"/>
          <w:szCs w:val="10"/>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42" w:lineRule="exact"/>
        <w:rPr>
          <w:sz w:val="20"/>
          <w:szCs w:val="20"/>
          <w:color w:val="auto"/>
        </w:rPr>
      </w:pPr>
    </w:p>
    <w:p>
      <w:pPr>
        <w:ind w:right="20" w:firstLine="180"/>
        <w:spacing w:after="0" w:line="243" w:lineRule="auto"/>
        <w:rPr>
          <w:sz w:val="20"/>
          <w:szCs w:val="20"/>
          <w:color w:val="auto"/>
        </w:rPr>
      </w:pPr>
      <w:r>
        <w:rPr>
          <w:rFonts w:ascii="Times New Roman" w:cs="Times New Roman" w:eastAsia="Times New Roman" w:hAnsi="Times New Roman"/>
          <w:sz w:val="10"/>
          <w:szCs w:val="10"/>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0"/>
          <w:szCs w:val="10"/>
          <w:b w:val="1"/>
          <w:bCs w:val="1"/>
          <w:i w:val="1"/>
          <w:iCs w:val="1"/>
          <w:color w:val="auto"/>
        </w:rPr>
        <w:t>Additional YA Note</w:t>
      </w:r>
      <w:r>
        <w:rPr>
          <w:rFonts w:ascii="Times New Roman" w:cs="Times New Roman" w:eastAsia="Times New Roman" w:hAnsi="Times New Roman"/>
          <w:sz w:val="10"/>
          <w:szCs w:val="10"/>
          <w:color w:val="auto"/>
        </w:rPr>
        <w:t>”), reflecting the first and second tranche of the prepaid advances. The Additional YA Note was issued at a 5% issue discount. Upon the funding of the third tranche of the prepaid advance, Rezolve will issue YA a promissory note in the principal amount of $2,500,000 with the same terms as the Additional YA Note. The Additional YA Note bears interest at an annual rate of 10% of the outstanding principal balance of the YA Note and matures on September 11, 2025. Under the Additional YA Note, YA may elect to convert all or part of the amount outstanding under the Additional YA Note into ordinary shares of Rezolve at the Conversion Price (as defined in the Additional YA Note), subject to certain limitations. Rezolve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153" w:right="66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color w:val="auto"/>
        </w:rPr>
        <w:t>has the right to redeem early a portion or all amounts outstanding under the Additional YA Note upon 10 days written notice upon the occurrence of certain events.</w:t>
      </w:r>
    </w:p>
    <w:p>
      <w:pPr>
        <w:spacing w:after="0" w:line="260"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9"/>
          <w:szCs w:val="9"/>
          <w:color w:val="212529"/>
        </w:rPr>
        <w:t xml:space="preserve">In accordance with Rezolve’s obligations under the Investor Rights Agreement, the YA Agreement (as amended or restated), the YA Registration Rights Agreement, among other things, Rezolve has filed the registration statement of which this prospectus forms a part with the SEC to register under the Securities Act the resale by YA of up to 5,345,918 Ordinary Shares, including </w:t>
      </w:r>
      <w:r>
        <w:rPr>
          <w:rFonts w:ascii="Times New Roman" w:cs="Times New Roman" w:eastAsia="Times New Roman" w:hAnsi="Times New Roman"/>
          <w:sz w:val="9"/>
          <w:szCs w:val="9"/>
          <w:color w:val="000000"/>
        </w:rPr>
        <w:t>4,838,779</w:t>
      </w:r>
      <w:r>
        <w:rPr>
          <w:rFonts w:ascii="Times New Roman" w:cs="Times New Roman" w:eastAsia="Times New Roman" w:hAnsi="Times New Roman"/>
          <w:sz w:val="9"/>
          <w:szCs w:val="9"/>
          <w:color w:val="212529"/>
        </w:rPr>
        <w:t xml:space="preserve"> Ordinary Shares that Rezolve may issue and sell to YA from time to time in accordance with the YA Agreement (as amended or restated). Upon the satisfaction of the conditions to the YA’s purchase obligation set forth in the YA Agreement (as amended or restated), including that the registration statement of which this prospectus forms a part be declared effective by the SEC and the final form of this prospectus is filed with the SEC, we will have the right, but not the obligation, from time to time at our discretion until the first day of the month following the 36-month anniversary of the 6th trading day following the Closing, to direct YA to purchase a specified amount of Ordinary Shares (each such sale, an “</w:t>
      </w:r>
      <w:r>
        <w:rPr>
          <w:rFonts w:ascii="Times New Roman" w:cs="Times New Roman" w:eastAsia="Times New Roman" w:hAnsi="Times New Roman"/>
          <w:sz w:val="9"/>
          <w:szCs w:val="9"/>
          <w:b w:val="1"/>
          <w:bCs w:val="1"/>
          <w:i w:val="1"/>
          <w:iCs w:val="1"/>
          <w:color w:val="212529"/>
        </w:rPr>
        <w:t>Advance</w:t>
      </w:r>
      <w:r>
        <w:rPr>
          <w:rFonts w:ascii="Times New Roman" w:cs="Times New Roman" w:eastAsia="Times New Roman" w:hAnsi="Times New Roman"/>
          <w:sz w:val="9"/>
          <w:szCs w:val="9"/>
          <w:color w:val="212529"/>
        </w:rPr>
        <w:t>”) by delivering written notice to YA (each, an “</w:t>
      </w:r>
      <w:r>
        <w:rPr>
          <w:rFonts w:ascii="Times New Roman" w:cs="Times New Roman" w:eastAsia="Times New Roman" w:hAnsi="Times New Roman"/>
          <w:sz w:val="9"/>
          <w:szCs w:val="9"/>
          <w:b w:val="1"/>
          <w:bCs w:val="1"/>
          <w:i w:val="1"/>
          <w:iCs w:val="1"/>
          <w:color w:val="212529"/>
        </w:rPr>
        <w:t>Advance Notice</w:t>
      </w:r>
      <w:r>
        <w:rPr>
          <w:rFonts w:ascii="Times New Roman" w:cs="Times New Roman" w:eastAsia="Times New Roman" w:hAnsi="Times New Roman"/>
          <w:sz w:val="9"/>
          <w:szCs w:val="9"/>
          <w:color w:val="212529"/>
        </w:rPr>
        <w:t>”). While there is no mandatory minimum amount for any Advance, no Advance may exceed an amount of shares equal to the greater of: (i) one hundred percent (100%) of the average daily traded amount for the three (3) trading days immediately preceding an Advance Notice, or (ii) 2,000,000 Ordinary Shares (the “</w:t>
      </w:r>
      <w:r>
        <w:rPr>
          <w:rFonts w:ascii="Times New Roman" w:cs="Times New Roman" w:eastAsia="Times New Roman" w:hAnsi="Times New Roman"/>
          <w:sz w:val="9"/>
          <w:szCs w:val="9"/>
          <w:b w:val="1"/>
          <w:bCs w:val="1"/>
          <w:i w:val="1"/>
          <w:iCs w:val="1"/>
          <w:color w:val="212529"/>
        </w:rPr>
        <w:t>Maximum Advance</w:t>
      </w:r>
      <w:r>
        <w:rPr>
          <w:rFonts w:ascii="Times New Roman" w:cs="Times New Roman" w:eastAsia="Times New Roman" w:hAnsi="Times New Roman"/>
          <w:sz w:val="9"/>
          <w:szCs w:val="9"/>
          <w:color w:val="212529"/>
        </w:rPr>
        <w:t>”). The per share purchase price for the shares of Common Stock that we elect to sell to YA in an Advance will be determined by reference to the volume weighted average price of our Common Stock (the “</w:t>
      </w:r>
      <w:r>
        <w:rPr>
          <w:rFonts w:ascii="Times New Roman" w:cs="Times New Roman" w:eastAsia="Times New Roman" w:hAnsi="Times New Roman"/>
          <w:sz w:val="9"/>
          <w:szCs w:val="9"/>
          <w:b w:val="1"/>
          <w:bCs w:val="1"/>
          <w:i w:val="1"/>
          <w:iCs w:val="1"/>
          <w:color w:val="212529"/>
        </w:rPr>
        <w:t>VWAP</w:t>
      </w:r>
      <w:r>
        <w:rPr>
          <w:rFonts w:ascii="Times New Roman" w:cs="Times New Roman" w:eastAsia="Times New Roman" w:hAnsi="Times New Roman"/>
          <w:sz w:val="9"/>
          <w:szCs w:val="9"/>
          <w:color w:val="212529"/>
        </w:rPr>
        <w:t>”) and calculated in accordance with the YA Agreement (as amended or restated), less a discount of 3.0%.</w:t>
      </w:r>
    </w:p>
    <w:p>
      <w:pPr>
        <w:spacing w:after="0" w:line="96" w:lineRule="exact"/>
        <w:rPr>
          <w:sz w:val="20"/>
          <w:szCs w:val="20"/>
          <w:color w:val="auto"/>
        </w:rPr>
      </w:pPr>
    </w:p>
    <w:p>
      <w:pPr>
        <w:ind w:right="200" w:firstLine="240"/>
        <w:spacing w:after="0" w:line="255" w:lineRule="auto"/>
        <w:rPr>
          <w:sz w:val="20"/>
          <w:szCs w:val="20"/>
          <w:color w:val="auto"/>
        </w:rPr>
      </w:pPr>
      <w:r>
        <w:rPr>
          <w:rFonts w:ascii="Times New Roman" w:cs="Times New Roman" w:eastAsia="Times New Roman" w:hAnsi="Times New Roman"/>
          <w:sz w:val="10"/>
          <w:szCs w:val="10"/>
          <w:color w:val="212529"/>
        </w:rPr>
        <w:t>Actual sales of Ordinary Shares to YA under the Second A&amp;R YA Agreement will depend on a variety of factors to be determined by us from time to time, which may include, among other things, market conditions, the trading price of our Common Stock, and determinations by us as to the appropriate sources of funding for our company and its operations.</w:t>
      </w:r>
    </w:p>
    <w:p>
      <w:pPr>
        <w:spacing w:after="0" w:line="101" w:lineRule="exact"/>
        <w:rPr>
          <w:sz w:val="20"/>
          <w:szCs w:val="20"/>
          <w:color w:val="auto"/>
        </w:rPr>
      </w:pPr>
    </w:p>
    <w:p>
      <w:pPr>
        <w:jc w:val="both"/>
        <w:ind w:right="260" w:firstLine="240"/>
        <w:spacing w:after="0" w:line="245" w:lineRule="auto"/>
        <w:rPr>
          <w:sz w:val="20"/>
          <w:szCs w:val="20"/>
          <w:color w:val="auto"/>
        </w:rPr>
      </w:pPr>
      <w:r>
        <w:rPr>
          <w:rFonts w:ascii="Times New Roman" w:cs="Times New Roman" w:eastAsia="Times New Roman" w:hAnsi="Times New Roman"/>
          <w:sz w:val="10"/>
          <w:szCs w:val="10"/>
          <w:color w:val="212529"/>
        </w:rPr>
        <w:t>Under the Second A&amp;R YA Agreement, for so long as there is an outstanding balance under the YA Note, YA is entitled to require Rezolve to issue Ordinary Shares to YA (via the deemed delivery to YA of an Advance Notice), provided that any one deemed Advance Notice cannot call for more than the lesser of the (i) Maximum Advance and (ii) balance owed under the YA Note.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05" w:lineRule="exact"/>
        <w:rPr>
          <w:sz w:val="20"/>
          <w:szCs w:val="20"/>
          <w:color w:val="auto"/>
        </w:rPr>
      </w:pPr>
    </w:p>
    <w:p>
      <w:pPr>
        <w:ind w:firstLine="240"/>
        <w:spacing w:after="0" w:line="237" w:lineRule="auto"/>
        <w:rPr>
          <w:sz w:val="20"/>
          <w:szCs w:val="20"/>
          <w:color w:val="auto"/>
        </w:rPr>
      </w:pPr>
      <w:r>
        <w:rPr>
          <w:rFonts w:ascii="Times New Roman" w:cs="Times New Roman" w:eastAsia="Times New Roman" w:hAnsi="Times New Roman"/>
          <w:sz w:val="10"/>
          <w:szCs w:val="10"/>
          <w:color w:val="212529"/>
        </w:rPr>
        <w:t>Under the applicable Nasdaq rules, in no event may we issue to YA under the Second A&amp;R YA Agreement more than 34,419,336 Ordinary Shares, which number of shares is equal to 19.99% of the Ordinary Shares outstanding as of the "Effective Date", as such term is defined in the Second A&amp;R YA Agreement (the “</w:t>
      </w:r>
      <w:r>
        <w:rPr>
          <w:rFonts w:ascii="Times New Roman" w:cs="Times New Roman" w:eastAsia="Times New Roman" w:hAnsi="Times New Roman"/>
          <w:sz w:val="10"/>
          <w:szCs w:val="10"/>
          <w:b w:val="1"/>
          <w:bCs w:val="1"/>
          <w:i w:val="1"/>
          <w:iCs w:val="1"/>
          <w:color w:val="212529"/>
        </w:rPr>
        <w:t>YA Exchange Cap</w:t>
      </w:r>
      <w:r>
        <w:rPr>
          <w:rFonts w:ascii="Times New Roman" w:cs="Times New Roman" w:eastAsia="Times New Roman" w:hAnsi="Times New Roman"/>
          <w:sz w:val="10"/>
          <w:szCs w:val="10"/>
          <w:color w:val="212529"/>
        </w:rPr>
        <w:t xml:space="preserve">”), unless (i) we obtain stockholder approval to issue Ordinary Shares in excess of the YA Exchange Cap in accordance with applicable Nasdaq rules, or (ii) </w:t>
      </w:r>
      <w:r>
        <w:rPr>
          <w:rFonts w:ascii="Times New Roman" w:cs="Times New Roman" w:eastAsia="Times New Roman" w:hAnsi="Times New Roman"/>
          <w:sz w:val="10"/>
          <w:szCs w:val="10"/>
          <w:color w:val="000000"/>
        </w:rPr>
        <w:t>all applicable sales of Ordinary Shares</w:t>
      </w:r>
      <w:r>
        <w:rPr>
          <w:rFonts w:ascii="Times New Roman" w:cs="Times New Roman" w:eastAsia="Times New Roman" w:hAnsi="Times New Roman"/>
          <w:sz w:val="10"/>
          <w:szCs w:val="10"/>
          <w:color w:val="212529"/>
        </w:rPr>
        <w:t xml:space="preserve"> </w:t>
      </w:r>
      <w:r>
        <w:rPr>
          <w:rFonts w:ascii="Times New Roman" w:cs="Times New Roman" w:eastAsia="Times New Roman" w:hAnsi="Times New Roman"/>
          <w:sz w:val="10"/>
          <w:szCs w:val="10"/>
          <w:color w:val="000000"/>
        </w:rPr>
        <w:t xml:space="preserve">under the </w:t>
      </w:r>
      <w:r>
        <w:rPr>
          <w:rFonts w:ascii="Times New Roman" w:cs="Times New Roman" w:eastAsia="Times New Roman" w:hAnsi="Times New Roman"/>
          <w:sz w:val="10"/>
          <w:szCs w:val="10"/>
          <w:color w:val="212529"/>
        </w:rPr>
        <w:t>Second A&amp;R</w:t>
      </w:r>
      <w:r>
        <w:rPr>
          <w:rFonts w:ascii="Times New Roman" w:cs="Times New Roman" w:eastAsia="Times New Roman" w:hAnsi="Times New Roman"/>
          <w:sz w:val="10"/>
          <w:szCs w:val="10"/>
          <w:color w:val="000000"/>
        </w:rPr>
        <w:t xml:space="preserve"> YA Agreement equal or exceed the average Nasdaq official closing price for the five (5) trading days immediately prior to the Effective Date </w:t>
      </w:r>
      <w:r>
        <w:rPr>
          <w:rFonts w:ascii="Times New Roman" w:cs="Times New Roman" w:eastAsia="Times New Roman" w:hAnsi="Times New Roman"/>
          <w:sz w:val="10"/>
          <w:szCs w:val="10"/>
          <w:color w:val="212529"/>
        </w:rPr>
        <w:t>. Moreover, we may not issue or sell any Ordinary Shares to YA under the Second A&amp;R YA Agreement</w:t>
      </w:r>
      <w:r>
        <w:rPr>
          <w:rFonts w:ascii="Times New Roman" w:cs="Times New Roman" w:eastAsia="Times New Roman" w:hAnsi="Times New Roman"/>
          <w:sz w:val="10"/>
          <w:szCs w:val="10"/>
          <w:color w:val="000000"/>
        </w:rPr>
        <w:t xml:space="preserve"> </w:t>
      </w:r>
      <w:r>
        <w:rPr>
          <w:rFonts w:ascii="Times New Roman" w:cs="Times New Roman" w:eastAsia="Times New Roman" w:hAnsi="Times New Roman"/>
          <w:sz w:val="10"/>
          <w:szCs w:val="10"/>
          <w:color w:val="212529"/>
        </w:rPr>
        <w:t>which, when aggregated with all other Ordinary Shares then beneficially owned by YA and its affiliates (as calculated pursuant to Section 13(d) of the Exchange Act and Rule 13d-3 promulgated thereunder), would result in the beneficial ownership by the Selling Holder and its affiliates to exceed 4.99% of the then outstanding voting power or number of Ordinary Shares (the “</w:t>
      </w:r>
      <w:r>
        <w:rPr>
          <w:rFonts w:ascii="Times New Roman" w:cs="Times New Roman" w:eastAsia="Times New Roman" w:hAnsi="Times New Roman"/>
          <w:sz w:val="10"/>
          <w:szCs w:val="10"/>
          <w:b w:val="1"/>
          <w:bCs w:val="1"/>
          <w:i w:val="1"/>
          <w:iCs w:val="1"/>
          <w:color w:val="212529"/>
        </w:rPr>
        <w:t>Beneficial Ownership Limitation</w:t>
      </w:r>
      <w:r>
        <w:rPr>
          <w:rFonts w:ascii="Times New Roman" w:cs="Times New Roman" w:eastAsia="Times New Roman" w:hAnsi="Times New Roman"/>
          <w:sz w:val="10"/>
          <w:szCs w:val="10"/>
          <w:color w:val="212529"/>
        </w:rPr>
        <w:t>”). Notwithstanding the Beneficial Ownership Limitation, YA may sell Ordinary Shares in the public market at any time, so long as the registration statement of which this prospectus forms a part remains effective and this prospectus remains usable. In addition to YA, additional Selling Holders representing approximately 103.96% of the Ordinary Shares outstanding may sell all of their Ordinary Shares at the same time as YA. Sales of a substantial number of shares of our Ordinary Shares in the public market, including the number of securities being offered pursuant to this prospectus (which equals approximately 107.48% of the total outstanding Ordinary Shares as of the date of this prospectus, calculated as 185,068,790 Ordinary Shares divided by 172,182,769 currently outstanding Ordinary Shares), or the perception that these sales might occur, could depress the market price of our securities. The frequency of such sales could cause the market price of our securities to decline or increase the volatility in the market price of our securities.</w:t>
      </w:r>
    </w:p>
    <w:p>
      <w:pPr>
        <w:spacing w:after="0" w:line="111" w:lineRule="exact"/>
        <w:rPr>
          <w:sz w:val="20"/>
          <w:szCs w:val="20"/>
          <w:color w:val="auto"/>
        </w:rPr>
      </w:pPr>
    </w:p>
    <w:p>
      <w:pPr>
        <w:ind w:right="40" w:firstLine="240"/>
        <w:spacing w:after="0" w:line="255" w:lineRule="auto"/>
        <w:rPr>
          <w:sz w:val="20"/>
          <w:szCs w:val="20"/>
          <w:color w:val="auto"/>
        </w:rPr>
      </w:pPr>
      <w:r>
        <w:rPr>
          <w:rFonts w:ascii="Times New Roman" w:cs="Times New Roman" w:eastAsia="Times New Roman" w:hAnsi="Times New Roman"/>
          <w:sz w:val="10"/>
          <w:szCs w:val="10"/>
          <w:color w:val="212529"/>
        </w:rPr>
        <w:t>Neither we nor the YA may assign or transfer any of our respective rights and obligations under the Second A&amp;R YA Agreement, and no provision of the Second A&amp;R YA Agreement may be modified or waived by the parties other than by an instrument in writing signed by both parties.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58" w:lineRule="exact"/>
        <w:rPr>
          <w:sz w:val="20"/>
          <w:szCs w:val="20"/>
          <w:color w:val="auto"/>
        </w:rPr>
      </w:pPr>
    </w:p>
    <w:p>
      <w:pPr>
        <w:ind w:right="40" w:firstLine="240"/>
        <w:spacing w:after="0" w:line="247"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(all on substantially the same terms) with Rezolve Limited and Rezolve (“</w:t>
      </w:r>
      <w:r>
        <w:rPr>
          <w:rFonts w:ascii="Times New Roman" w:cs="Times New Roman" w:eastAsia="Times New Roman" w:hAnsi="Times New Roman"/>
          <w:sz w:val="10"/>
          <w:szCs w:val="10"/>
          <w:b w:val="1"/>
          <w:bCs w:val="1"/>
          <w:i w:val="1"/>
          <w:iCs w:val="1"/>
          <w:color w:val="auto"/>
        </w:rPr>
        <w:t>Subscription Agreements</w:t>
      </w:r>
      <w:r>
        <w:rPr>
          <w:rFonts w:ascii="Times New Roman" w:cs="Times New Roman" w:eastAsia="Times New Roman" w:hAnsi="Times New Roman"/>
          <w:sz w:val="10"/>
          <w:szCs w:val="10"/>
          <w:color w:val="auto"/>
        </w:rPr>
        <w:t>”) to subscribe for convertible promissory notes with a total principal amount of $2,849,906 (the “</w:t>
      </w:r>
      <w:r>
        <w:rPr>
          <w:rFonts w:ascii="Times New Roman" w:cs="Times New Roman" w:eastAsia="Times New Roman" w:hAnsi="Times New Roman"/>
          <w:sz w:val="10"/>
          <w:szCs w:val="10"/>
          <w:b w:val="1"/>
          <w:bCs w:val="1"/>
          <w:i w:val="1"/>
          <w:iCs w:val="1"/>
          <w:color w:val="auto"/>
        </w:rPr>
        <w:t>Promissory Notes</w:t>
      </w:r>
      <w:r>
        <w:rPr>
          <w:rFonts w:ascii="Times New Roman" w:cs="Times New Roman" w:eastAsia="Times New Roman" w:hAnsi="Times New Roman"/>
          <w:sz w:val="10"/>
          <w:szCs w:val="10"/>
          <w:color w:val="auto"/>
        </w:rPr>
        <w:t>”) in consideration for an advance by each subscriber to Rezolve Limited of an amount equal to 80% of the principal amount subscribed (such amount being the “</w:t>
      </w:r>
      <w:r>
        <w:rPr>
          <w:rFonts w:ascii="Times New Roman" w:cs="Times New Roman" w:eastAsia="Times New Roman" w:hAnsi="Times New Roman"/>
          <w:sz w:val="10"/>
          <w:szCs w:val="10"/>
          <w:b w:val="1"/>
          <w:bCs w:val="1"/>
          <w:i w:val="1"/>
          <w:iCs w:val="1"/>
          <w:color w:val="auto"/>
        </w:rPr>
        <w:t>Net Investment Amount</w:t>
      </w:r>
      <w:r>
        <w:rPr>
          <w:rFonts w:ascii="Times New Roman" w:cs="Times New Roman" w:eastAsia="Times New Roman" w:hAnsi="Times New Roman"/>
          <w:sz w:val="10"/>
          <w:szCs w:val="10"/>
          <w:color w:val="auto"/>
        </w:rPr>
        <w:t>”).</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095" w:right="640" w:bottom="1440" w:gutter="0" w:footer="0" w:header="0"/>
        </w:sectPr>
      </w:pPr>
    </w:p>
    <w:bookmarkStart w:id="14" w:name="page15"/>
    <w:bookmarkEnd w:id="14"/>
    <w:p>
      <w:pPr>
        <w:ind w:right="160" w:firstLine="240"/>
        <w:spacing w:after="0" w:line="259" w:lineRule="auto"/>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convertible promissory note instruments entered into by Rezolve Limited and Rezolve (all on substantially the same terms) in favour of the subscribers (“</w:t>
      </w:r>
      <w:r>
        <w:rPr>
          <w:rFonts w:ascii="Times New Roman" w:cs="Times New Roman" w:eastAsia="Times New Roman" w:hAnsi="Times New Roman"/>
          <w:sz w:val="10"/>
          <w:szCs w:val="10"/>
          <w:b w:val="1"/>
          <w:bCs w:val="1"/>
          <w:i w:val="1"/>
          <w:iCs w:val="1"/>
          <w:color w:val="auto"/>
        </w:rPr>
        <w:t>Promissory</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Note Instruments</w:t>
      </w:r>
      <w:r>
        <w:rPr>
          <w:rFonts w:ascii="Times New Roman" w:cs="Times New Roman" w:eastAsia="Times New Roman" w:hAnsi="Times New Roman"/>
          <w:sz w:val="10"/>
          <w:szCs w:val="10"/>
          <w:color w:val="auto"/>
        </w:rPr>
        <w:t>”).</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ind w:right="120" w:firstLine="240"/>
        <w:spacing w:after="0" w:line="310" w:lineRule="auto"/>
        <w:rPr>
          <w:sz w:val="20"/>
          <w:szCs w:val="20"/>
          <w:color w:val="auto"/>
        </w:rPr>
      </w:pPr>
      <w:r>
        <w:rPr>
          <w:rFonts w:ascii="Times New Roman" w:cs="Times New Roman" w:eastAsia="Times New Roman" w:hAnsi="Times New Roman"/>
          <w:sz w:val="9"/>
          <w:szCs w:val="9"/>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76" w:lineRule="exact"/>
        <w:rPr>
          <w:sz w:val="20"/>
          <w:szCs w:val="20"/>
          <w:color w:val="auto"/>
        </w:rPr>
      </w:pPr>
    </w:p>
    <w:p>
      <w:pPr>
        <w:ind w:right="80" w:firstLine="240"/>
        <w:spacing w:after="0" w:line="241" w:lineRule="auto"/>
        <w:rPr>
          <w:sz w:val="20"/>
          <w:szCs w:val="20"/>
          <w:color w:val="auto"/>
        </w:rPr>
      </w:pPr>
      <w:r>
        <w:rPr>
          <w:rFonts w:ascii="Times New Roman" w:cs="Times New Roman" w:eastAsia="Times New Roman" w:hAnsi="Times New Roman"/>
          <w:sz w:val="10"/>
          <w:szCs w:val="10"/>
          <w:color w:val="auto"/>
        </w:rPr>
        <w:t>The Promissory Notes are convertible into Ordinary Shares pursuant to their terms. The noteholders may elect to convert all or part of the amount outstanding under their Promissory Note into Ordinary Shares at the “</w:t>
      </w:r>
      <w:r>
        <w:rPr>
          <w:rFonts w:ascii="Times New Roman" w:cs="Times New Roman" w:eastAsia="Times New Roman" w:hAnsi="Times New Roman"/>
          <w:sz w:val="10"/>
          <w:szCs w:val="10"/>
          <w:b w:val="1"/>
          <w:bCs w:val="1"/>
          <w:i w:val="1"/>
          <w:iCs w:val="1"/>
          <w:color w:val="auto"/>
        </w:rPr>
        <w:t>Promissory Note Conversion Price</w:t>
      </w:r>
      <w:r>
        <w:rPr>
          <w:rFonts w:ascii="Times New Roman" w:cs="Times New Roman" w:eastAsia="Times New Roman" w:hAnsi="Times New Roman"/>
          <w:sz w:val="10"/>
          <w:szCs w:val="10"/>
          <w:color w:val="auto"/>
        </w:rPr>
        <w:t>” (being the lower of (i) $10 per share (the “</w:t>
      </w:r>
      <w:r>
        <w:rPr>
          <w:rFonts w:ascii="Times New Roman" w:cs="Times New Roman" w:eastAsia="Times New Roman" w:hAnsi="Times New Roman"/>
          <w:sz w:val="10"/>
          <w:szCs w:val="10"/>
          <w:b w:val="1"/>
          <w:bCs w:val="1"/>
          <w:i w:val="1"/>
          <w:iCs w:val="1"/>
          <w:color w:val="auto"/>
        </w:rPr>
        <w:t>Promissory Note Conversion Fixed Price</w:t>
      </w:r>
      <w:r>
        <w:rPr>
          <w:rFonts w:ascii="Times New Roman" w:cs="Times New Roman" w:eastAsia="Times New Roman" w:hAnsi="Times New Roman"/>
          <w:sz w:val="10"/>
          <w:szCs w:val="10"/>
          <w:color w:val="auto"/>
        </w:rPr>
        <w:t>”) or (ii) 90% of the lowest daily VWAP during the ten (10) consecutive trading days immediately preceding the conversion date or other date of determination (the “</w:t>
      </w:r>
      <w:r>
        <w:rPr>
          <w:rFonts w:ascii="Times New Roman" w:cs="Times New Roman" w:eastAsia="Times New Roman" w:hAnsi="Times New Roman"/>
          <w:sz w:val="10"/>
          <w:szCs w:val="10"/>
          <w:b w:val="1"/>
          <w:bCs w:val="1"/>
          <w:i w:val="1"/>
          <w:iCs w:val="1"/>
          <w:color w:val="auto"/>
        </w:rPr>
        <w:t>Variable Price</w:t>
      </w:r>
      <w:r>
        <w:rPr>
          <w:rFonts w:ascii="Times New Roman" w:cs="Times New Roman" w:eastAsia="Times New Roman" w:hAnsi="Times New Roman"/>
          <w:sz w:val="10"/>
          <w:szCs w:val="10"/>
          <w:color w:val="auto"/>
        </w:rPr>
        <w:t>”) but which Variable Price shall not be lower than the “</w:t>
      </w:r>
      <w:r>
        <w:rPr>
          <w:rFonts w:ascii="Times New Roman" w:cs="Times New Roman" w:eastAsia="Times New Roman" w:hAnsi="Times New Roman"/>
          <w:sz w:val="10"/>
          <w:szCs w:val="10"/>
          <w:b w:val="1"/>
          <w:bCs w:val="1"/>
          <w:i w:val="1"/>
          <w:iCs w:val="1"/>
          <w:color w:val="auto"/>
        </w:rPr>
        <w:t>Promissory Note Conversion Floor Price</w:t>
      </w:r>
      <w:r>
        <w:rPr>
          <w:rFonts w:ascii="Times New Roman" w:cs="Times New Roman" w:eastAsia="Times New Roman" w:hAnsi="Times New Roman"/>
          <w:sz w:val="10"/>
          <w:szCs w:val="10"/>
          <w:color w:val="auto"/>
        </w:rPr>
        <w:t>” (being $2.00 per share unless reduced by Rezolve) then in effect), however subject to the conversion limitation whereby the issue of Ordinary Shares upon conversion would not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10"/>
          <w:szCs w:val="10"/>
          <w:b w:val="1"/>
          <w:bCs w:val="1"/>
          <w:i w:val="1"/>
          <w:iCs w:val="1"/>
          <w:color w:val="auto"/>
        </w:rPr>
        <w:t>Promissory Note Exchange Cap</w:t>
      </w:r>
      <w:r>
        <w:rPr>
          <w:rFonts w:ascii="Times New Roman" w:cs="Times New Roman" w:eastAsia="Times New Roman" w:hAnsi="Times New Roman"/>
          <w:sz w:val="10"/>
          <w:szCs w:val="10"/>
          <w:color w:val="auto"/>
        </w:rPr>
        <w:t>”) (unless Rezolve AI Limited shareholders have approved such issuances, or if Rezolve AI Limited is permitted to follow (and has elected to do so) its home country practices instead of the stockholder approval requirements of Nasdaq Rule 5635).</w:t>
      </w:r>
    </w:p>
    <w:p>
      <w:pPr>
        <w:spacing w:after="0" w:line="107" w:lineRule="exact"/>
        <w:rPr>
          <w:sz w:val="20"/>
          <w:szCs w:val="20"/>
          <w:color w:val="auto"/>
        </w:rPr>
      </w:pPr>
    </w:p>
    <w:p>
      <w:pPr>
        <w:ind w:right="40" w:firstLine="240"/>
        <w:spacing w:after="0" w:line="245" w:lineRule="auto"/>
        <w:rPr>
          <w:sz w:val="20"/>
          <w:szCs w:val="20"/>
          <w:color w:val="auto"/>
        </w:rPr>
      </w:pPr>
      <w:r>
        <w:rPr>
          <w:rFonts w:ascii="Times New Roman" w:cs="Times New Roman" w:eastAsia="Times New Roman" w:hAnsi="Times New Roman"/>
          <w:sz w:val="10"/>
          <w:szCs w:val="10"/>
          <w:color w:val="auto"/>
        </w:rPr>
        <w:t>Rezolve AI Limited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40" w:firstLine="240"/>
        <w:spacing w:after="0" w:line="239" w:lineRule="auto"/>
        <w:rPr>
          <w:sz w:val="20"/>
          <w:szCs w:val="20"/>
          <w:color w:val="auto"/>
        </w:rPr>
      </w:pPr>
      <w:r>
        <w:rPr>
          <w:rFonts w:ascii="Times New Roman" w:cs="Times New Roman" w:eastAsia="Times New Roman" w:hAnsi="Times New Roman"/>
          <w:sz w:val="10"/>
          <w:szCs w:val="10"/>
          <w:color w:val="auto"/>
        </w:rPr>
        <w:t>If a Trigger Event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Conversion Floor Price Trigger</w:t>
      </w:r>
      <w:r>
        <w:rPr>
          <w:rFonts w:ascii="Times New Roman" w:cs="Times New Roman" w:eastAsia="Times New Roman" w:hAnsi="Times New Roman"/>
          <w:sz w:val="10"/>
          <w:szCs w:val="10"/>
          <w:color w:val="auto"/>
        </w:rPr>
        <w:t>”), or (ii) Rezolve AI Limited has issued in excess of 99% of the Ordinary Shares available under the Promissory Note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Conversion Exchange Cap Trigger</w:t>
      </w:r>
      <w:r>
        <w:rPr>
          <w:rFonts w:ascii="Times New Roman" w:cs="Times New Roman" w:eastAsia="Times New Roman" w:hAnsi="Times New Roman"/>
          <w:sz w:val="10"/>
          <w:szCs w:val="10"/>
          <w:color w:val="auto"/>
        </w:rPr>
        <w:t xml:space="preserve"> ”)),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Promissory Note Floor Price (in accordance with its rights to do so under the Promissory Note Instruments), or (ii) in the event of a Promissory Note Exchange Cap Trigger, the date Rezolve AI Limited has obtained stockholder approval to increase the number of Ordinary Shares under the Promissory Note Exchange Cap (or if the Promissory Note Exchange Cap no longer applies), unless a subsequent Trigger Event occurs.</w:t>
      </w:r>
    </w:p>
    <w:p>
      <w:pPr>
        <w:spacing w:after="0" w:line="108" w:lineRule="exact"/>
        <w:rPr>
          <w:sz w:val="20"/>
          <w:szCs w:val="20"/>
          <w:color w:val="auto"/>
        </w:rPr>
      </w:pPr>
    </w:p>
    <w:p>
      <w:pPr>
        <w:ind w:firstLine="24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upon completion of the Business Combination, with the warrant subscription value for each subscriber equal two (2) times the Net Investment Amount. The warrants confer the right to each warrantholder to subscribe for Ordinary Shares at the exercise price of $8.00 per share (which may be adjusted upon an alteration of Rezolve AI Limited’s share capital), and which may be exercised until 31 January 2027 (“</w:t>
      </w:r>
      <w:r>
        <w:rPr>
          <w:rFonts w:ascii="Times New Roman" w:cs="Times New Roman" w:eastAsia="Times New Roman" w:hAnsi="Times New Roman"/>
          <w:sz w:val="10"/>
          <w:szCs w:val="10"/>
          <w:b w:val="1"/>
          <w:bCs w:val="1"/>
          <w:i w:val="1"/>
          <w:iCs w:val="1"/>
          <w:color w:val="auto"/>
        </w:rPr>
        <w:t>Expiry Date</w:t>
      </w:r>
      <w:r>
        <w:rPr>
          <w:rFonts w:ascii="Times New Roman" w:cs="Times New Roman" w:eastAsia="Times New Roman" w:hAnsi="Times New Roman"/>
          <w:sz w:val="10"/>
          <w:szCs w:val="10"/>
          <w:color w:val="auto"/>
        </w:rPr>
        <w:t>”). If before the Expiry Date it comes to the attention of Rezolve AI Limited of an “</w:t>
      </w:r>
      <w:r>
        <w:rPr>
          <w:rFonts w:ascii="Times New Roman" w:cs="Times New Roman" w:eastAsia="Times New Roman" w:hAnsi="Times New Roman"/>
          <w:sz w:val="10"/>
          <w:szCs w:val="10"/>
          <w:b w:val="1"/>
          <w:bCs w:val="1"/>
          <w:i w:val="1"/>
          <w:iCs w:val="1"/>
          <w:color w:val="auto"/>
        </w:rPr>
        <w:t>Exercise Event</w:t>
      </w:r>
      <w:r>
        <w:rPr>
          <w:rFonts w:ascii="Times New Roman" w:cs="Times New Roman" w:eastAsia="Times New Roman" w:hAnsi="Times New Roman"/>
          <w:sz w:val="10"/>
          <w:szCs w:val="10"/>
          <w:color w:val="auto"/>
        </w:rPr>
        <w:t>” (being a takeover offer for Rezolve AI Limited, or an offer made to all ordinary shareholders by Rezolve AI Limited to purchase its own shares) it shall give notice to each warrantholder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40" w:firstLine="240"/>
        <w:spacing w:after="0" w:line="255" w:lineRule="auto"/>
        <w:rPr>
          <w:sz w:val="20"/>
          <w:szCs w:val="20"/>
          <w:color w:val="auto"/>
        </w:rPr>
      </w:pPr>
      <w:r>
        <w:rPr>
          <w:rFonts w:ascii="Times New Roman" w:cs="Times New Roman" w:eastAsia="Times New Roman" w:hAnsi="Times New Roman"/>
          <w:sz w:val="10"/>
          <w:szCs w:val="10"/>
          <w:color w:val="auto"/>
        </w:rPr>
        <w:t>Rezolve AI Limited may (and shall on the written request by warrantholders holding at least one-fifth of the warrants then outstanding) convene a meeting of warrantholders, and such meeting shall have power to sanction any modification or compromise in respect of rights of the warrantholders including any provisions of the warrant instrument, and to appoint any person as agent to represent the interests of warrantholders.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153" w:right="640" w:bottom="1440" w:gutter="0" w:footer="0" w:header="0"/>
        </w:sectPr>
      </w:pPr>
    </w:p>
    <w:bookmarkStart w:id="15" w:name="page16"/>
    <w:bookmarkEnd w:id="15"/>
    <w:p>
      <w:pPr>
        <w:ind w:right="20" w:firstLine="240"/>
        <w:spacing w:after="0" w:line="243" w:lineRule="auto"/>
        <w:rPr>
          <w:sz w:val="20"/>
          <w:szCs w:val="20"/>
          <w:color w:val="auto"/>
        </w:rPr>
      </w:pPr>
      <w:r>
        <w:rPr>
          <w:rFonts w:ascii="Times New Roman" w:cs="Times New Roman" w:eastAsia="Times New Roman" w:hAnsi="Times New Roman"/>
          <w:sz w:val="10"/>
          <w:szCs w:val="10"/>
          <w:color w:val="auto"/>
        </w:rPr>
        <w:t>On August 14, 2024, Armada issued a promissory note to J.V.B. Financial Group, LLC (“</w:t>
      </w:r>
      <w:r>
        <w:rPr>
          <w:rFonts w:ascii="Times New Roman" w:cs="Times New Roman" w:eastAsia="Times New Roman" w:hAnsi="Times New Roman"/>
          <w:sz w:val="10"/>
          <w:szCs w:val="10"/>
          <w:b w:val="1"/>
          <w:bCs w:val="1"/>
          <w:i w:val="1"/>
          <w:iCs w:val="1"/>
          <w:color w:val="auto"/>
        </w:rPr>
        <w:t>JVB</w:t>
      </w:r>
      <w:r>
        <w:rPr>
          <w:rFonts w:ascii="Times New Roman" w:cs="Times New Roman" w:eastAsia="Times New Roman" w:hAnsi="Times New Roman"/>
          <w:sz w:val="10"/>
          <w:szCs w:val="10"/>
          <w:color w:val="auto"/>
        </w:rPr>
        <w:t>”) for an amount of $7,500,000 and agreed to pay interest on the principal amount outstanding from time to time from August 14, 2024, until the note is fully paid, at the rate of 4.95% per annum. The note is to be repaid in installments of $625,000 (the “</w:t>
      </w:r>
      <w:r>
        <w:rPr>
          <w:rFonts w:ascii="Times New Roman" w:cs="Times New Roman" w:eastAsia="Times New Roman" w:hAnsi="Times New Roman"/>
          <w:sz w:val="10"/>
          <w:szCs w:val="10"/>
          <w:b w:val="1"/>
          <w:bCs w:val="1"/>
          <w:i w:val="1"/>
          <w:iCs w:val="1"/>
          <w:color w:val="auto"/>
        </w:rPr>
        <w:t>JVB Amortization Payment</w:t>
      </w:r>
      <w:r>
        <w:rPr>
          <w:rFonts w:ascii="Times New Roman" w:cs="Times New Roman" w:eastAsia="Times New Roman" w:hAnsi="Times New Roman"/>
          <w:sz w:val="10"/>
          <w:szCs w:val="10"/>
          <w:color w:val="auto"/>
        </w:rPr>
        <w:t>”) beginning on January 31, 2025, and on each month end thereafter until December 31, 2025. Armada may, in its sole discretion, elect to pay all or any portion of the Amortization Payment or any interest due and payable on the maturity date in Ordinary Shares, with the number of such shares determined by dividing the JVB Amortization Payment by a price per Ordinary Share equal to 95% of the arithmetic average of the daily VWAP for the 5 days ending on the day immediately preceding the due date of the JVB Amortization Payment. All of Armada’s obligations under the Note were guaranteed by the Company and Rezolve Limited.</w:t>
      </w:r>
    </w:p>
    <w:p>
      <w:pPr>
        <w:spacing w:after="0" w:line="104" w:lineRule="exact"/>
        <w:rPr>
          <w:sz w:val="20"/>
          <w:szCs w:val="20"/>
          <w:color w:val="auto"/>
        </w:rPr>
      </w:pPr>
    </w:p>
    <w:p>
      <w:pPr>
        <w:ind w:firstLine="240"/>
        <w:spacing w:after="0" w:line="239" w:lineRule="auto"/>
        <w:rPr>
          <w:sz w:val="20"/>
          <w:szCs w:val="20"/>
          <w:color w:val="auto"/>
        </w:rPr>
      </w:pPr>
      <w:r>
        <w:rPr>
          <w:rFonts w:ascii="Times New Roman" w:cs="Times New Roman" w:eastAsia="Times New Roman" w:hAnsi="Times New Roman"/>
          <w:sz w:val="10"/>
          <w:szCs w:val="10"/>
          <w:color w:val="auto"/>
        </w:rPr>
        <w:t>On August 14, 2024 Armada issued a promissory note to pay to Cohen &amp; Company Financial Management LLC (“</w:t>
      </w:r>
      <w:r>
        <w:rPr>
          <w:rFonts w:ascii="Times New Roman" w:cs="Times New Roman" w:eastAsia="Times New Roman" w:hAnsi="Times New Roman"/>
          <w:sz w:val="10"/>
          <w:szCs w:val="10"/>
          <w:b w:val="1"/>
          <w:bCs w:val="1"/>
          <w:i w:val="1"/>
          <w:iCs w:val="1"/>
          <w:color w:val="auto"/>
        </w:rPr>
        <w:t>Cohen</w:t>
      </w:r>
      <w:r>
        <w:rPr>
          <w:rFonts w:ascii="Times New Roman" w:cs="Times New Roman" w:eastAsia="Times New Roman" w:hAnsi="Times New Roman"/>
          <w:sz w:val="10"/>
          <w:szCs w:val="10"/>
          <w:color w:val="auto"/>
        </w:rPr>
        <w:t>”) as an agent for the Sponsor, in the principal sum of $3,144,883.06 (the “</w:t>
      </w:r>
      <w:r>
        <w:rPr>
          <w:rFonts w:ascii="Times New Roman" w:cs="Times New Roman" w:eastAsia="Times New Roman" w:hAnsi="Times New Roman"/>
          <w:sz w:val="10"/>
          <w:szCs w:val="10"/>
          <w:b w:val="1"/>
          <w:bCs w:val="1"/>
          <w:i w:val="1"/>
          <w:iCs w:val="1"/>
          <w:color w:val="auto"/>
        </w:rPr>
        <w:t>Original Cohen Amount</w:t>
      </w:r>
      <w:r>
        <w:rPr>
          <w:rFonts w:ascii="Times New Roman" w:cs="Times New Roman" w:eastAsia="Times New Roman" w:hAnsi="Times New Roman"/>
          <w:sz w:val="10"/>
          <w:szCs w:val="10"/>
          <w:color w:val="auto"/>
        </w:rPr>
        <w:t>”), with the Original Cohen Amount, the accrued interest thereon and other amounts due and payable (unless prepaid earlier or converted into shares of common stock) on August 14, 2027 (the “</w:t>
      </w:r>
      <w:r>
        <w:rPr>
          <w:rFonts w:ascii="Times New Roman" w:cs="Times New Roman" w:eastAsia="Times New Roman" w:hAnsi="Times New Roman"/>
          <w:sz w:val="10"/>
          <w:szCs w:val="10"/>
          <w:b w:val="1"/>
          <w:bCs w:val="1"/>
          <w:i w:val="1"/>
          <w:iCs w:val="1"/>
          <w:color w:val="auto"/>
        </w:rPr>
        <w:t>Maturity Date</w:t>
      </w:r>
      <w:r>
        <w:rPr>
          <w:rFonts w:ascii="Times New Roman" w:cs="Times New Roman" w:eastAsia="Times New Roman" w:hAnsi="Times New Roman"/>
          <w:sz w:val="10"/>
          <w:szCs w:val="10"/>
          <w:color w:val="auto"/>
        </w:rPr>
        <w:t>’). The note bears interest at 4.95% per annum. Starting from January 31, 2025, upon Cohen’s request, the Company shall pay Cohen the principal amount plus all of the accrued interest in increments of 1/18 of the outstanding principal amount (the “</w:t>
      </w:r>
      <w:r>
        <w:rPr>
          <w:rFonts w:ascii="Times New Roman" w:cs="Times New Roman" w:eastAsia="Times New Roman" w:hAnsi="Times New Roman"/>
          <w:sz w:val="10"/>
          <w:szCs w:val="10"/>
          <w:b w:val="1"/>
          <w:bCs w:val="1"/>
          <w:i w:val="1"/>
          <w:iCs w:val="1"/>
          <w:color w:val="auto"/>
        </w:rPr>
        <w:t>Cohen Amortization Payment</w:t>
      </w:r>
      <w:r>
        <w:rPr>
          <w:rFonts w:ascii="Times New Roman" w:cs="Times New Roman" w:eastAsia="Times New Roman" w:hAnsi="Times New Roman"/>
          <w:sz w:val="10"/>
          <w:szCs w:val="10"/>
          <w:color w:val="auto"/>
        </w:rPr>
        <w:t xml:space="preserve">”) on a date determined by Cohen (a “ </w:t>
      </w:r>
      <w:r>
        <w:rPr>
          <w:rFonts w:ascii="Times New Roman" w:cs="Times New Roman" w:eastAsia="Times New Roman" w:hAnsi="Times New Roman"/>
          <w:sz w:val="10"/>
          <w:szCs w:val="10"/>
          <w:b w:val="1"/>
          <w:bCs w:val="1"/>
          <w:i w:val="1"/>
          <w:iCs w:val="1"/>
          <w:color w:val="auto"/>
        </w:rPr>
        <w:t>Payment Date</w:t>
      </w:r>
      <w:r>
        <w:rPr>
          <w:rFonts w:ascii="Times New Roman" w:cs="Times New Roman" w:eastAsia="Times New Roman" w:hAnsi="Times New Roman"/>
          <w:sz w:val="10"/>
          <w:szCs w:val="10"/>
          <w:color w:val="auto"/>
        </w:rPr>
        <w:t>”) until the Original Cohen Amount has been paid in full prior to or on the Maturity Date or, if earlier, upon acceleration, of prepayment of the note in accordance with the terms of the note. At the option of the Company, the Cohen Amortization Payments shall be made in cash or in shares of ordinary shares of the Company,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Lock-In Agreements</w:t>
      </w:r>
    </w:p>
    <w:p>
      <w:pPr>
        <w:spacing w:after="0" w:line="118" w:lineRule="exact"/>
        <w:rPr>
          <w:sz w:val="20"/>
          <w:szCs w:val="20"/>
          <w:color w:val="auto"/>
        </w:rPr>
      </w:pPr>
    </w:p>
    <w:p>
      <w:pPr>
        <w:ind w:firstLine="240"/>
        <w:spacing w:after="0" w:line="247" w:lineRule="auto"/>
        <w:rPr>
          <w:sz w:val="20"/>
          <w:szCs w:val="20"/>
          <w:color w:val="auto"/>
        </w:rPr>
      </w:pPr>
      <w:r>
        <w:rPr>
          <w:rFonts w:ascii="Times New Roman" w:cs="Times New Roman" w:eastAsia="Times New Roman" w:hAnsi="Times New Roman"/>
          <w:sz w:val="10"/>
          <w:szCs w:val="10"/>
          <w:color w:val="auto"/>
        </w:rPr>
        <w:t>At the Closing, the Company entered into separate Lock-In Agreements (the "</w:t>
      </w:r>
      <w:r>
        <w:rPr>
          <w:rFonts w:ascii="Times New Roman" w:cs="Times New Roman" w:eastAsia="Times New Roman" w:hAnsi="Times New Roman"/>
          <w:sz w:val="10"/>
          <w:szCs w:val="10"/>
          <w:b w:val="1"/>
          <w:bCs w:val="1"/>
          <w:i w:val="1"/>
          <w:iCs w:val="1"/>
          <w:color w:val="auto"/>
        </w:rPr>
        <w:t>Lock-In Agreements</w:t>
      </w:r>
      <w:r>
        <w:rPr>
          <w:rFonts w:ascii="Times New Roman" w:cs="Times New Roman" w:eastAsia="Times New Roman" w:hAnsi="Times New Roman"/>
          <w:sz w:val="10"/>
          <w:szCs w:val="10"/>
          <w:color w:val="auto"/>
        </w:rPr>
        <w:t>") with certain holders of the Company (such persons, the "</w:t>
      </w:r>
      <w:r>
        <w:rPr>
          <w:rFonts w:ascii="Times New Roman" w:cs="Times New Roman" w:eastAsia="Times New Roman" w:hAnsi="Times New Roman"/>
          <w:sz w:val="10"/>
          <w:szCs w:val="10"/>
          <w:b w:val="1"/>
          <w:bCs w:val="1"/>
          <w:i w:val="1"/>
          <w:iCs w:val="1"/>
          <w:color w:val="auto"/>
        </w:rPr>
        <w:t>Rezolve Holders</w:t>
      </w:r>
      <w:r>
        <w:rPr>
          <w:rFonts w:ascii="Times New Roman" w:cs="Times New Roman" w:eastAsia="Times New Roman" w:hAnsi="Times New Roman"/>
          <w:sz w:val="10"/>
          <w:szCs w:val="10"/>
          <w:color w:val="auto"/>
        </w:rPr>
        <w:t>"), pursuant to which the Ordinary Shares held by the Rezolve Holders will be locked-up and subject to transfer restrictions for 180 days following the Closing, subject to certain customary exceptions, including: (i) transfers to permitted transferees, such as a member of the person's immediate family or to a trust, the beneficiary of which is a member of the person's immediate family or an affiliate of such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Information</w:t>
      </w:r>
    </w:p>
    <w:p>
      <w:pPr>
        <w:spacing w:after="0" w:line="60" w:lineRule="exact"/>
        <w:rPr>
          <w:sz w:val="20"/>
          <w:szCs w:val="20"/>
          <w:color w:val="auto"/>
        </w:rPr>
      </w:pPr>
    </w:p>
    <w:p>
      <w:pPr>
        <w:ind w:right="100" w:firstLine="240"/>
        <w:spacing w:after="0" w:line="255" w:lineRule="auto"/>
        <w:rPr>
          <w:sz w:val="20"/>
          <w:szCs w:val="20"/>
          <w:color w:val="auto"/>
        </w:rPr>
      </w:pPr>
      <w:r>
        <w:rPr>
          <w:rFonts w:ascii="Times New Roman" w:cs="Times New Roman" w:eastAsia="Times New Roman" w:hAnsi="Times New Roman"/>
          <w:sz w:val="10"/>
          <w:szCs w:val="10"/>
          <w:color w:val="auto"/>
        </w:rPr>
        <w:t>The Company was incorporated under the laws of England and Wales with registration number 14573691 on January 5, 2023 under the name Rezolve Group Limited and changed its name to Rezolve AI Limited on June 6, 2023. The Company intends to alter its legal status under English law from a private limited company and has undertaken to re-register as a public limited company and change its name from Rezolve AI Limited to Rezolve AI PLC on or before January 9, 2025.</w:t>
      </w:r>
    </w:p>
    <w:p>
      <w:pPr>
        <w:spacing w:after="0" w:line="101" w:lineRule="exact"/>
        <w:rPr>
          <w:sz w:val="20"/>
          <w:szCs w:val="20"/>
          <w:color w:val="auto"/>
        </w:rPr>
      </w:pPr>
    </w:p>
    <w:p>
      <w:pPr>
        <w:jc w:val="both"/>
        <w:ind w:right="220" w:firstLine="240"/>
        <w:spacing w:after="0" w:line="245" w:lineRule="auto"/>
        <w:rPr>
          <w:sz w:val="20"/>
          <w:szCs w:val="20"/>
          <w:color w:val="auto"/>
        </w:rPr>
      </w:pPr>
      <w:r>
        <w:rPr>
          <w:rFonts w:ascii="Times New Roman" w:cs="Times New Roman" w:eastAsia="Times New Roman" w:hAnsi="Times New Roman"/>
          <w:sz w:val="10"/>
          <w:szCs w:val="10"/>
          <w:color w:val="auto"/>
        </w:rPr>
        <w:t xml:space="preserve">The Ordinary Shares and Public Warrants are listed on Nasdaq under the symbols “RZLV” and “RZLVW,” respectively. Our registered office is at 5 New Street Square London EC4A 3TW and our principal executive office is 3rd Floor, 80 New Bond Street, London, United Kingdom, W1S 1SB. Our register of members is kept at our registered office. Our website address is </w:t>
      </w:r>
      <w:r>
        <w:rPr>
          <w:rFonts w:ascii="Times New Roman" w:cs="Times New Roman" w:eastAsia="Times New Roman" w:hAnsi="Times New Roman"/>
          <w:sz w:val="10"/>
          <w:szCs w:val="10"/>
          <w:i w:val="1"/>
          <w:iCs w:val="1"/>
          <w:color w:val="auto"/>
        </w:rPr>
        <w:t>www.rezolve.com.</w:t>
      </w:r>
      <w:r>
        <w:rPr>
          <w:rFonts w:ascii="Times New Roman" w:cs="Times New Roman" w:eastAsia="Times New Roman" w:hAnsi="Times New Roman"/>
          <w:sz w:val="10"/>
          <w:szCs w:val="10"/>
          <w:color w:val="auto"/>
        </w:rPr>
        <w:t xml:space="preserve"> Our website and the information contained on, or that can be accessed through, our website is not deemed to be incorporated by reference in, and is not considered part of, this prospectus.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Emerging Growth Company</w:t>
      </w:r>
    </w:p>
    <w:p>
      <w:pPr>
        <w:spacing w:after="0" w:line="60" w:lineRule="exact"/>
        <w:rPr>
          <w:sz w:val="20"/>
          <w:szCs w:val="20"/>
          <w:color w:val="auto"/>
        </w:rPr>
      </w:pPr>
    </w:p>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05" w:lineRule="exact"/>
        <w:rPr>
          <w:sz w:val="20"/>
          <w:szCs w:val="20"/>
          <w:color w:val="auto"/>
        </w:rPr>
      </w:pPr>
    </w:p>
    <w:p>
      <w:pPr>
        <w:jc w:val="both"/>
        <w:ind w:right="200" w:firstLine="240"/>
        <w:spacing w:after="0" w:line="241" w:lineRule="auto"/>
        <w:rPr>
          <w:sz w:val="20"/>
          <w:szCs w:val="20"/>
          <w:color w:val="auto"/>
        </w:rPr>
      </w:pPr>
      <w:r>
        <w:rPr>
          <w:rFonts w:ascii="Times New Roman" w:cs="Times New Roman" w:eastAsia="Times New Roman" w:hAnsi="Times New Roman"/>
          <w:sz w:val="10"/>
          <w:szCs w:val="10"/>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60" w:top="1153" w:right="70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0"/>
          <w:szCs w:val="10"/>
          <w:color w:val="auto"/>
        </w:rPr>
        <w:t>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8" w:lineRule="exact"/>
        <w:rPr>
          <w:sz w:val="20"/>
          <w:szCs w:val="20"/>
          <w:color w:val="auto"/>
        </w:rPr>
      </w:pPr>
    </w:p>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w:t>
      </w:r>
    </w:p>
    <w:p>
      <w:pPr>
        <w:spacing w:after="0" w:line="60"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05" w:lineRule="exact"/>
        <w:rPr>
          <w:sz w:val="20"/>
          <w:szCs w:val="20"/>
          <w:color w:val="auto"/>
        </w:rPr>
      </w:pPr>
    </w:p>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05" w:lineRule="exact"/>
        <w:rPr>
          <w:sz w:val="20"/>
          <w:szCs w:val="20"/>
          <w:color w:val="auto"/>
        </w:rPr>
      </w:pPr>
    </w:p>
    <w:p>
      <w:pPr>
        <w:ind w:right="80" w:firstLine="240"/>
        <w:spacing w:after="0" w:line="255" w:lineRule="auto"/>
        <w:rPr>
          <w:sz w:val="20"/>
          <w:szCs w:val="20"/>
          <w:color w:val="auto"/>
        </w:rPr>
      </w:pPr>
      <w:r>
        <w:rPr>
          <w:rFonts w:ascii="Times New Roman" w:cs="Times New Roman" w:eastAsia="Times New Roman" w:hAnsi="Times New Roman"/>
          <w:sz w:val="10"/>
          <w:szCs w:val="10"/>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01" w:lineRule="exact"/>
        <w:rPr>
          <w:sz w:val="20"/>
          <w:szCs w:val="20"/>
          <w:color w:val="auto"/>
        </w:rPr>
      </w:pPr>
    </w:p>
    <w:p>
      <w:pPr>
        <w:ind w:right="240" w:firstLine="240"/>
        <w:spacing w:after="0" w:line="255" w:lineRule="auto"/>
        <w:rPr>
          <w:sz w:val="20"/>
          <w:szCs w:val="20"/>
          <w:color w:val="auto"/>
        </w:rPr>
      </w:pPr>
      <w:r>
        <w:rPr>
          <w:rFonts w:ascii="Times New Roman" w:cs="Times New Roman" w:eastAsia="Times New Roman" w:hAnsi="Times New Roman"/>
          <w:sz w:val="10"/>
          <w:szCs w:val="10"/>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58" w:lineRule="exact"/>
        <w:rPr>
          <w:sz w:val="20"/>
          <w:szCs w:val="20"/>
          <w:color w:val="auto"/>
        </w:rPr>
      </w:pPr>
    </w:p>
    <w:p>
      <w:pPr>
        <w:ind w:right="340" w:firstLine="240"/>
        <w:spacing w:after="0" w:line="259" w:lineRule="auto"/>
        <w:rPr>
          <w:sz w:val="20"/>
          <w:szCs w:val="20"/>
          <w:color w:val="auto"/>
        </w:rPr>
      </w:pPr>
      <w:r>
        <w:rPr>
          <w:rFonts w:ascii="Times New Roman" w:cs="Times New Roman" w:eastAsia="Times New Roman" w:hAnsi="Times New Roman"/>
          <w:sz w:val="10"/>
          <w:szCs w:val="10"/>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has generated limited revenues from existing Channels and there is no guarantee that it will be able to attract and retain new merchants and increase sales to new merchants.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is an early-stage company with a history of financial losses and expects to incur significant expenses and continuing losses for the foreseeable future.</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impact of worldwide economic conditions, including the resulting effect on spending by SMBs and spending on technology, may adversely affect Rezolve’s business, operating results and financial condition.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limited operating history in a new and developing market makes it difficult to evaluate its current business and future prospects and may increase the risk that it will not be successful.</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growth depends in part on the success of its strategic relationships with third parties.</w:t>
      </w:r>
    </w:p>
    <w:p>
      <w:pPr>
        <w:spacing w:after="0" w:line="58" w:lineRule="exact"/>
        <w:rPr>
          <w:sz w:val="20"/>
          <w:szCs w:val="20"/>
          <w:color w:val="auto"/>
        </w:rPr>
      </w:pPr>
    </w:p>
    <w:p>
      <w:pPr>
        <w:ind w:left="240" w:right="180"/>
        <w:spacing w:after="0" w:line="255" w:lineRule="auto"/>
        <w:rPr>
          <w:sz w:val="20"/>
          <w:szCs w:val="20"/>
          <w:color w:val="auto"/>
        </w:rPr>
      </w:pPr>
      <w:r>
        <w:rPr>
          <w:rFonts w:ascii="Times New Roman" w:cs="Times New Roman" w:eastAsia="Times New Roman" w:hAnsi="Times New Roman"/>
          <w:sz w:val="10"/>
          <w:szCs w:val="10"/>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155" w:right="66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color w:val="auto"/>
        </w:rPr>
        <w:t>•Rezolve’s business could be harmed if it fails to manage its growth effectively.</w:t>
      </w:r>
    </w:p>
    <w:p>
      <w:pPr>
        <w:spacing w:after="0" w:line="5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0"/>
          <w:szCs w:val="10"/>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does not have the history with its solutions or pricing models necessary to accurately predict optimal pricing necessary to attract new merchants and retain existing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a result of Rezolve’s business model, it may not be able to accurately assess its financial position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business is susceptible to risks associated with international sales and the use of its platform in various countries.</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0"/>
          <w:szCs w:val="10"/>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•Exchange rate fluctuations may negatively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operating results are expected to be subject to seasonal fluctuations.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estimates or judgments relating to Rezolve’s critical accounting policies are ultimately incorrect, Rezolve’s results of operations could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not be able to compete successfully against current and future competitors.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•Payment transactions on Rezolve’s platform may be subject to regulatory requirements and other risks that could be costly and difficult to comply with or that could harm Rezolve’s business.</w:t>
      </w:r>
    </w:p>
    <w:p>
      <w:pPr>
        <w:spacing w:after="0" w:line="5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a party to the Loan Note Instrument, which contains a number of covenants that may restrict our current and future operations and could adversely affect our ability to execute business needs.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need to raise additional funds to pursue its growth strategy or continue its operations, and Rezolve may be unable to raise capital when needed or on acceptable terms.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the availability of Rezolve’s platform does not meet its service-level commitments to customers, Rezolve’s current and future revenues may be negatively impacted.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will have broad discretion in the use of proceeds from this offering and may invest or spend the proceeds in ways with which you do not agree and in ways that may not yield a return.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does not intend to pay dividends for the foreseeable future.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regional or global health pandemic, including the global COVID-19 pandemic, may adversely impact Rezolve’s business, results of operations and financial performance.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is unable to hire, retain and motivate qualified personnel, its business will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dependent upon consumers’ and merchants’ willingness to use the internet and internet-enabled mobile devices for commerce.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software contains serious errors or defects, Rezolve may lose revenues and market acceptance and may incur costs to defend or settle claims with its merchants.</w:t>
      </w:r>
    </w:p>
    <w:p>
      <w:pPr>
        <w:spacing w:after="0" w:line="11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40"/>
          </w:cols>
          <w:pgMar w:left="900" w:top="1095" w:right="66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0"/>
          <w:szCs w:val="10"/>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uses a limited number of data centers to deliver its services. Any disruption of service at these facilities could harm Rezolve’s business.</w:t>
      </w:r>
    </w:p>
    <w:p>
      <w:pPr>
        <w:spacing w:after="0" w:line="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0"/>
          <w:szCs w:val="10"/>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in order to provide its solutions and run its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does not or cannot maintain the compatibility of its platform with third-party applications that its customers use in their businesses, Rezolve’s revenues will decline.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brand is important to its success. If Rezolve fails to effectively maintain, promote and enhance Rezolve’s brand, Rezolve’s business and competitive advantage may be harmed.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•Activities of merchants or the content of their shops could damage Rezolve’s brand, subject Rezolve to liability and harm its business and financial results.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fails to maintain a consistently high level of customer service, Rezolve’s brand, business and financial results may be harmed.</w:t>
      </w:r>
    </w:p>
    <w:p>
      <w:pPr>
        <w:spacing w:after="0" w:line="5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0"/>
          <w:szCs w:val="10"/>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be subject to claims by third parties of intellectual property infringement.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use of “open source” software could negatively affect its ability to sell its solutions and subject Rezolve to possible litigation.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financial accounting standards or practices may cause adverse, unexpected financial reporting fluctuations and adversely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tax laws or tax rulings could materially affect Rezolve’s financial position, results of operations, and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•Claims for indemnification by Rezolve’s directors and officers may reduce Rezolve’s available funds to satisfy successful third-party claims against Rezolve and may reduce the amount of money available to Rezolve.</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0"/>
          <w:szCs w:val="10"/>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•Enhanced trade tariffs, import restrictions, export restrictions, United States regulations or other trade barriers may materially harm Rezolve’s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•From time to time, Rezolve may be involved in legal proceedings and commercial or contractual disputes, which could have an adverse impact on Rezolve’s profitability and consolidated financial position.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provisions of the Articles and English law could deter takeover attempts.</w:t>
      </w:r>
    </w:p>
    <w:p>
      <w:pPr>
        <w:spacing w:after="0" w:line="1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80"/>
          </w:cols>
          <w:pgMar w:left="900" w:top="1095" w:right="820" w:bottom="1440" w:gutter="0" w:footer="0" w:header="0"/>
        </w:sectPr>
      </w:pPr>
    </w:p>
    <w:bookmarkStart w:id="19" w:name="page20"/>
    <w:bookmarkEnd w:id="19"/>
    <w:p>
      <w:pPr>
        <w:ind w:left="4940"/>
        <w:spacing w:after="0"/>
        <w:rPr>
          <w:sz w:val="20"/>
          <w:szCs w:val="20"/>
          <w:color w:val="auto"/>
        </w:rPr>
      </w:pPr>
      <w:r>
        <w:rPr>
          <w:rFonts w:ascii="Times New Roman" w:cs="Times New Roman" w:eastAsia="Times New Roman" w:hAnsi="Times New Roman"/>
          <w:sz w:val="10"/>
          <w:szCs w:val="10"/>
          <w:b w:val="1"/>
          <w:bCs w:val="1"/>
          <w:color w:val="auto"/>
        </w:rPr>
        <w:t>THE OFFERING</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color w:val="auto"/>
        </w:rPr>
        <w:t>We are registering the issuance by us of up to 7,499,994 Ordinary Shares that may be issued upon the exercise of Public Warrants.</w:t>
      </w:r>
    </w:p>
    <w:p>
      <w:pPr>
        <w:spacing w:after="0" w:line="118" w:lineRule="exact"/>
        <w:rPr>
          <w:sz w:val="20"/>
          <w:szCs w:val="20"/>
          <w:color w:val="auto"/>
        </w:rPr>
      </w:pPr>
    </w:p>
    <w:p>
      <w:pPr>
        <w:ind w:left="20" w:right="340" w:firstLine="240"/>
        <w:spacing w:after="0" w:line="255" w:lineRule="auto"/>
        <w:rPr>
          <w:sz w:val="20"/>
          <w:szCs w:val="20"/>
          <w:color w:val="auto"/>
        </w:rPr>
      </w:pPr>
      <w:r>
        <w:rPr>
          <w:rFonts w:ascii="Times New Roman" w:cs="Times New Roman" w:eastAsia="Times New Roman" w:hAnsi="Times New Roman"/>
          <w:sz w:val="10"/>
          <w:szCs w:val="10"/>
          <w:color w:val="auto"/>
        </w:rPr>
        <w:t xml:space="preserve">We are also registering the resale by the Selling Holders or their permitted transferees of up to 185,068,790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on page 12 of this prospectus.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color w:val="auto"/>
        </w:rPr>
        <w:t>The following information is as of October 28, 2024 and does not give effect to issuances of Ordinary Shares or Warrants after such date, or the exercise of Warrants after such date.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6800" w:type="dxa"/>
            <w:vAlign w:val="bottom"/>
          </w:tcPr>
          <w:p>
            <w:pPr>
              <w:ind w:left="900"/>
              <w:spacing w:after="0"/>
              <w:rPr>
                <w:sz w:val="20"/>
                <w:szCs w:val="20"/>
                <w:color w:val="auto"/>
              </w:rPr>
            </w:pPr>
            <w:r>
              <w:rPr>
                <w:rFonts w:ascii="Times New Roman" w:cs="Times New Roman" w:eastAsia="Times New Roman" w:hAnsi="Times New Roman"/>
                <w:sz w:val="10"/>
                <w:szCs w:val="10"/>
                <w:b w:val="1"/>
                <w:bCs w:val="1"/>
                <w:color w:val="auto"/>
              </w:rPr>
              <w:t>Issuance of Ordinary Shares</w:t>
            </w:r>
          </w:p>
        </w:tc>
      </w:tr>
      <w:tr>
        <w:trPr>
          <w:trHeight w:val="248"/>
        </w:trPr>
        <w:tc>
          <w:tcPr>
            <w:tcW w:w="3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Ordinary Shares to be issued upon exercise of all Public Warrants</w:t>
            </w:r>
          </w:p>
        </w:tc>
        <w:tc>
          <w:tcPr>
            <w:tcW w:w="6800" w:type="dxa"/>
            <w:vAlign w:val="bottom"/>
          </w:tcPr>
          <w:p>
            <w:pPr>
              <w:ind w:left="1580"/>
              <w:spacing w:after="0"/>
              <w:rPr>
                <w:sz w:val="20"/>
                <w:szCs w:val="20"/>
                <w:color w:val="auto"/>
              </w:rPr>
            </w:pPr>
            <w:r>
              <w:rPr>
                <w:rFonts w:ascii="Times New Roman" w:cs="Times New Roman" w:eastAsia="Times New Roman" w:hAnsi="Times New Roman"/>
                <w:sz w:val="10"/>
                <w:szCs w:val="10"/>
                <w:color w:val="auto"/>
              </w:rPr>
              <w:t>7,499,994 Ordinary Shares.</w:t>
            </w:r>
          </w:p>
        </w:tc>
      </w:tr>
      <w:tr>
        <w:trPr>
          <w:trHeight w:val="188"/>
        </w:trPr>
        <w:tc>
          <w:tcPr>
            <w:tcW w:w="3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Ordinary Shares outstanding prior to exercise of all Public Warrants</w:t>
            </w:r>
          </w:p>
        </w:tc>
        <w:tc>
          <w:tcPr>
            <w:tcW w:w="6800" w:type="dxa"/>
            <w:vAlign w:val="bottom"/>
          </w:tcPr>
          <w:p>
            <w:pPr>
              <w:ind w:left="1580"/>
              <w:spacing w:after="0"/>
              <w:rPr>
                <w:sz w:val="20"/>
                <w:szCs w:val="20"/>
                <w:color w:val="auto"/>
              </w:rPr>
            </w:pPr>
            <w:r>
              <w:rPr>
                <w:rFonts w:ascii="Times New Roman" w:cs="Times New Roman" w:eastAsia="Times New Roman" w:hAnsi="Times New Roman"/>
                <w:sz w:val="10"/>
                <w:szCs w:val="10"/>
                <w:color w:val="auto"/>
              </w:rPr>
              <w:t>172,182,769 Ordinary Shares.</w:t>
            </w:r>
          </w:p>
        </w:tc>
      </w:tr>
      <w:tr>
        <w:trPr>
          <w:trHeight w:val="175"/>
        </w:trPr>
        <w:tc>
          <w:tcPr>
            <w:tcW w:w="3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Use of proceeds</w:t>
            </w:r>
          </w:p>
        </w:tc>
        <w:tc>
          <w:tcPr>
            <w:tcW w:w="6800" w:type="dxa"/>
            <w:vAlign w:val="bottom"/>
          </w:tcPr>
          <w:p>
            <w:pPr>
              <w:ind w:left="1580"/>
              <w:spacing w:after="0"/>
              <w:rPr>
                <w:sz w:val="20"/>
                <w:szCs w:val="20"/>
                <w:color w:val="auto"/>
              </w:rPr>
            </w:pPr>
            <w:r>
              <w:rPr>
                <w:rFonts w:ascii="Times New Roman" w:cs="Times New Roman" w:eastAsia="Times New Roman" w:hAnsi="Times New Roman"/>
                <w:sz w:val="10"/>
                <w:szCs w:val="10"/>
                <w:color w:val="auto"/>
                <w:w w:val="98"/>
              </w:rPr>
              <w:t>We will receive up to an aggregate of approximately $96.8 million from the exercise of all Public Warrants assuming the exercise in</w:t>
            </w:r>
          </w:p>
        </w:tc>
      </w:tr>
      <w:tr>
        <w:trPr>
          <w:trHeight w:val="113"/>
        </w:trPr>
        <w:tc>
          <w:tcPr>
            <w:tcW w:w="3820" w:type="dxa"/>
            <w:vAlign w:val="bottom"/>
          </w:tcPr>
          <w:p>
            <w:pPr>
              <w:spacing w:after="0"/>
              <w:rPr>
                <w:sz w:val="9"/>
                <w:szCs w:val="9"/>
                <w:color w:val="auto"/>
              </w:rPr>
            </w:pPr>
          </w:p>
        </w:tc>
        <w:tc>
          <w:tcPr>
            <w:tcW w:w="6800" w:type="dxa"/>
            <w:vAlign w:val="bottom"/>
          </w:tcPr>
          <w:p>
            <w:pPr>
              <w:ind w:left="1580"/>
              <w:spacing w:after="0" w:line="113" w:lineRule="exact"/>
              <w:rPr>
                <w:sz w:val="20"/>
                <w:szCs w:val="20"/>
                <w:color w:val="auto"/>
              </w:rPr>
            </w:pPr>
            <w:r>
              <w:rPr>
                <w:rFonts w:ascii="Times New Roman" w:cs="Times New Roman" w:eastAsia="Times New Roman" w:hAnsi="Times New Roman"/>
                <w:sz w:val="10"/>
                <w:szCs w:val="10"/>
                <w:color w:val="auto"/>
              </w:rPr>
              <w:t>full of all such warrants for cash. Unless we inform you otherwise in a prospectus supplement or free writing prospectus, to the</w:t>
            </w:r>
          </w:p>
        </w:tc>
      </w:tr>
      <w:tr>
        <w:trPr>
          <w:trHeight w:val="113"/>
        </w:trPr>
        <w:tc>
          <w:tcPr>
            <w:tcW w:w="3820" w:type="dxa"/>
            <w:vAlign w:val="bottom"/>
          </w:tcPr>
          <w:p>
            <w:pPr>
              <w:spacing w:after="0"/>
              <w:rPr>
                <w:sz w:val="9"/>
                <w:szCs w:val="9"/>
                <w:color w:val="auto"/>
              </w:rPr>
            </w:pPr>
          </w:p>
        </w:tc>
        <w:tc>
          <w:tcPr>
            <w:tcW w:w="6800" w:type="dxa"/>
            <w:vAlign w:val="bottom"/>
          </w:tcPr>
          <w:p>
            <w:pPr>
              <w:ind w:left="1580"/>
              <w:spacing w:after="0" w:line="113" w:lineRule="exact"/>
              <w:rPr>
                <w:sz w:val="20"/>
                <w:szCs w:val="20"/>
                <w:color w:val="auto"/>
              </w:rPr>
            </w:pPr>
            <w:r>
              <w:rPr>
                <w:rFonts w:ascii="Times New Roman" w:cs="Times New Roman" w:eastAsia="Times New Roman" w:hAnsi="Times New Roman"/>
                <w:sz w:val="10"/>
                <w:szCs w:val="10"/>
                <w:color w:val="auto"/>
              </w:rPr>
              <w:t>extent we elect the exercise of such warrants for cash, we intend to use the net proceeds from such exercise for general corporate</w:t>
            </w:r>
          </w:p>
        </w:tc>
      </w:tr>
      <w:tr>
        <w:trPr>
          <w:trHeight w:val="125"/>
        </w:trPr>
        <w:tc>
          <w:tcPr>
            <w:tcW w:w="3820" w:type="dxa"/>
            <w:vAlign w:val="bottom"/>
          </w:tcPr>
          <w:p>
            <w:pPr>
              <w:spacing w:after="0"/>
              <w:rPr>
                <w:sz w:val="10"/>
                <w:szCs w:val="10"/>
                <w:color w:val="auto"/>
              </w:rPr>
            </w:pPr>
          </w:p>
        </w:tc>
        <w:tc>
          <w:tcPr>
            <w:tcW w:w="6800" w:type="dxa"/>
            <w:vAlign w:val="bottom"/>
          </w:tcPr>
          <w:p>
            <w:pPr>
              <w:ind w:left="1580"/>
              <w:spacing w:after="0"/>
              <w:rPr>
                <w:sz w:val="20"/>
                <w:szCs w:val="20"/>
                <w:color w:val="auto"/>
              </w:rPr>
            </w:pPr>
            <w:r>
              <w:rPr>
                <w:rFonts w:ascii="Times New Roman" w:cs="Times New Roman" w:eastAsia="Times New Roman" w:hAnsi="Times New Roman"/>
                <w:sz w:val="10"/>
                <w:szCs w:val="10"/>
                <w:color w:val="auto"/>
              </w:rPr>
              <w:t>purposes. To the extent the warrants are exercised on a “cashless” basis, we will receive no proceeds.</w:t>
            </w:r>
          </w:p>
        </w:tc>
      </w:tr>
      <w:tr>
        <w:trPr>
          <w:trHeight w:val="218"/>
        </w:trPr>
        <w:tc>
          <w:tcPr>
            <w:tcW w:w="3820" w:type="dxa"/>
            <w:vAlign w:val="bottom"/>
          </w:tcPr>
          <w:p>
            <w:pPr>
              <w:ind w:left="1820"/>
              <w:spacing w:after="0"/>
              <w:rPr>
                <w:sz w:val="20"/>
                <w:szCs w:val="20"/>
                <w:color w:val="auto"/>
              </w:rPr>
            </w:pPr>
            <w:r>
              <w:rPr>
                <w:rFonts w:ascii="Times New Roman" w:cs="Times New Roman" w:eastAsia="Times New Roman" w:hAnsi="Times New Roman"/>
                <w:sz w:val="10"/>
                <w:szCs w:val="10"/>
                <w:b w:val="1"/>
                <w:bCs w:val="1"/>
                <w:color w:val="auto"/>
              </w:rPr>
              <w:t>Resale of Ordinary Shares</w:t>
            </w:r>
          </w:p>
        </w:tc>
        <w:tc>
          <w:tcPr>
            <w:tcW w:w="6800" w:type="dxa"/>
            <w:vAlign w:val="bottom"/>
          </w:tcPr>
          <w:p>
            <w:pPr>
              <w:spacing w:after="0"/>
              <w:rPr>
                <w:sz w:val="18"/>
                <w:szCs w:val="18"/>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Ordinary Shares offered by the Selling Holders</w:t>
            </w:r>
          </w:p>
        </w:tc>
        <w:tc>
          <w:tcPr>
            <w:tcW w:w="6800" w:type="dxa"/>
            <w:vAlign w:val="bottom"/>
          </w:tcPr>
          <w:p>
            <w:pPr>
              <w:ind w:left="1580"/>
              <w:spacing w:after="0"/>
              <w:rPr>
                <w:sz w:val="20"/>
                <w:szCs w:val="20"/>
                <w:color w:val="auto"/>
              </w:rPr>
            </w:pPr>
            <w:r>
              <w:rPr>
                <w:rFonts w:ascii="Times New Roman" w:cs="Times New Roman" w:eastAsia="Times New Roman" w:hAnsi="Times New Roman"/>
                <w:sz w:val="10"/>
                <w:szCs w:val="10"/>
                <w:color w:val="auto"/>
              </w:rPr>
              <w:t>185,068,790 Ordinary Shares, consisting of (i) 122,655,854 Ordinary Shares; (ii) 569,982 Ordinary Shares underlying Private</w:t>
            </w:r>
          </w:p>
        </w:tc>
      </w:tr>
      <w:tr>
        <w:trPr>
          <w:trHeight w:val="113"/>
        </w:trPr>
        <w:tc>
          <w:tcPr>
            <w:tcW w:w="3820" w:type="dxa"/>
            <w:vAlign w:val="bottom"/>
          </w:tcPr>
          <w:p>
            <w:pPr>
              <w:spacing w:after="0"/>
              <w:rPr>
                <w:sz w:val="9"/>
                <w:szCs w:val="9"/>
                <w:color w:val="auto"/>
              </w:rPr>
            </w:pPr>
          </w:p>
        </w:tc>
        <w:tc>
          <w:tcPr>
            <w:tcW w:w="6800" w:type="dxa"/>
            <w:vAlign w:val="bottom"/>
          </w:tcPr>
          <w:p>
            <w:pPr>
              <w:ind w:left="1580"/>
              <w:spacing w:after="0" w:line="113" w:lineRule="exact"/>
              <w:rPr>
                <w:sz w:val="20"/>
                <w:szCs w:val="20"/>
                <w:color w:val="auto"/>
              </w:rPr>
            </w:pPr>
            <w:r>
              <w:rPr>
                <w:rFonts w:ascii="Times New Roman" w:cs="Times New Roman" w:eastAsia="Times New Roman" w:hAnsi="Times New Roman"/>
                <w:sz w:val="10"/>
                <w:szCs w:val="10"/>
                <w:color w:val="auto"/>
              </w:rPr>
              <w:t>Warrants; (iii) 39,612,603 Ordinary Shares issuable upon conversion of the Convertible Notes; (iv) 15,374,145 Ordinary Shares</w:t>
            </w:r>
          </w:p>
        </w:tc>
      </w:tr>
      <w:tr>
        <w:trPr>
          <w:trHeight w:val="113"/>
        </w:trPr>
        <w:tc>
          <w:tcPr>
            <w:tcW w:w="3820" w:type="dxa"/>
            <w:vAlign w:val="bottom"/>
          </w:tcPr>
          <w:p>
            <w:pPr>
              <w:spacing w:after="0"/>
              <w:rPr>
                <w:sz w:val="9"/>
                <w:szCs w:val="9"/>
                <w:color w:val="auto"/>
              </w:rPr>
            </w:pPr>
          </w:p>
        </w:tc>
        <w:tc>
          <w:tcPr>
            <w:tcW w:w="6800" w:type="dxa"/>
            <w:vAlign w:val="bottom"/>
          </w:tcPr>
          <w:p>
            <w:pPr>
              <w:ind w:left="1580"/>
              <w:spacing w:after="0" w:line="113" w:lineRule="exact"/>
              <w:rPr>
                <w:sz w:val="20"/>
                <w:szCs w:val="20"/>
                <w:color w:val="auto"/>
              </w:rPr>
            </w:pPr>
            <w:r>
              <w:rPr>
                <w:rFonts w:ascii="Times New Roman" w:cs="Times New Roman" w:eastAsia="Times New Roman" w:hAnsi="Times New Roman"/>
                <w:sz w:val="10"/>
                <w:szCs w:val="10"/>
                <w:color w:val="auto"/>
                <w:w w:val="97"/>
              </w:rPr>
              <w:t xml:space="preserve">issuable pursuant to the advanced subscription agreements; (v) 4,838,779 Ordinary Shares issuable pursuant to the </w:t>
            </w:r>
            <w:r>
              <w:rPr>
                <w:rFonts w:ascii="Times New Roman" w:cs="Times New Roman" w:eastAsia="Times New Roman" w:hAnsi="Times New Roman"/>
                <w:sz w:val="10"/>
                <w:szCs w:val="10"/>
                <w:color w:val="212529"/>
                <w:w w:val="97"/>
              </w:rPr>
              <w:t>Second A&amp;R</w:t>
            </w:r>
            <w:r>
              <w:rPr>
                <w:rFonts w:ascii="Times New Roman" w:cs="Times New Roman" w:eastAsia="Times New Roman" w:hAnsi="Times New Roman"/>
                <w:sz w:val="10"/>
                <w:szCs w:val="10"/>
                <w:color w:val="auto"/>
                <w:w w:val="97"/>
              </w:rPr>
              <w:t xml:space="preserve"> YA</w:t>
            </w:r>
          </w:p>
        </w:tc>
      </w:tr>
      <w:tr>
        <w:trPr>
          <w:trHeight w:val="113"/>
        </w:trPr>
        <w:tc>
          <w:tcPr>
            <w:tcW w:w="3820" w:type="dxa"/>
            <w:vAlign w:val="bottom"/>
          </w:tcPr>
          <w:p>
            <w:pPr>
              <w:spacing w:after="0"/>
              <w:rPr>
                <w:sz w:val="9"/>
                <w:szCs w:val="9"/>
                <w:color w:val="auto"/>
              </w:rPr>
            </w:pPr>
          </w:p>
        </w:tc>
        <w:tc>
          <w:tcPr>
            <w:tcW w:w="6800" w:type="dxa"/>
            <w:vAlign w:val="bottom"/>
          </w:tcPr>
          <w:p>
            <w:pPr>
              <w:ind w:left="1580"/>
              <w:spacing w:after="0" w:line="113" w:lineRule="exact"/>
              <w:rPr>
                <w:sz w:val="20"/>
                <w:szCs w:val="20"/>
                <w:color w:val="auto"/>
              </w:rPr>
            </w:pPr>
            <w:r>
              <w:rPr>
                <w:rFonts w:ascii="Times New Roman" w:cs="Times New Roman" w:eastAsia="Times New Roman" w:hAnsi="Times New Roman"/>
                <w:sz w:val="10"/>
                <w:szCs w:val="10"/>
                <w:color w:val="auto"/>
                <w:w w:val="98"/>
              </w:rPr>
              <w:t xml:space="preserve">Agreement; (vi) </w:t>
            </w:r>
            <w:r>
              <w:rPr>
                <w:rFonts w:ascii="Times New Roman" w:cs="Times New Roman" w:eastAsia="Times New Roman" w:hAnsi="Times New Roman"/>
                <w:sz w:val="10"/>
                <w:szCs w:val="10"/>
                <w:color w:val="212529"/>
                <w:w w:val="98"/>
              </w:rPr>
              <w:t>1,071,429 Ordinary Shares issuable upon conversion of the YA Notes</w:t>
            </w:r>
            <w:r>
              <w:rPr>
                <w:rFonts w:ascii="Times New Roman" w:cs="Times New Roman" w:eastAsia="Times New Roman" w:hAnsi="Times New Roman"/>
                <w:sz w:val="10"/>
                <w:szCs w:val="10"/>
                <w:color w:val="auto"/>
                <w:w w:val="98"/>
              </w:rPr>
              <w:t>; (vii) 400,625 Ordinary Shares issuable upon</w:t>
            </w:r>
          </w:p>
        </w:tc>
      </w:tr>
      <w:tr>
        <w:trPr>
          <w:trHeight w:val="125"/>
        </w:trPr>
        <w:tc>
          <w:tcPr>
            <w:tcW w:w="3820" w:type="dxa"/>
            <w:vAlign w:val="bottom"/>
          </w:tcPr>
          <w:p>
            <w:pPr>
              <w:spacing w:after="0"/>
              <w:rPr>
                <w:sz w:val="10"/>
                <w:szCs w:val="10"/>
                <w:color w:val="auto"/>
              </w:rPr>
            </w:pPr>
          </w:p>
        </w:tc>
        <w:tc>
          <w:tcPr>
            <w:tcW w:w="6800" w:type="dxa"/>
            <w:vAlign w:val="bottom"/>
          </w:tcPr>
          <w:p>
            <w:pPr>
              <w:ind w:left="1580"/>
              <w:spacing w:after="0"/>
              <w:rPr>
                <w:sz w:val="20"/>
                <w:szCs w:val="20"/>
                <w:color w:val="auto"/>
              </w:rPr>
            </w:pPr>
            <w:r>
              <w:rPr>
                <w:rFonts w:ascii="Times New Roman" w:cs="Times New Roman" w:eastAsia="Times New Roman" w:hAnsi="Times New Roman"/>
                <w:sz w:val="10"/>
                <w:szCs w:val="10"/>
                <w:color w:val="auto"/>
              </w:rPr>
              <w:t>conversion of the Northland Note and (viii) and 545,373 Ordinary Shares issuable upon the conversion of the Promissory Notes.</w:t>
            </w:r>
          </w:p>
        </w:tc>
      </w:tr>
      <w:tr>
        <w:trPr>
          <w:trHeight w:val="175"/>
        </w:trPr>
        <w:tc>
          <w:tcPr>
            <w:tcW w:w="3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Use of proceeds</w:t>
            </w:r>
          </w:p>
        </w:tc>
        <w:tc>
          <w:tcPr>
            <w:tcW w:w="6800" w:type="dxa"/>
            <w:vAlign w:val="bottom"/>
          </w:tcPr>
          <w:p>
            <w:pPr>
              <w:ind w:left="1580"/>
              <w:spacing w:after="0"/>
              <w:rPr>
                <w:sz w:val="20"/>
                <w:szCs w:val="20"/>
                <w:color w:val="auto"/>
              </w:rPr>
            </w:pPr>
            <w:r>
              <w:rPr>
                <w:rFonts w:ascii="Times New Roman" w:cs="Times New Roman" w:eastAsia="Times New Roman" w:hAnsi="Times New Roman"/>
                <w:sz w:val="10"/>
                <w:szCs w:val="10"/>
                <w:color w:val="auto"/>
              </w:rPr>
              <w:t>We will not receive any proceeds from the sale of the Ordinary Shares and Public Warrants to be offered by the Selling Holders.</w:t>
            </w:r>
          </w:p>
        </w:tc>
      </w:tr>
      <w:tr>
        <w:trPr>
          <w:trHeight w:val="113"/>
        </w:trPr>
        <w:tc>
          <w:tcPr>
            <w:tcW w:w="3820" w:type="dxa"/>
            <w:vAlign w:val="bottom"/>
          </w:tcPr>
          <w:p>
            <w:pPr>
              <w:spacing w:after="0"/>
              <w:rPr>
                <w:sz w:val="9"/>
                <w:szCs w:val="9"/>
                <w:color w:val="auto"/>
              </w:rPr>
            </w:pPr>
          </w:p>
        </w:tc>
        <w:tc>
          <w:tcPr>
            <w:tcW w:w="6800" w:type="dxa"/>
            <w:vAlign w:val="bottom"/>
          </w:tcPr>
          <w:p>
            <w:pPr>
              <w:ind w:left="1580"/>
              <w:spacing w:after="0" w:line="113" w:lineRule="exact"/>
              <w:rPr>
                <w:sz w:val="20"/>
                <w:szCs w:val="20"/>
                <w:color w:val="auto"/>
              </w:rPr>
            </w:pPr>
            <w:r>
              <w:rPr>
                <w:rFonts w:ascii="Times New Roman" w:cs="Times New Roman" w:eastAsia="Times New Roman" w:hAnsi="Times New Roman"/>
                <w:sz w:val="10"/>
                <w:szCs w:val="10"/>
                <w:color w:val="auto"/>
              </w:rPr>
              <w:t>With respect to Ordinary Shares underlying the Private Warrants, we will not receive any proceeds from such shares except with</w:t>
            </w:r>
          </w:p>
        </w:tc>
      </w:tr>
      <w:tr>
        <w:trPr>
          <w:trHeight w:val="113"/>
        </w:trPr>
        <w:tc>
          <w:tcPr>
            <w:tcW w:w="3820" w:type="dxa"/>
            <w:vAlign w:val="bottom"/>
          </w:tcPr>
          <w:p>
            <w:pPr>
              <w:spacing w:after="0"/>
              <w:rPr>
                <w:sz w:val="9"/>
                <w:szCs w:val="9"/>
                <w:color w:val="auto"/>
              </w:rPr>
            </w:pPr>
          </w:p>
        </w:tc>
        <w:tc>
          <w:tcPr>
            <w:tcW w:w="6800" w:type="dxa"/>
            <w:vAlign w:val="bottom"/>
          </w:tcPr>
          <w:p>
            <w:pPr>
              <w:ind w:left="1580"/>
              <w:spacing w:after="0" w:line="113" w:lineRule="exact"/>
              <w:rPr>
                <w:sz w:val="20"/>
                <w:szCs w:val="20"/>
                <w:color w:val="auto"/>
              </w:rPr>
            </w:pPr>
            <w:r>
              <w:rPr>
                <w:rFonts w:ascii="Times New Roman" w:cs="Times New Roman" w:eastAsia="Times New Roman" w:hAnsi="Times New Roman"/>
                <w:sz w:val="10"/>
                <w:szCs w:val="10"/>
                <w:color w:val="auto"/>
              </w:rPr>
              <w:t>respect to amounts received by us upon exercise of such Private Warrants to the extent such Warrants are exercised for cash. The</w:t>
            </w:r>
          </w:p>
        </w:tc>
      </w:tr>
      <w:tr>
        <w:trPr>
          <w:trHeight w:val="113"/>
        </w:trPr>
        <w:tc>
          <w:tcPr>
            <w:tcW w:w="3820" w:type="dxa"/>
            <w:vAlign w:val="bottom"/>
          </w:tcPr>
          <w:p>
            <w:pPr>
              <w:spacing w:after="0"/>
              <w:rPr>
                <w:sz w:val="9"/>
                <w:szCs w:val="9"/>
                <w:color w:val="auto"/>
              </w:rPr>
            </w:pPr>
          </w:p>
        </w:tc>
        <w:tc>
          <w:tcPr>
            <w:tcW w:w="6800" w:type="dxa"/>
            <w:vAlign w:val="bottom"/>
          </w:tcPr>
          <w:p>
            <w:pPr>
              <w:ind w:left="1580"/>
              <w:spacing w:after="0" w:line="113" w:lineRule="exact"/>
              <w:rPr>
                <w:sz w:val="20"/>
                <w:szCs w:val="20"/>
                <w:color w:val="auto"/>
              </w:rPr>
            </w:pPr>
            <w:r>
              <w:rPr>
                <w:rFonts w:ascii="Times New Roman" w:cs="Times New Roman" w:eastAsia="Times New Roman" w:hAnsi="Times New Roman"/>
                <w:sz w:val="10"/>
                <w:szCs w:val="10"/>
                <w:color w:val="auto"/>
                <w:w w:val="97"/>
              </w:rPr>
              <w:t>Private Warrants are currently out- of-the money. We do not expect warrant holders to exercise their Private Warrants and, therefore,</w:t>
            </w:r>
          </w:p>
        </w:tc>
      </w:tr>
      <w:tr>
        <w:trPr>
          <w:trHeight w:val="111"/>
        </w:trPr>
        <w:tc>
          <w:tcPr>
            <w:tcW w:w="3820" w:type="dxa"/>
            <w:vAlign w:val="bottom"/>
          </w:tcPr>
          <w:p>
            <w:pPr>
              <w:spacing w:after="0"/>
              <w:rPr>
                <w:sz w:val="9"/>
                <w:szCs w:val="9"/>
                <w:color w:val="auto"/>
              </w:rPr>
            </w:pPr>
          </w:p>
        </w:tc>
        <w:tc>
          <w:tcPr>
            <w:tcW w:w="6800" w:type="dxa"/>
            <w:vAlign w:val="bottom"/>
          </w:tcPr>
          <w:p>
            <w:pPr>
              <w:ind w:left="1580"/>
              <w:spacing w:after="0" w:line="111" w:lineRule="exact"/>
              <w:rPr>
                <w:sz w:val="20"/>
                <w:szCs w:val="20"/>
                <w:color w:val="auto"/>
              </w:rPr>
            </w:pPr>
            <w:r>
              <w:rPr>
                <w:rFonts w:ascii="Times New Roman" w:cs="Times New Roman" w:eastAsia="Times New Roman" w:hAnsi="Times New Roman"/>
                <w:sz w:val="10"/>
                <w:szCs w:val="10"/>
                <w:color w:val="auto"/>
                <w:w w:val="98"/>
              </w:rPr>
              <w:t>we do not expect to receive cash proceeds from any such exercise, for so long as the Private Warrants remain out-of-the money. See</w:t>
            </w:r>
          </w:p>
        </w:tc>
      </w:tr>
      <w:tr>
        <w:trPr>
          <w:trHeight w:val="113"/>
        </w:trPr>
        <w:tc>
          <w:tcPr>
            <w:tcW w:w="3820" w:type="dxa"/>
            <w:vAlign w:val="bottom"/>
          </w:tcPr>
          <w:p>
            <w:pPr>
              <w:spacing w:after="0"/>
              <w:rPr>
                <w:sz w:val="9"/>
                <w:szCs w:val="9"/>
                <w:color w:val="auto"/>
              </w:rPr>
            </w:pPr>
          </w:p>
        </w:tc>
        <w:tc>
          <w:tcPr>
            <w:tcW w:w="6800" w:type="dxa"/>
            <w:vAlign w:val="bottom"/>
          </w:tcPr>
          <w:p>
            <w:pPr>
              <w:ind w:left="1580"/>
              <w:spacing w:after="0" w:line="113" w:lineRule="exact"/>
              <w:rPr>
                <w:sz w:val="20"/>
                <w:szCs w:val="20"/>
                <w:color w:val="auto"/>
              </w:rPr>
            </w:pPr>
            <w:r>
              <w:rPr>
                <w:rFonts w:ascii="Times New Roman" w:cs="Times New Roman" w:eastAsia="Times New Roman" w:hAnsi="Times New Roman"/>
                <w:sz w:val="10"/>
                <w:szCs w:val="10"/>
                <w:color w:val="auto"/>
              </w:rPr>
              <w:t xml:space="preserve">the risk factor entitled </w:t>
            </w:r>
            <w:r>
              <w:rPr>
                <w:rFonts w:ascii="Times New Roman" w:cs="Times New Roman" w:eastAsia="Times New Roman" w:hAnsi="Times New Roman"/>
                <w:sz w:val="10"/>
                <w:szCs w:val="10"/>
                <w:i w:val="1"/>
                <w:iCs w:val="1"/>
                <w:color w:val="auto"/>
              </w:rPr>
              <w:t>“There can be no assurance that the Public Warrants will ever be in the money at the time they become</w:t>
            </w:r>
          </w:p>
        </w:tc>
      </w:tr>
      <w:tr>
        <w:trPr>
          <w:trHeight w:val="127"/>
        </w:trPr>
        <w:tc>
          <w:tcPr>
            <w:tcW w:w="3820" w:type="dxa"/>
            <w:vAlign w:val="bottom"/>
          </w:tcPr>
          <w:p>
            <w:pPr>
              <w:spacing w:after="0"/>
              <w:rPr>
                <w:sz w:val="11"/>
                <w:szCs w:val="11"/>
                <w:color w:val="auto"/>
              </w:rPr>
            </w:pPr>
          </w:p>
        </w:tc>
        <w:tc>
          <w:tcPr>
            <w:tcW w:w="6800" w:type="dxa"/>
            <w:vAlign w:val="bottom"/>
          </w:tcPr>
          <w:p>
            <w:pPr>
              <w:ind w:left="1580"/>
              <w:spacing w:after="0"/>
              <w:rPr>
                <w:sz w:val="20"/>
                <w:szCs w:val="20"/>
                <w:color w:val="auto"/>
              </w:rPr>
            </w:pPr>
            <w:r>
              <w:rPr>
                <w:rFonts w:ascii="Times New Roman" w:cs="Times New Roman" w:eastAsia="Times New Roman" w:hAnsi="Times New Roman"/>
                <w:sz w:val="10"/>
                <w:szCs w:val="10"/>
                <w:i w:val="1"/>
                <w:iCs w:val="1"/>
                <w:color w:val="auto"/>
              </w:rPr>
              <w:t xml:space="preserve">exercisable or otherwise, and they may expire worthless” </w:t>
            </w:r>
            <w:r>
              <w:rPr>
                <w:rFonts w:ascii="Times New Roman" w:cs="Times New Roman" w:eastAsia="Times New Roman" w:hAnsi="Times New Roman"/>
                <w:sz w:val="10"/>
                <w:szCs w:val="10"/>
                <w:color w:val="auto"/>
              </w:rPr>
              <w:t>for more information.</w:t>
            </w:r>
          </w:p>
        </w:tc>
      </w:tr>
      <w:tr>
        <w:trPr>
          <w:trHeight w:val="240"/>
        </w:trPr>
        <w:tc>
          <w:tcPr>
            <w:tcW w:w="3820" w:type="dxa"/>
            <w:vAlign w:val="bottom"/>
          </w:tcPr>
          <w:p>
            <w:pPr>
              <w:spacing w:after="0"/>
              <w:rPr>
                <w:sz w:val="20"/>
                <w:szCs w:val="20"/>
                <w:color w:val="auto"/>
              </w:rPr>
            </w:pPr>
          </w:p>
        </w:tc>
        <w:tc>
          <w:tcPr>
            <w:tcW w:w="6800" w:type="dxa"/>
            <w:vAlign w:val="bottom"/>
          </w:tcPr>
          <w:p>
            <w:pPr>
              <w:ind w:left="1440"/>
              <w:spacing w:after="0"/>
              <w:rPr>
                <w:sz w:val="20"/>
                <w:szCs w:val="20"/>
                <w:color w:val="auto"/>
              </w:rPr>
            </w:pPr>
            <w:r>
              <w:rPr>
                <w:rFonts w:ascii="Times New Roman" w:cs="Times New Roman" w:eastAsia="Times New Roman" w:hAnsi="Times New Roman"/>
                <w:sz w:val="10"/>
                <w:szCs w:val="10"/>
                <w:color w:val="auto"/>
              </w:rPr>
              <w:t>10</w:t>
            </w:r>
          </w:p>
        </w:tc>
      </w:tr>
      <w:tr>
        <w:trPr>
          <w:trHeight w:val="422"/>
        </w:trPr>
        <w:tc>
          <w:tcPr>
            <w:tcW w:w="3820" w:type="dxa"/>
            <w:vAlign w:val="bottom"/>
            <w:tcBorders>
              <w:bottom w:val="single" w:sz="8" w:color="EEEEEE"/>
            </w:tcBorders>
          </w:tcPr>
          <w:p>
            <w:pPr>
              <w:spacing w:after="0"/>
              <w:rPr>
                <w:sz w:val="24"/>
                <w:szCs w:val="24"/>
                <w:color w:val="auto"/>
              </w:rPr>
            </w:pPr>
          </w:p>
        </w:tc>
        <w:tc>
          <w:tcPr>
            <w:tcW w:w="68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15"/>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Lock-up agreements</w:t>
            </w:r>
          </w:p>
        </w:tc>
        <w:tc>
          <w:tcPr>
            <w:tcW w:w="728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Certain securities that are owned by the Selling Holders are subject to the lock-up provisions pursuant to the Investor Rights</w:t>
            </w:r>
          </w:p>
        </w:tc>
      </w:tr>
      <w:tr>
        <w:trPr>
          <w:trHeight w:val="113"/>
        </w:trPr>
        <w:tc>
          <w:tcPr>
            <w:tcW w:w="3340" w:type="dxa"/>
            <w:vAlign w:val="bottom"/>
          </w:tcPr>
          <w:p>
            <w:pPr>
              <w:spacing w:after="0"/>
              <w:rPr>
                <w:sz w:val="9"/>
                <w:szCs w:val="9"/>
                <w:color w:val="auto"/>
              </w:rPr>
            </w:pPr>
          </w:p>
        </w:tc>
        <w:tc>
          <w:tcPr>
            <w:tcW w:w="7280" w:type="dxa"/>
            <w:vAlign w:val="bottom"/>
          </w:tcPr>
          <w:p>
            <w:pPr>
              <w:ind w:left="2060"/>
              <w:spacing w:after="0" w:line="113" w:lineRule="exact"/>
              <w:rPr>
                <w:sz w:val="20"/>
                <w:szCs w:val="20"/>
                <w:color w:val="auto"/>
              </w:rPr>
            </w:pPr>
            <w:r>
              <w:rPr>
                <w:rFonts w:ascii="Times New Roman" w:cs="Times New Roman" w:eastAsia="Times New Roman" w:hAnsi="Times New Roman"/>
                <w:sz w:val="10"/>
                <w:szCs w:val="10"/>
                <w:color w:val="auto"/>
              </w:rPr>
              <w:t>Agreement, which provide for certain restrictions on transfer until the termination of applicable lock-up periods. See the Investor</w:t>
            </w:r>
          </w:p>
        </w:tc>
      </w:tr>
      <w:tr>
        <w:trPr>
          <w:trHeight w:val="125"/>
        </w:trPr>
        <w:tc>
          <w:tcPr>
            <w:tcW w:w="3340" w:type="dxa"/>
            <w:vAlign w:val="bottom"/>
          </w:tcPr>
          <w:p>
            <w:pPr>
              <w:spacing w:after="0"/>
              <w:rPr>
                <w:sz w:val="10"/>
                <w:szCs w:val="10"/>
                <w:color w:val="auto"/>
              </w:rPr>
            </w:pPr>
          </w:p>
        </w:tc>
        <w:tc>
          <w:tcPr>
            <w:tcW w:w="728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Rights Agreement, which is filed as an exhibit to the registration statement of which this prospectus forms a part.</w:t>
            </w:r>
          </w:p>
        </w:tc>
      </w:tr>
      <w:tr>
        <w:trPr>
          <w:trHeight w:val="175"/>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Risk factors</w:t>
            </w:r>
          </w:p>
        </w:tc>
        <w:tc>
          <w:tcPr>
            <w:tcW w:w="7280" w:type="dxa"/>
            <w:vAlign w:val="bottom"/>
          </w:tcPr>
          <w:p>
            <w:pPr>
              <w:ind w:left="2060"/>
              <w:spacing w:after="0"/>
              <w:rPr>
                <w:sz w:val="20"/>
                <w:szCs w:val="20"/>
                <w:color w:val="auto"/>
              </w:rPr>
            </w:pPr>
            <w:r>
              <w:rPr>
                <w:rFonts w:ascii="Times New Roman" w:cs="Times New Roman" w:eastAsia="Times New Roman" w:hAnsi="Times New Roman"/>
                <w:sz w:val="10"/>
                <w:szCs w:val="10"/>
                <w:color w:val="auto"/>
                <w:w w:val="98"/>
              </w:rPr>
              <w:t xml:space="preserve">See the section titled </w:t>
            </w:r>
            <w:r>
              <w:rPr>
                <w:rFonts w:ascii="Times New Roman" w:cs="Times New Roman" w:eastAsia="Times New Roman" w:hAnsi="Times New Roman"/>
                <w:sz w:val="10"/>
                <w:szCs w:val="10"/>
                <w:i w:val="1"/>
                <w:iCs w:val="1"/>
                <w:color w:val="auto"/>
                <w:w w:val="98"/>
              </w:rPr>
              <w:t>“Risk Factors”</w:t>
            </w:r>
            <w:r>
              <w:rPr>
                <w:rFonts w:ascii="Times New Roman" w:cs="Times New Roman" w:eastAsia="Times New Roman" w:hAnsi="Times New Roman"/>
                <w:sz w:val="10"/>
                <w:szCs w:val="10"/>
                <w:color w:val="auto"/>
                <w:w w:val="98"/>
              </w:rPr>
              <w:t xml:space="preserve"> beginning on page 12 of this prospectus and other information included in this prospectus for a</w:t>
            </w:r>
          </w:p>
        </w:tc>
      </w:tr>
      <w:tr>
        <w:trPr>
          <w:trHeight w:val="125"/>
        </w:trPr>
        <w:tc>
          <w:tcPr>
            <w:tcW w:w="3340" w:type="dxa"/>
            <w:vAlign w:val="bottom"/>
          </w:tcPr>
          <w:p>
            <w:pPr>
              <w:spacing w:after="0"/>
              <w:rPr>
                <w:sz w:val="10"/>
                <w:szCs w:val="10"/>
                <w:color w:val="auto"/>
              </w:rPr>
            </w:pPr>
          </w:p>
        </w:tc>
        <w:tc>
          <w:tcPr>
            <w:tcW w:w="728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discussion of factors that you should consider carefully before deciding to invest in Ordinary Shares and Warrants.</w:t>
            </w:r>
          </w:p>
        </w:tc>
      </w:tr>
      <w:tr>
        <w:trPr>
          <w:trHeight w:val="188"/>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Nasdaq symbol for Ordinary Shares</w:t>
            </w:r>
          </w:p>
        </w:tc>
        <w:tc>
          <w:tcPr>
            <w:tcW w:w="728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“RZLV.”</w:t>
            </w:r>
          </w:p>
        </w:tc>
      </w:tr>
      <w:tr>
        <w:trPr>
          <w:trHeight w:val="188"/>
        </w:trPr>
        <w:tc>
          <w:tcPr>
            <w:tcW w:w="3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Nasdaq symbol for our warrants</w:t>
            </w:r>
          </w:p>
        </w:tc>
        <w:tc>
          <w:tcPr>
            <w:tcW w:w="728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“RZLVW.”</w:t>
            </w:r>
          </w:p>
        </w:tc>
      </w:tr>
      <w:tr>
        <w:trPr>
          <w:trHeight w:val="240"/>
        </w:trPr>
        <w:tc>
          <w:tcPr>
            <w:tcW w:w="3340" w:type="dxa"/>
            <w:vAlign w:val="bottom"/>
          </w:tcPr>
          <w:p>
            <w:pPr>
              <w:spacing w:after="0"/>
              <w:rPr>
                <w:sz w:val="20"/>
                <w:szCs w:val="20"/>
                <w:color w:val="auto"/>
              </w:rPr>
            </w:pPr>
          </w:p>
        </w:tc>
        <w:tc>
          <w:tcPr>
            <w:tcW w:w="7280" w:type="dxa"/>
            <w:vAlign w:val="bottom"/>
          </w:tcPr>
          <w:p>
            <w:pPr>
              <w:ind w:left="1920"/>
              <w:spacing w:after="0"/>
              <w:rPr>
                <w:sz w:val="20"/>
                <w:szCs w:val="20"/>
                <w:color w:val="auto"/>
              </w:rPr>
            </w:pPr>
            <w:r>
              <w:rPr>
                <w:rFonts w:ascii="Times New Roman" w:cs="Times New Roman" w:eastAsia="Times New Roman" w:hAnsi="Times New Roman"/>
                <w:sz w:val="10"/>
                <w:szCs w:val="10"/>
                <w:color w:val="auto"/>
              </w:rPr>
              <w:t>11</w:t>
            </w:r>
          </w:p>
        </w:tc>
      </w:tr>
      <w:tr>
        <w:trPr>
          <w:trHeight w:val="422"/>
        </w:trPr>
        <w:tc>
          <w:tcPr>
            <w:tcW w:w="3340" w:type="dxa"/>
            <w:vAlign w:val="bottom"/>
            <w:tcBorders>
              <w:bottom w:val="single" w:sz="8" w:color="EEEEEE"/>
            </w:tcBorders>
          </w:tcPr>
          <w:p>
            <w:pPr>
              <w:spacing w:after="0"/>
              <w:rPr>
                <w:sz w:val="24"/>
                <w:szCs w:val="24"/>
                <w:color w:val="auto"/>
              </w:rPr>
            </w:pPr>
          </w:p>
        </w:tc>
        <w:tc>
          <w:tcPr>
            <w:tcW w:w="72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15" w:right="6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9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Our Business and Industry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also fail to attract new partners and retain existing partners as a result of a number of other factors, including</w:t>
      </w:r>
    </w:p>
    <w:p>
      <w:pPr>
        <w:spacing w:after="0" w:line="58" w:lineRule="exact"/>
        <w:rPr>
          <w:sz w:val="20"/>
          <w:szCs w:val="20"/>
          <w:color w:val="auto"/>
        </w:rPr>
      </w:pPr>
    </w:p>
    <w:p>
      <w:pPr>
        <w:ind w:left="480" w:right="620"/>
        <w:spacing w:after="0" w:line="360" w:lineRule="auto"/>
        <w:rPr>
          <w:sz w:val="20"/>
          <w:szCs w:val="20"/>
          <w:color w:val="auto"/>
        </w:rPr>
      </w:pPr>
      <w:r>
        <w:rPr>
          <w:rFonts w:ascii="Times New Roman" w:cs="Times New Roman" w:eastAsia="Times New Roman" w:hAnsi="Times New Roman"/>
          <w:sz w:val="10"/>
          <w:szCs w:val="10"/>
          <w:color w:val="auto"/>
        </w:rPr>
        <w:t>•competitive factors affecting the software as a service, or SaaS, business software applications market, including the introduction of competing platforms, discount pricing and other strategies that may be implemented by Rezolve’s competitors; •Rezolve’s ability to execute on Rezolve’s growth strategy and operating plans;</w:t>
      </w:r>
    </w:p>
    <w:p>
      <w:pPr>
        <w:ind w:left="480"/>
        <w:spacing w:after="0"/>
        <w:rPr>
          <w:sz w:val="20"/>
          <w:szCs w:val="20"/>
          <w:color w:val="auto"/>
        </w:rPr>
      </w:pPr>
      <w:r>
        <w:rPr>
          <w:rFonts w:ascii="Times New Roman" w:cs="Times New Roman" w:eastAsia="Times New Roman" w:hAnsi="Times New Roman"/>
          <w:sz w:val="10"/>
          <w:szCs w:val="10"/>
          <w:color w:val="auto"/>
        </w:rPr>
        <w:t>•a decline in Rezolve’s partners’ level of satisfaction with Rezolve’s platform and usage of Rezolve’s platform;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Rezolve’s relationships with third parties, including Rezolve’s partners, app developers, theme designers, referral sources and payment processors;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timeliness and success of Rezolve’s solutions;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frequency and severity of any system outages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•technological change; and</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an early-stage company with a history of financial losses and expects to incur significant expenses and continuing losses for the foreseeable future.</w:t>
      </w:r>
    </w:p>
    <w:p>
      <w:pPr>
        <w:spacing w:after="0" w:line="60" w:lineRule="exact"/>
        <w:rPr>
          <w:sz w:val="20"/>
          <w:szCs w:val="20"/>
          <w:color w:val="auto"/>
        </w:rPr>
      </w:pPr>
    </w:p>
    <w:p>
      <w:pPr>
        <w:ind w:right="60" w:firstLine="480"/>
        <w:spacing w:after="0" w:line="273" w:lineRule="auto"/>
        <w:rPr>
          <w:sz w:val="20"/>
          <w:szCs w:val="20"/>
          <w:color w:val="auto"/>
        </w:rPr>
      </w:pPr>
      <w:r>
        <w:rPr>
          <w:rFonts w:ascii="Times New Roman" w:cs="Times New Roman" w:eastAsia="Times New Roman" w:hAnsi="Times New Roman"/>
          <w:sz w:val="9"/>
          <w:szCs w:val="9"/>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 w:name="page23"/>
    <w:bookmarkEnd w:id="22"/>
    <w:p>
      <w:pPr>
        <w:ind w:right="20"/>
        <w:spacing w:after="0" w:line="245" w:lineRule="auto"/>
        <w:rPr>
          <w:sz w:val="20"/>
          <w:szCs w:val="20"/>
          <w:color w:val="auto"/>
        </w:rPr>
      </w:pPr>
      <w:r>
        <w:rPr>
          <w:rFonts w:ascii="Times New Roman" w:cs="Times New Roman" w:eastAsia="Times New Roman" w:hAnsi="Times New Roman"/>
          <w:sz w:val="10"/>
          <w:szCs w:val="10"/>
          <w:color w:val="auto"/>
        </w:rPr>
        <w:t>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60" w:lineRule="exact"/>
        <w:rPr>
          <w:sz w:val="20"/>
          <w:szCs w:val="20"/>
          <w:color w:val="auto"/>
        </w:rPr>
      </w:pPr>
    </w:p>
    <w:p>
      <w:pPr>
        <w:ind w:right="20" w:firstLine="480"/>
        <w:spacing w:after="0" w:line="270" w:lineRule="auto"/>
        <w:rPr>
          <w:sz w:val="20"/>
          <w:szCs w:val="20"/>
          <w:color w:val="auto"/>
        </w:rPr>
      </w:pPr>
      <w:r>
        <w:rPr>
          <w:rFonts w:ascii="Times New Roman" w:cs="Times New Roman" w:eastAsia="Times New Roman" w:hAnsi="Times New Roman"/>
          <w:sz w:val="9"/>
          <w:szCs w:val="9"/>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96"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growth depends in part on the success of its strategic relationships with third parties.</w:t>
      </w:r>
    </w:p>
    <w:p>
      <w:pPr>
        <w:spacing w:after="0" w:line="60"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9"/>
          <w:szCs w:val="9"/>
          <w:color w:val="auto"/>
        </w:rPr>
        <w:t>Rezolve anticipates that the growth of its business will continue to depend on third -party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3" w:name="page24"/>
    <w:bookmarkEnd w:id="23"/>
    <w:p>
      <w:pPr>
        <w:ind w:right="80"/>
        <w:spacing w:after="0" w:line="255" w:lineRule="auto"/>
        <w:rPr>
          <w:sz w:val="20"/>
          <w:szCs w:val="20"/>
          <w:color w:val="auto"/>
        </w:rPr>
      </w:pPr>
      <w:r>
        <w:rPr>
          <w:rFonts w:ascii="Times New Roman" w:cs="Times New Roman" w:eastAsia="Times New Roman" w:hAnsi="Times New Roman"/>
          <w:sz w:val="10"/>
          <w:szCs w:val="10"/>
          <w:color w:val="auto"/>
        </w:rPr>
        <w:t>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15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39"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05"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could be harmed if it fails to manage its growth effectively.</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08"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4" w:name="page25"/>
    <w:bookmarkEnd w:id="24"/>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16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39"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existing and new market business development;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new software development activity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•competition, including from established and future competitors;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manage its growth;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•whether Rezolve can manage relationships with business partners and key customers;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retain existing key management, integrate recent hires and attract, retain and motivate qualified personnel;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overall strength and stability of domestic and international economies.</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As a result of Rezolve’s business model, it may not be able to accurately assess its financial position and results of operations.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color w:val="auto"/>
        </w:rPr>
        <w:t>over the applicable subscription term. These factors may have an adverse effect on Rezolve’s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is susceptible to risks associated with international sales and the use of its platform in various countries.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international sales and the use of its platform in various countries subject Rezolve to risks that include, but are not limited to:</w:t>
      </w:r>
    </w:p>
    <w:p>
      <w:pPr>
        <w:spacing w:after="0" w:line="58" w:lineRule="exact"/>
        <w:rPr>
          <w:sz w:val="20"/>
          <w:szCs w:val="20"/>
          <w:color w:val="auto"/>
        </w:rPr>
      </w:pPr>
    </w:p>
    <w:p>
      <w:pPr>
        <w:ind w:left="480" w:right="2120"/>
        <w:spacing w:after="0" w:line="360" w:lineRule="auto"/>
        <w:rPr>
          <w:sz w:val="20"/>
          <w:szCs w:val="20"/>
          <w:color w:val="auto"/>
        </w:rPr>
      </w:pPr>
      <w:r>
        <w:rPr>
          <w:rFonts w:ascii="Times New Roman" w:cs="Times New Roman" w:eastAsia="Times New Roman" w:hAnsi="Times New Roman"/>
          <w:sz w:val="10"/>
          <w:szCs w:val="10"/>
          <w:color w:val="auto"/>
        </w:rPr>
        <w:t>•lack of familiarity and burdens and complexity involved with complying with multiple, conflicting and changing foreign laws, standards, regulatory requirements, tariffs, export controls and other barriers; •difficulties in ensuring compliance with countries’ multiple, conflicting and changing international trade, customs and sanctions laws;</w:t>
      </w:r>
    </w:p>
    <w:p>
      <w:pPr>
        <w:ind w:left="480"/>
        <w:spacing w:after="0"/>
        <w:rPr>
          <w:sz w:val="20"/>
          <w:szCs w:val="20"/>
          <w:color w:val="auto"/>
        </w:rPr>
      </w:pPr>
      <w:r>
        <w:rPr>
          <w:rFonts w:ascii="Times New Roman" w:cs="Times New Roman" w:eastAsia="Times New Roman" w:hAnsi="Times New Roman"/>
          <w:sz w:val="9"/>
          <w:szCs w:val="9"/>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•difficulties in managing systems integrators and technology partners;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•differing technology standards;</w:t>
      </w:r>
    </w:p>
    <w:p>
      <w:pPr>
        <w:spacing w:after="0" w:line="58" w:lineRule="exact"/>
        <w:rPr>
          <w:sz w:val="20"/>
          <w:szCs w:val="20"/>
          <w:color w:val="auto"/>
        </w:rPr>
      </w:pPr>
    </w:p>
    <w:p>
      <w:pPr>
        <w:ind w:left="480" w:right="3800"/>
        <w:spacing w:after="0" w:line="360" w:lineRule="auto"/>
        <w:rPr>
          <w:sz w:val="20"/>
          <w:szCs w:val="20"/>
          <w:color w:val="auto"/>
        </w:rPr>
      </w:pPr>
      <w:r>
        <w:rPr>
          <w:rFonts w:ascii="Times New Roman" w:cs="Times New Roman" w:eastAsia="Times New Roman" w:hAnsi="Times New Roman"/>
          <w:sz w:val="10"/>
          <w:szCs w:val="10"/>
          <w:color w:val="auto"/>
        </w:rPr>
        <w:t>•potentially adverse tax consequences, including the complexities of foreign value added tax (or other tax) systems and restrictions on the repatriation of earnings; •greater difficulty in enforcing contracts, including Rezolve’s universal terms of service and other agreements;</w:t>
      </w:r>
    </w:p>
    <w:p>
      <w:pPr>
        <w:ind w:left="480"/>
        <w:spacing w:after="0" w:line="255" w:lineRule="auto"/>
        <w:rPr>
          <w:sz w:val="20"/>
          <w:szCs w:val="20"/>
          <w:color w:val="auto"/>
        </w:rPr>
      </w:pPr>
      <w:r>
        <w:rPr>
          <w:rFonts w:ascii="Times New Roman" w:cs="Times New Roman" w:eastAsia="Times New Roman" w:hAnsi="Times New Roman"/>
          <w:sz w:val="10"/>
          <w:szCs w:val="10"/>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•currency exchange rates;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•reduced or uncertain protection for intellectual property rights in some countries;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•new and different sources of competition.</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15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39"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1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b w:val="1"/>
          <w:bCs w:val="1"/>
          <w:i w:val="1"/>
          <w:iCs w:val="1"/>
          <w:color w:val="auto"/>
        </w:rPr>
        <w:t>Exchange rate fluctuations may negatively affect Rezolve’s results of operations.</w:t>
      </w:r>
    </w:p>
    <w:p>
      <w:pPr>
        <w:spacing w:after="0" w:line="60" w:lineRule="exact"/>
        <w:rPr>
          <w:sz w:val="20"/>
          <w:szCs w:val="20"/>
          <w:color w:val="auto"/>
        </w:rPr>
      </w:pPr>
    </w:p>
    <w:p>
      <w:pPr>
        <w:ind w:right="160" w:firstLine="480"/>
        <w:spacing w:after="0" w:line="310" w:lineRule="auto"/>
        <w:rPr>
          <w:sz w:val="20"/>
          <w:szCs w:val="20"/>
          <w:color w:val="auto"/>
        </w:rPr>
      </w:pPr>
      <w:r>
        <w:rPr>
          <w:rFonts w:ascii="Times New Roman" w:cs="Times New Roman" w:eastAsia="Times New Roman" w:hAnsi="Times New Roman"/>
          <w:sz w:val="9"/>
          <w:szCs w:val="9"/>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operating results are expected to be subject to seasonal fluctuations.</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01" w:lineRule="exact"/>
        <w:rPr>
          <w:sz w:val="20"/>
          <w:szCs w:val="20"/>
          <w:color w:val="auto"/>
        </w:rPr>
      </w:pPr>
    </w:p>
    <w:p>
      <w:pPr>
        <w:ind w:right="240" w:firstLine="480"/>
        <w:spacing w:after="0" w:line="239" w:lineRule="auto"/>
        <w:rPr>
          <w:sz w:val="20"/>
          <w:szCs w:val="20"/>
          <w:color w:val="auto"/>
        </w:rPr>
      </w:pPr>
      <w:r>
        <w:rPr>
          <w:rFonts w:ascii="Times New Roman" w:cs="Times New Roman" w:eastAsia="Times New Roman" w:hAnsi="Times New Roman"/>
          <w:sz w:val="10"/>
          <w:szCs w:val="10"/>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not be able to compete successfully against current and future competitors.</w:t>
      </w:r>
    </w:p>
    <w:p>
      <w:pPr>
        <w:spacing w:after="0" w:line="60"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become subject to a number of risks related to payments processed through Instant Buy, including: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payment of interchange and other fees, which may increase Rezolve’s operating expenses;</w:t>
      </w:r>
    </w:p>
    <w:p>
      <w:pPr>
        <w:spacing w:after="0" w:line="58" w:lineRule="exact"/>
        <w:rPr>
          <w:sz w:val="20"/>
          <w:szCs w:val="20"/>
          <w:color w:val="auto"/>
        </w:rPr>
      </w:pPr>
    </w:p>
    <w:p>
      <w:pPr>
        <w:ind w:left="480" w:right="3360"/>
        <w:spacing w:after="0" w:line="360" w:lineRule="auto"/>
        <w:rPr>
          <w:sz w:val="20"/>
          <w:szCs w:val="20"/>
          <w:color w:val="auto"/>
        </w:rPr>
      </w:pPr>
      <w:r>
        <w:rPr>
          <w:rFonts w:ascii="Times New Roman" w:cs="Times New Roman" w:eastAsia="Times New Roman" w:hAnsi="Times New Roman"/>
          <w:sz w:val="10"/>
          <w:szCs w:val="10"/>
          <w:color w:val="auto"/>
        </w:rPr>
        <w:t>•if Rezolve is unable to maintain its chargeback rate at acceptable levels, its credit card fees may increase or credit card issuers may terminate their relationship with Rezolve; •increased costs and diversion of management time and effort and other resources to deal with fraudulent transactions or chargeback disputes; •potential fraudulent or otherwise illegal activity by merchants, their customers, developers, employees or third parties;</w:t>
      </w:r>
    </w:p>
    <w:p>
      <w:pPr>
        <w:ind w:left="480"/>
        <w:spacing w:after="0"/>
        <w:rPr>
          <w:sz w:val="20"/>
          <w:szCs w:val="20"/>
          <w:color w:val="auto"/>
        </w:rPr>
      </w:pPr>
      <w:r>
        <w:rPr>
          <w:rFonts w:ascii="Times New Roman" w:cs="Times New Roman" w:eastAsia="Times New Roman" w:hAnsi="Times New Roman"/>
          <w:sz w:val="10"/>
          <w:szCs w:val="10"/>
          <w:color w:val="auto"/>
        </w:rPr>
        <w:t>•restrictions on funds or required reserves related to payments;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•additional disclosure and other requirements, including new reporting regulations and new credit card association rules.</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3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•diversion of management time and focus from operating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•use of resources that are needed in other areas of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implementation or remediation of controls, procedures and policies of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difficulty integrating the accounting systems and operations of the acquired company, including potential risks to Rezolve’s corporate culture;</w:t>
      </w:r>
    </w:p>
    <w:p>
      <w:pPr>
        <w:spacing w:after="0" w:line="58" w:lineRule="exact"/>
        <w:rPr>
          <w:sz w:val="20"/>
          <w:szCs w:val="20"/>
          <w:color w:val="auto"/>
        </w:rPr>
      </w:pPr>
    </w:p>
    <w:p>
      <w:pPr>
        <w:ind w:left="480" w:right="80"/>
        <w:spacing w:after="0" w:line="255" w:lineRule="auto"/>
        <w:rPr>
          <w:sz w:val="20"/>
          <w:szCs w:val="20"/>
          <w:color w:val="auto"/>
        </w:rPr>
      </w:pPr>
      <w:r>
        <w:rPr>
          <w:rFonts w:ascii="Times New Roman" w:cs="Times New Roman" w:eastAsia="Times New Roman" w:hAnsi="Times New Roman"/>
          <w:sz w:val="10"/>
          <w:szCs w:val="10"/>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8" w:name="page29"/>
    <w:bookmarkEnd w:id="28"/>
    <w:p>
      <w:pPr>
        <w:ind w:left="480"/>
        <w:spacing w:after="0"/>
        <w:rPr>
          <w:sz w:val="20"/>
          <w:szCs w:val="20"/>
          <w:color w:val="auto"/>
        </w:rPr>
      </w:pPr>
      <w:r>
        <w:rPr>
          <w:rFonts w:ascii="Times New Roman" w:cs="Times New Roman" w:eastAsia="Times New Roman" w:hAnsi="Times New Roman"/>
          <w:sz w:val="10"/>
          <w:szCs w:val="10"/>
          <w:color w:val="auto"/>
        </w:rPr>
        <w:t>•in the case of an acquisition, retention and integration of employees from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•unforeseen costs or liabilities;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•adverse effects to Rezolve’s existing business relationships with partners and merchants as a result of the acquisition or investment;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possibility of adverse tax consequences;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•litigation or other claims arising in connection with the acquired company or investment;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18"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the availability of Rezolve’s platform does not meet its service-level commitments to customers, Rezolve’s current and future revenues may be negatively impacted.</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Rezolve typically commits to its customers that its platform will maintain a minimum service -level of availability. If Rezolve is unable to meet these commitments, Rezolve may be obligated to provide customers with additional capacity, which could significantly affect its revenues. Further, any failure to meet its service -level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intend to pay dividends for the foreseeable future.</w:t>
      </w:r>
    </w:p>
    <w:p>
      <w:pPr>
        <w:spacing w:after="0" w:line="6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1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39"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b w:val="1"/>
          <w:bCs w:val="1"/>
          <w:i w:val="1"/>
          <w:iCs w:val="1"/>
          <w:color w:val="auto"/>
        </w:rPr>
        <w:t>A regional or global health pandemic, including the global COVID-19 pandemic, may adversely impact Rezolve’s business, results of operations and financial performance.</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 regional or global health pandemic, depending upon its duration and severity, could have a material adverse effect on our business. For example, in March 2020, the World Health Organization characterized COVID -19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section.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is unable to hire, retain and motivate qualified personnel, its business will be adversely affected.</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depends, in part, on its ability to continue to attract and retain highly skilled personnel. The inability to attract or retain qualified personnel or delays in hiring required personnel may seriously harmRezolve’s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expects to be dependent upon consumers’ and merchants’ willingness to use the internet and internet-enabled mobile devices for commerce.</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b w:val="1"/>
          <w:bCs w:val="1"/>
          <w:color w:val="auto"/>
        </w:rPr>
        <w:t>Risks related to Rezolve’s Software, Platform, and Security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1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Rezolve’s platform and systems may be subject to distributed denial-of-service (“</w:t>
      </w:r>
      <w:r>
        <w:rPr>
          <w:rFonts w:ascii="Times New Roman" w:cs="Times New Roman" w:eastAsia="Times New Roman" w:hAnsi="Times New Roman"/>
          <w:sz w:val="10"/>
          <w:szCs w:val="10"/>
          <w:b w:val="1"/>
          <w:bCs w:val="1"/>
          <w:i w:val="1"/>
          <w:iCs w:val="1"/>
          <w:color w:val="auto"/>
        </w:rPr>
        <w:t>DDoS</w:t>
      </w:r>
      <w:r>
        <w:rPr>
          <w:rFonts w:ascii="Times New Roman" w:cs="Times New Roman" w:eastAsia="Times New Roman" w:hAnsi="Times New Roman"/>
          <w:sz w:val="10"/>
          <w:szCs w:val="10"/>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 -party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1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uses a limited number of data centers to deliver its services. Any disruption of service at these facilities could harm Rezolve’s business.</w:t>
      </w:r>
    </w:p>
    <w:p>
      <w:pPr>
        <w:spacing w:after="0" w:line="60" w:lineRule="exact"/>
        <w:rPr>
          <w:sz w:val="20"/>
          <w:szCs w:val="20"/>
          <w:color w:val="auto"/>
        </w:rPr>
      </w:pPr>
    </w:p>
    <w:p>
      <w:pPr>
        <w:ind w:right="40" w:firstLine="480"/>
        <w:spacing w:after="0" w:line="238" w:lineRule="auto"/>
        <w:rPr>
          <w:sz w:val="20"/>
          <w:szCs w:val="20"/>
          <w:color w:val="auto"/>
        </w:rPr>
      </w:pPr>
      <w:r>
        <w:rPr>
          <w:rFonts w:ascii="Times New Roman" w:cs="Times New Roman" w:eastAsia="Times New Roman" w:hAnsi="Times New Roman"/>
          <w:sz w:val="10"/>
          <w:szCs w:val="10"/>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16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39" w:lineRule="exact"/>
        <w:rPr>
          <w:sz w:val="20"/>
          <w:szCs w:val="20"/>
          <w:color w:val="auto"/>
        </w:rPr>
      </w:pPr>
    </w:p>
    <w:p>
      <w:pPr>
        <w:ind w:right="40" w:firstLine="480"/>
        <w:spacing w:after="0" w:line="285" w:lineRule="auto"/>
        <w:rPr>
          <w:sz w:val="20"/>
          <w:szCs w:val="20"/>
          <w:color w:val="auto"/>
        </w:rPr>
      </w:pPr>
      <w:r>
        <w:rPr>
          <w:rFonts w:ascii="Times New Roman" w:cs="Times New Roman" w:eastAsia="Times New Roman" w:hAnsi="Times New Roman"/>
          <w:sz w:val="9"/>
          <w:szCs w:val="9"/>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relies on computer hardware, purchased or leased, and software licensed from and services rendered by third parties in order to provide its solutions and run its business.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does not or cannot maintain the compatibility of its platform with third-party applications that its customers use in their businesses, Rezolve’s revenues will decline.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33" w:name="page34"/>
    <w:bookmarkEnd w:id="33"/>
    <w:p>
      <w:pPr>
        <w:ind w:right="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39" w:lineRule="exact"/>
        <w:rPr>
          <w:sz w:val="20"/>
          <w:szCs w:val="20"/>
          <w:color w:val="auto"/>
        </w:rPr>
      </w:pPr>
    </w:p>
    <w:p>
      <w:pPr>
        <w:ind w:right="340" w:firstLine="480"/>
        <w:spacing w:after="0" w:line="245" w:lineRule="auto"/>
        <w:rPr>
          <w:sz w:val="20"/>
          <w:szCs w:val="20"/>
          <w:color w:val="auto"/>
        </w:rPr>
      </w:pPr>
      <w:r>
        <w:rPr>
          <w:rFonts w:ascii="Times New Roman" w:cs="Times New Roman" w:eastAsia="Times New Roman" w:hAnsi="Times New Roman"/>
          <w:sz w:val="10"/>
          <w:szCs w:val="10"/>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06"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0"/>
          <w:szCs w:val="10"/>
          <w:b w:val="1"/>
          <w:bCs w:val="1"/>
          <w:i w:val="1"/>
          <w:iCs w:val="1"/>
          <w:color w:val="auto"/>
        </w:rPr>
        <w:t>European Data</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 xml:space="preserve">Protection Laws </w:t>
      </w:r>
      <w:r>
        <w:rPr>
          <w:rFonts w:ascii="Times New Roman" w:cs="Times New Roman" w:eastAsia="Times New Roman" w:hAnsi="Times New Roman"/>
          <w:sz w:val="10"/>
          <w:szCs w:val="10"/>
          <w:color w:val="auto"/>
        </w:rPr>
        <w:t>”). European Data Protection Laws regulate the collection, use and other processing of personal data, and impose requirements in connection with such processing that often are more restrictive than in other jurisdictions. For example, European Data</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06"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9"/>
          <w:szCs w:val="9"/>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 -compliance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34" w:name="page35"/>
    <w:bookmarkEnd w:id="34"/>
    <w:p>
      <w:pPr>
        <w:ind w:firstLine="480"/>
        <w:spacing w:after="0" w:line="267" w:lineRule="auto"/>
        <w:rPr>
          <w:sz w:val="20"/>
          <w:szCs w:val="20"/>
          <w:color w:val="auto"/>
        </w:rPr>
      </w:pPr>
      <w:r>
        <w:rPr>
          <w:rFonts w:ascii="Times New Roman" w:cs="Times New Roman" w:eastAsia="Times New Roman" w:hAnsi="Times New Roman"/>
          <w:sz w:val="9"/>
          <w:szCs w:val="9"/>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Rezolve’s Brand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brand is important to its success. If Rezolve fails to effectively maintain, promote and enhance Rezolve’s brand, Rezolve’s business and competitive advantage may be harmed.</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Activities of merchants or the content of their shops could damage Rezolve’s brand, subject Rezolve to liability and harm its business and financial results.</w:t>
      </w:r>
    </w:p>
    <w:p>
      <w:pPr>
        <w:spacing w:after="0" w:line="60"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9"/>
          <w:szCs w:val="9"/>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maintain a consistently high level of customer service, Rezolve’s brand, business and financial results may be harmed.</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Rezolve’s Intellectual Property</w:t>
      </w:r>
    </w:p>
    <w:p>
      <w:pPr>
        <w:spacing w:after="0" w:line="5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39"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9"/>
          <w:szCs w:val="9"/>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94" w:lineRule="exact"/>
        <w:rPr>
          <w:sz w:val="20"/>
          <w:szCs w:val="20"/>
          <w:color w:val="auto"/>
        </w:rPr>
      </w:pPr>
    </w:p>
    <w:p>
      <w:pPr>
        <w:ind w:right="100" w:firstLine="480"/>
        <w:spacing w:after="0" w:line="238" w:lineRule="auto"/>
        <w:rPr>
          <w:sz w:val="20"/>
          <w:szCs w:val="20"/>
          <w:color w:val="auto"/>
        </w:rPr>
      </w:pPr>
      <w:r>
        <w:rPr>
          <w:rFonts w:ascii="Times New Roman" w:cs="Times New Roman" w:eastAsia="Times New Roman" w:hAnsi="Times New Roman"/>
          <w:sz w:val="10"/>
          <w:szCs w:val="10"/>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0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36" w:name="page37"/>
    <w:bookmarkEnd w:id="36"/>
    <w:p>
      <w:pPr>
        <w:jc w:val="both"/>
        <w:ind w:right="180"/>
        <w:spacing w:after="0" w:line="245" w:lineRule="auto"/>
        <w:rPr>
          <w:sz w:val="20"/>
          <w:szCs w:val="20"/>
          <w:color w:val="auto"/>
        </w:rPr>
      </w:pPr>
      <w:r>
        <w:rPr>
          <w:rFonts w:ascii="Times New Roman" w:cs="Times New Roman" w:eastAsia="Times New Roman" w:hAnsi="Times New Roman"/>
          <w:sz w:val="10"/>
          <w:szCs w:val="10"/>
          <w:color w:val="auto"/>
        </w:rPr>
        <w:t>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be subject to claims by third parties of intellectual property infringement.</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10" w:lineRule="exact"/>
        <w:rPr>
          <w:sz w:val="20"/>
          <w:szCs w:val="20"/>
          <w:color w:val="auto"/>
        </w:rPr>
      </w:pPr>
    </w:p>
    <w:p>
      <w:pPr>
        <w:ind w:right="80" w:firstLine="480"/>
        <w:spacing w:after="0" w:line="269" w:lineRule="auto"/>
        <w:rPr>
          <w:sz w:val="20"/>
          <w:szCs w:val="20"/>
          <w:color w:val="auto"/>
        </w:rPr>
      </w:pPr>
      <w:r>
        <w:rPr>
          <w:rFonts w:ascii="Times New Roman" w:cs="Times New Roman" w:eastAsia="Times New Roman" w:hAnsi="Times New Roman"/>
          <w:sz w:val="9"/>
          <w:szCs w:val="9"/>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 infringing technology, enter into royalty-bearing licensing agreements, stop selling or marketing some or all of Rezolve’s solutions or re- 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use of “open source” software could negatively affect its ability to sell its solutions and subject Rezolve to possible litigation.</w:t>
      </w:r>
    </w:p>
    <w:p>
      <w:pPr>
        <w:spacing w:after="0" w:line="60"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9"/>
          <w:szCs w:val="9"/>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37" w:name="page38"/>
    <w:bookmarkEnd w:id="37"/>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01"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Although Rezolve believes that it has complied with its obligations under the various applicable licenses for open source software, it is possible that Rezolve may not be aware of all instances where open- 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Legal and Regulatory Compliance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60" w:lineRule="exact"/>
        <w:rPr>
          <w:sz w:val="20"/>
          <w:szCs w:val="20"/>
          <w:color w:val="auto"/>
        </w:rPr>
      </w:pPr>
    </w:p>
    <w:p>
      <w:pPr>
        <w:ind w:right="20" w:firstLine="480"/>
        <w:spacing w:after="0" w:line="236" w:lineRule="auto"/>
        <w:rPr>
          <w:sz w:val="20"/>
          <w:szCs w:val="20"/>
          <w:color w:val="auto"/>
        </w:rPr>
      </w:pPr>
      <w:r>
        <w:rPr>
          <w:rFonts w:ascii="Times New Roman" w:cs="Times New Roman" w:eastAsia="Times New Roman" w:hAnsi="Times New Roman"/>
          <w:sz w:val="10"/>
          <w:szCs w:val="10"/>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39"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38" w:name="page39"/>
    <w:bookmarkEnd w:id="38"/>
    <w:p>
      <w:pPr>
        <w:jc w:val="both"/>
        <w:ind w:firstLine="480"/>
        <w:spacing w:after="0" w:line="255" w:lineRule="auto"/>
        <w:rPr>
          <w:sz w:val="20"/>
          <w:szCs w:val="20"/>
          <w:color w:val="auto"/>
        </w:rPr>
      </w:pPr>
      <w:r>
        <w:rPr>
          <w:rFonts w:ascii="Times New Roman" w:cs="Times New Roman" w:eastAsia="Times New Roman" w:hAnsi="Times New Roman"/>
          <w:sz w:val="10"/>
          <w:szCs w:val="10"/>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01"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Enhanced trade tariffs, import restrictions, export restrictions, United States regulations or other trade barriers may materially harm Rezolve’s business.</w:t>
      </w:r>
    </w:p>
    <w:p>
      <w:pPr>
        <w:spacing w:after="0" w:line="60" w:lineRule="exact"/>
        <w:rPr>
          <w:sz w:val="20"/>
          <w:szCs w:val="20"/>
          <w:color w:val="auto"/>
        </w:rPr>
      </w:pPr>
    </w:p>
    <w:p>
      <w:pPr>
        <w:ind w:right="60" w:firstLine="480"/>
        <w:spacing w:after="0" w:line="270" w:lineRule="auto"/>
        <w:rPr>
          <w:sz w:val="20"/>
          <w:szCs w:val="20"/>
          <w:color w:val="auto"/>
        </w:rPr>
      </w:pPr>
      <w:r>
        <w:rPr>
          <w:rFonts w:ascii="Times New Roman" w:cs="Times New Roman" w:eastAsia="Times New Roman" w:hAnsi="Times New Roman"/>
          <w:sz w:val="9"/>
          <w:szCs w:val="9"/>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60"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Certain provisions of the Articles and English law could deter takeover attempts.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Ownership of Ordinary Shares and Rezolve Operating as a Public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trading price of Ordinary Shares could be volatile, and the value of Ordinary Shares may decline.</w:t>
      </w:r>
    </w:p>
    <w:p>
      <w:pPr>
        <w:spacing w:after="0" w:line="60" w:lineRule="exact"/>
        <w:rPr>
          <w:sz w:val="20"/>
          <w:szCs w:val="20"/>
          <w:color w:val="auto"/>
        </w:rPr>
      </w:pPr>
    </w:p>
    <w:p>
      <w:pPr>
        <w:jc w:val="both"/>
        <w:ind w:right="40" w:firstLine="480"/>
        <w:spacing w:after="0" w:line="241" w:lineRule="auto"/>
        <w:rPr>
          <w:sz w:val="20"/>
          <w:szCs w:val="20"/>
          <w:color w:val="auto"/>
        </w:rPr>
      </w:pPr>
      <w:r>
        <w:rPr>
          <w:rFonts w:ascii="Times New Roman" w:cs="Times New Roman" w:eastAsia="Times New Roman" w:hAnsi="Times New Roman"/>
          <w:sz w:val="10"/>
          <w:szCs w:val="10"/>
          <w:color w:val="auto"/>
        </w:rPr>
        <w:t>We cannot predict the prices at which Ordinary Shares will trade. The price of Ordinary Shares may not bear any relationship to the market price at which Ordinary Shares will trade after the Transactions or to any other established criteria of the value of our business and prospects, and the market price of Ordinary Shares following the Transactions may fluctuate substantially and may be lower than the price agreed by Armada with Rezolve in connection with the Transactions. In addition, the trading price of Ordinary Shares following the Transactions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in the Transactions. Factors that could cause fluctuations in the trading price of Ordinary Shares include the following:</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•price and volume fluctuations in the overall stock market from time to time;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39" w:name="page40"/>
    <w:bookmarkEnd w:id="39"/>
    <w:p>
      <w:pPr>
        <w:ind w:left="480"/>
        <w:spacing w:after="0"/>
        <w:rPr>
          <w:sz w:val="20"/>
          <w:szCs w:val="20"/>
          <w:color w:val="auto"/>
        </w:rPr>
      </w:pPr>
      <w:r>
        <w:rPr>
          <w:rFonts w:ascii="Times New Roman" w:cs="Times New Roman" w:eastAsia="Times New Roman" w:hAnsi="Times New Roman"/>
          <w:sz w:val="10"/>
          <w:szCs w:val="10"/>
          <w:color w:val="auto"/>
        </w:rPr>
        <w:t>•volatility in the market prices and trading volumes of technology company stocks;</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•changes in operating performance and stock market valuations of other technology companies generally, or those in Rezolve’s industry in particular; •sales of shares of Ordinary Shares by shareholders;</w:t>
      </w:r>
    </w:p>
    <w:p>
      <w:pPr>
        <w:ind w:left="480" w:right="1400"/>
        <w:spacing w:after="0" w:line="360" w:lineRule="auto"/>
        <w:rPr>
          <w:sz w:val="20"/>
          <w:szCs w:val="20"/>
          <w:color w:val="auto"/>
        </w:rPr>
      </w:pPr>
      <w:r>
        <w:rPr>
          <w:rFonts w:ascii="Times New Roman" w:cs="Times New Roman" w:eastAsia="Times New Roman" w:hAnsi="Times New Roman"/>
          <w:sz w:val="10"/>
          <w:szCs w:val="10"/>
          <w:color w:val="auto"/>
        </w:rPr>
        <w:t>•failure of securities analysts to initiate or maintain coverage of Rezolve, changes in financial estimates by securities analysts who follow Rezolve, or Rezolve’s failure to meet these estimates or the expectations of investors; •the financial projections Rezolve may provide to the public, any changes in those projections, or Rezolve’s failure to meet those projections; •announcements by Rezolve or its competitors of new offerings or contracts;</w:t>
      </w:r>
    </w:p>
    <w:p>
      <w:pPr>
        <w:ind w:left="480"/>
        <w:spacing w:after="0"/>
        <w:rPr>
          <w:sz w:val="20"/>
          <w:szCs w:val="20"/>
          <w:color w:val="auto"/>
        </w:rPr>
      </w:pPr>
      <w:r>
        <w:rPr>
          <w:rFonts w:ascii="Times New Roman" w:cs="Times New Roman" w:eastAsia="Times New Roman" w:hAnsi="Times New Roman"/>
          <w:sz w:val="10"/>
          <w:szCs w:val="10"/>
          <w:color w:val="auto"/>
        </w:rPr>
        <w:t>•the public’s reaction to Rezolve’s press releases, other public announcements, and filings with the SEC;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how customers perceive the benefits of Rezolve’s offerings and services, and future offerings;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the structure of payment systems;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•rumors and market speculation involving Rezolve or other companies in the same or similar industry;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changes in Rezolve’s results of operations or fluctuations in Rezolve’s results of operations;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developments in Rezolve’s business, Rezolve’s competitors’ businesses, or the competitive landscape generally;</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•litigation involving Rezolve, Rezolve’s industry or both, or investigations by regulators into Rezolve’s operations or those of Rezolve’s competitors; •developments or disputes concerning Rezolve’s intellectual property or other proprietary rights;</w:t>
      </w:r>
    </w:p>
    <w:p>
      <w:pPr>
        <w:ind w:left="480"/>
        <w:spacing w:after="0"/>
        <w:rPr>
          <w:sz w:val="20"/>
          <w:szCs w:val="20"/>
          <w:color w:val="auto"/>
        </w:rPr>
      </w:pPr>
      <w:r>
        <w:rPr>
          <w:rFonts w:ascii="Times New Roman" w:cs="Times New Roman" w:eastAsia="Times New Roman" w:hAnsi="Times New Roman"/>
          <w:sz w:val="10"/>
          <w:szCs w:val="10"/>
          <w:color w:val="auto"/>
        </w:rPr>
        <w:t>•any security breach or incident involving our offerings, services or site or data stored or processed by us or on our behalf;</w:t>
      </w:r>
    </w:p>
    <w:p>
      <w:pPr>
        <w:spacing w:after="0" w:line="58" w:lineRule="exact"/>
        <w:rPr>
          <w:sz w:val="20"/>
          <w:szCs w:val="20"/>
          <w:color w:val="auto"/>
        </w:rPr>
      </w:pPr>
    </w:p>
    <w:p>
      <w:pPr>
        <w:ind w:left="480" w:right="4440"/>
        <w:spacing w:after="0" w:line="360" w:lineRule="auto"/>
        <w:rPr>
          <w:sz w:val="20"/>
          <w:szCs w:val="20"/>
          <w:color w:val="auto"/>
        </w:rPr>
      </w:pPr>
      <w:r>
        <w:rPr>
          <w:rFonts w:ascii="Times New Roman" w:cs="Times New Roman" w:eastAsia="Times New Roman" w:hAnsi="Times New Roman"/>
          <w:sz w:val="10"/>
          <w:szCs w:val="10"/>
          <w:color w:val="auto"/>
        </w:rPr>
        <w:t>•announced or completed acquisitions of businesses, commercial relationships, offerings, services, or technologies by Rezolve or its competitors; •new laws or regulations or new interpretations of existing laws or regulations applicable to Rezolve’s business; •changes in accounting standards, policies, guidelines, interpretations, or principles;</w:t>
      </w:r>
    </w:p>
    <w:p>
      <w:pPr>
        <w:ind w:left="480" w:right="2100"/>
        <w:spacing w:after="0" w:line="360" w:lineRule="auto"/>
        <w:rPr>
          <w:sz w:val="20"/>
          <w:szCs w:val="20"/>
          <w:color w:val="auto"/>
        </w:rPr>
      </w:pPr>
      <w:r>
        <w:rPr>
          <w:rFonts w:ascii="Times New Roman" w:cs="Times New Roman" w:eastAsia="Times New Roman" w:hAnsi="Times New Roman"/>
          <w:sz w:val="10"/>
          <w:szCs w:val="10"/>
          <w:color w:val="auto"/>
        </w:rPr>
        <w:t>•any adverse consequences related to the Rezolve Founder weighted voting capital structure, such as stock index providers excluding companies with weighted voting capital structures from certain indices; •any significant change in Rezolve’s management; and</w:t>
      </w:r>
    </w:p>
    <w:p>
      <w:pPr>
        <w:ind w:left="480"/>
        <w:spacing w:after="0"/>
        <w:rPr>
          <w:sz w:val="20"/>
          <w:szCs w:val="20"/>
          <w:color w:val="auto"/>
        </w:rPr>
      </w:pPr>
      <w:r>
        <w:rPr>
          <w:rFonts w:ascii="Times New Roman" w:cs="Times New Roman" w:eastAsia="Times New Roman" w:hAnsi="Times New Roman"/>
          <w:sz w:val="10"/>
          <w:szCs w:val="10"/>
          <w:color w:val="auto"/>
        </w:rPr>
        <w:t>•general economic conditions and slow or negative growth of Rezolve’s markets and war or other hostilities.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There can be no assurance that the Public Warrants will ever be in the money at the time they become exercisable or otherwise, and they may expire worthless.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exercise price for the Public Warrants is $11.50 per Ordinary Share. There is no guarantee that such Public Warrants will ever be in the money prior to their expiration, and as such, the warrants may expire worthless.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5" w:right="68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b w:val="1"/>
          <w:bCs w:val="1"/>
          <w:i w:val="1"/>
          <w:iCs w:val="1"/>
          <w:color w:val="auto"/>
        </w:rPr>
        <w:t>A market for our securities may not develop or be sustained, which would adversely affect the liquidity and price of Ordinary Shares.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Following the Closing, the price of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Rezolve became a public reporting company by means other than a traditional underwritten initial public offering, the shareholders of Rezolve may face additional risks and uncertainties.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Because Rezolve became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94"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05" w:lineRule="exact"/>
        <w:rPr>
          <w:sz w:val="20"/>
          <w:szCs w:val="20"/>
          <w:color w:val="auto"/>
        </w:rPr>
      </w:pPr>
    </w:p>
    <w:p>
      <w:pPr>
        <w:jc w:val="both"/>
        <w:ind w:right="160" w:firstLine="480"/>
        <w:spacing w:after="0" w:line="285" w:lineRule="auto"/>
        <w:rPr>
          <w:sz w:val="20"/>
          <w:szCs w:val="20"/>
          <w:color w:val="auto"/>
        </w:rPr>
      </w:pPr>
      <w:r>
        <w:rPr>
          <w:rFonts w:ascii="Times New Roman" w:cs="Times New Roman" w:eastAsia="Times New Roman" w:hAnsi="Times New Roman"/>
          <w:sz w:val="9"/>
          <w:szCs w:val="9"/>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0"/>
          <w:szCs w:val="10"/>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60"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 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Ordinary Shares.</w:t>
      </w:r>
    </w:p>
    <w:p>
      <w:pPr>
        <w:spacing w:after="0" w:line="60"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rules under the Exchange Act requiring the filing with the SEC of quarterly reports on Form 10-Q or current reports on Form 8-K;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regulating the solicitation of proxies, consents, or authorizations in respect of a security registered under the Exchange 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requiring insiders to file public reports of their stock ownership and trading activities and liability for insiders who profit from trades made in a short period of time.</w:t>
      </w:r>
    </w:p>
    <w:p>
      <w:pPr>
        <w:spacing w:after="0" w:line="118"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 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03" w:lineRule="exact"/>
        <w:rPr>
          <w:sz w:val="20"/>
          <w:szCs w:val="20"/>
          <w:color w:val="auto"/>
        </w:rPr>
      </w:pPr>
    </w:p>
    <w:p>
      <w:pPr>
        <w:ind w:right="240" w:firstLine="480"/>
        <w:spacing w:after="0" w:line="259" w:lineRule="auto"/>
        <w:rPr>
          <w:sz w:val="20"/>
          <w:szCs w:val="20"/>
          <w:color w:val="auto"/>
        </w:rPr>
      </w:pPr>
      <w:r>
        <w:rPr>
          <w:rFonts w:ascii="Times New Roman" w:cs="Times New Roman" w:eastAsia="Times New Roman" w:hAnsi="Times New Roman"/>
          <w:sz w:val="10"/>
          <w:szCs w:val="10"/>
          <w:color w:val="auto"/>
        </w:rPr>
        <w:t>In addition, as a foreign private issuer we will be exempt from the provisions of Regulation Fair Disclosure (“</w:t>
      </w:r>
      <w:r>
        <w:rPr>
          <w:rFonts w:ascii="Times New Roman" w:cs="Times New Roman" w:eastAsia="Times New Roman" w:hAnsi="Times New Roman"/>
          <w:sz w:val="10"/>
          <w:szCs w:val="10"/>
          <w:b w:val="1"/>
          <w:bCs w:val="1"/>
          <w:i w:val="1"/>
          <w:iCs w:val="1"/>
          <w:color w:val="auto"/>
        </w:rPr>
        <w:t>Regulation FD</w:t>
      </w:r>
      <w:r>
        <w:rPr>
          <w:rFonts w:ascii="Times New Roman" w:cs="Times New Roman" w:eastAsia="Times New Roman" w:hAnsi="Times New Roman"/>
          <w:sz w:val="10"/>
          <w:szCs w:val="10"/>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99"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0"/>
          <w:szCs w:val="10"/>
          <w:i w:val="1"/>
          <w:iCs w:val="1"/>
          <w:color w:val="auto"/>
        </w:rPr>
        <w:t>Management and Compensation—Foreign Private Issuer</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may lose our foreign private issuer status in the future, which could result in significant additional cost and expense.</w:t>
      </w:r>
    </w:p>
    <w:p>
      <w:pPr>
        <w:spacing w:after="0" w:line="60" w:lineRule="exact"/>
        <w:rPr>
          <w:sz w:val="20"/>
          <w:szCs w:val="20"/>
          <w:color w:val="auto"/>
        </w:rPr>
      </w:pPr>
    </w:p>
    <w:p>
      <w:pPr>
        <w:ind w:right="300" w:firstLine="480"/>
        <w:spacing w:after="0" w:line="241" w:lineRule="auto"/>
        <w:rPr>
          <w:sz w:val="20"/>
          <w:szCs w:val="20"/>
          <w:color w:val="auto"/>
        </w:rPr>
      </w:pPr>
      <w:r>
        <w:rPr>
          <w:rFonts w:ascii="Times New Roman" w:cs="Times New Roman" w:eastAsia="Times New Roman" w:hAnsi="Times New Roman"/>
          <w:sz w:val="10"/>
          <w:szCs w:val="10"/>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42" w:name="page43"/>
    <w:bookmarkEnd w:id="42"/>
    <w:p>
      <w:pPr>
        <w:ind w:right="40"/>
        <w:spacing w:after="0" w:line="255" w:lineRule="auto"/>
        <w:rPr>
          <w:sz w:val="20"/>
          <w:szCs w:val="20"/>
          <w:color w:val="auto"/>
        </w:rPr>
      </w:pPr>
      <w:r>
        <w:rPr>
          <w:rFonts w:ascii="Times New Roman" w:cs="Times New Roman" w:eastAsia="Times New Roman" w:hAnsi="Times New Roman"/>
          <w:sz w:val="10"/>
          <w:szCs w:val="10"/>
          <w:color w:val="auto"/>
        </w:rPr>
        <w:t>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issuance of additional Ordinary Shares in connection with financings, acquisitions, investments, our stock incentive plans, or otherwise will dilute all other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 the event that we do not satisfy the conditions for re-registration as a public limited company by January 9, 2025 we will not be able to effect such re-registration by that date which could impact on the eligibility of our shares for DTC.</w:t>
      </w:r>
    </w:p>
    <w:p>
      <w:pPr>
        <w:spacing w:after="0" w:line="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We have undertaken to re-register as a public limited company by January 9, 2025. In the event that the Company does not meet the conditions required to be satisfied for re-registration by that date then the company will remain a private limited liability company which could impact on the eligibility of our shares for DTC and limit the range of investors from whom new investment may be sought by the Company until such re-registration occurs.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8" w:lineRule="exact"/>
        <w:rPr>
          <w:sz w:val="20"/>
          <w:szCs w:val="20"/>
          <w:color w:val="auto"/>
        </w:rPr>
      </w:pPr>
    </w:p>
    <w:p>
      <w:pPr>
        <w:ind w:right="40" w:firstLine="480"/>
        <w:spacing w:after="0" w:line="237" w:lineRule="auto"/>
        <w:rPr>
          <w:sz w:val="20"/>
          <w:szCs w:val="20"/>
          <w:color w:val="auto"/>
        </w:rPr>
      </w:pPr>
      <w:r>
        <w:rPr>
          <w:rFonts w:ascii="Times New Roman" w:cs="Times New Roman" w:eastAsia="Times New Roman" w:hAnsi="Times New Roman"/>
          <w:sz w:val="10"/>
          <w:szCs w:val="10"/>
          <w:color w:val="auto"/>
        </w:rPr>
        <w:t>A non-U.S. corporation generally will be classified as a controlled foreign corporation for U.S. federal income tax purposes (a “</w:t>
      </w:r>
      <w:r>
        <w:rPr>
          <w:rFonts w:ascii="Times New Roman" w:cs="Times New Roman" w:eastAsia="Times New Roman" w:hAnsi="Times New Roman"/>
          <w:sz w:val="10"/>
          <w:szCs w:val="10"/>
          <w:b w:val="1"/>
          <w:bCs w:val="1"/>
          <w:i w:val="1"/>
          <w:iCs w:val="1"/>
          <w:color w:val="auto"/>
        </w:rPr>
        <w:t>CFC</w:t>
      </w:r>
      <w:r>
        <w:rPr>
          <w:rFonts w:ascii="Times New Roman" w:cs="Times New Roman" w:eastAsia="Times New Roman" w:hAnsi="Times New Roman"/>
          <w:sz w:val="10"/>
          <w:szCs w:val="10"/>
          <w:color w:val="auto"/>
        </w:rPr>
        <w:t xml:space="preserve"> ”),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43" w:name="page44"/>
    <w:bookmarkEnd w:id="43"/>
    <w:p>
      <w:pPr>
        <w:spacing w:after="0" w:line="255" w:lineRule="auto"/>
        <w:rPr>
          <w:sz w:val="20"/>
          <w:szCs w:val="20"/>
          <w:color w:val="auto"/>
        </w:rPr>
      </w:pPr>
      <w:r>
        <w:rPr>
          <w:rFonts w:ascii="Times New Roman" w:cs="Times New Roman" w:eastAsia="Times New Roman" w:hAnsi="Times New Roman"/>
          <w:sz w:val="10"/>
          <w:szCs w:val="10"/>
          <w:color w:val="auto"/>
        </w:rPr>
        <w:t>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U.S. shareholders may suffer adverse tax consequences if we are classified as a “passive foreign investment company.”</w:t>
      </w:r>
    </w:p>
    <w:p>
      <w:pPr>
        <w:spacing w:after="0" w:line="5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A non-U.S. corporation generally will be treated as a “passive foreign investment company” (“</w:t>
      </w:r>
      <w:r>
        <w:rPr>
          <w:rFonts w:ascii="Times New Roman" w:cs="Times New Roman" w:eastAsia="Times New Roman" w:hAnsi="Times New Roman"/>
          <w:sz w:val="10"/>
          <w:szCs w:val="10"/>
          <w:b w:val="1"/>
          <w:bCs w:val="1"/>
          <w:i w:val="1"/>
          <w:iCs w:val="1"/>
          <w:color w:val="auto"/>
        </w:rPr>
        <w:t>PFIC</w:t>
      </w:r>
      <w:r>
        <w:rPr>
          <w:rFonts w:ascii="Times New Roman" w:cs="Times New Roman" w:eastAsia="Times New Roman" w:hAnsi="Times New Roman"/>
          <w:sz w:val="10"/>
          <w:szCs w:val="10"/>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0"/>
          <w:szCs w:val="10"/>
          <w:i w:val="1"/>
          <w:iCs w:val="1"/>
          <w:color w:val="auto"/>
        </w:rPr>
        <w:t>Material Tax Considerations</w:t>
      </w:r>
      <w:r>
        <w:rPr>
          <w:rFonts w:ascii="Times New Roman" w:cs="Times New Roman" w:eastAsia="Times New Roman" w:hAnsi="Times New Roman"/>
          <w:sz w:val="10"/>
          <w:szCs w:val="10"/>
          <w:color w:val="auto"/>
        </w:rPr>
        <w:t>”) holds our ordinary shares, certain adverse U.S. federal income tax consequences could apply to such U.S. Holder. Prospective U.S. Holders should consult their tax advisors regarding the potential application of the PFIC rules to them.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Internal Revenue Service may not agree that Rezolve should be treated as a non-U.S. corporation for U.S. federal income tax purposes.</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Although Rezolve is incorporated in England and Wales, the Internal Revenue Service (“</w:t>
      </w:r>
      <w:r>
        <w:rPr>
          <w:rFonts w:ascii="Times New Roman" w:cs="Times New Roman" w:eastAsia="Times New Roman" w:hAnsi="Times New Roman"/>
          <w:sz w:val="10"/>
          <w:szCs w:val="10"/>
          <w:b w:val="1"/>
          <w:bCs w:val="1"/>
          <w:i w:val="1"/>
          <w:iCs w:val="1"/>
          <w:color w:val="auto"/>
        </w:rPr>
        <w:t>IRS</w:t>
      </w:r>
      <w:r>
        <w:rPr>
          <w:rFonts w:ascii="Times New Roman" w:cs="Times New Roman" w:eastAsia="Times New Roman" w:hAnsi="Times New Roman"/>
          <w:sz w:val="10"/>
          <w:szCs w:val="10"/>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06"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Section 7874 of the Code may limit the ability of Armada to use certain tax attributes following the Business Combination, increase Rezolve’s U.S. affiliates’ U.S. taxable income or have other adverse consequences to Rezolve and Rezolve’s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0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44" w:name="page45"/>
    <w:bookmarkEnd w:id="44"/>
    <w:p>
      <w:pPr>
        <w:ind w:right="240"/>
        <w:spacing w:after="0" w:line="255" w:lineRule="auto"/>
        <w:rPr>
          <w:sz w:val="20"/>
          <w:szCs w:val="20"/>
          <w:color w:val="auto"/>
        </w:rPr>
      </w:pPr>
      <w:r>
        <w:rPr>
          <w:rFonts w:ascii="Times New Roman" w:cs="Times New Roman" w:eastAsia="Times New Roman" w:hAnsi="Times New Roman"/>
          <w:sz w:val="10"/>
          <w:szCs w:val="10"/>
          <w:color w:val="auto"/>
        </w:rPr>
        <w:t>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As more fully described in the section titled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based on the terms of the Business Combination and certain factual assumptions, Rezolve does not currently 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04"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However, even if Rezolve is not subject to the above adverse consequences under Section 7874, Rezolve may be limited in using its equity to engage in future acquisitions of U.S. corporations over a 36 -month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w:t>
      </w:r>
    </w:p>
    <w:p>
      <w:pPr>
        <w:spacing w:after="0" w:line="103" w:lineRule="exact"/>
        <w:rPr>
          <w:sz w:val="20"/>
          <w:szCs w:val="20"/>
          <w:color w:val="auto"/>
        </w:rPr>
      </w:pPr>
    </w:p>
    <w:p>
      <w:pPr>
        <w:ind w:right="100" w:firstLine="480"/>
        <w:spacing w:after="0" w:line="259" w:lineRule="auto"/>
        <w:rPr>
          <w:sz w:val="20"/>
          <w:szCs w:val="20"/>
          <w:color w:val="auto"/>
        </w:rPr>
      </w:pPr>
      <w:r>
        <w:rPr>
          <w:rFonts w:ascii="Times New Roman" w:cs="Times New Roman" w:eastAsia="Times New Roman" w:hAnsi="Times New Roman"/>
          <w:sz w:val="10"/>
          <w:szCs w:val="10"/>
          <w:color w:val="auto"/>
        </w:rPr>
        <w:t>See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45" w:name="page46"/>
    <w:bookmarkEnd w:id="45"/>
    <w:p>
      <w:pPr>
        <w:ind w:left="4860"/>
        <w:spacing w:after="0"/>
        <w:rPr>
          <w:sz w:val="20"/>
          <w:szCs w:val="20"/>
          <w:color w:val="auto"/>
        </w:rPr>
      </w:pPr>
      <w:r>
        <w:rPr>
          <w:rFonts w:ascii="Times New Roman" w:cs="Times New Roman" w:eastAsia="Times New Roman" w:hAnsi="Times New Roman"/>
          <w:sz w:val="10"/>
          <w:szCs w:val="10"/>
          <w:b w:val="1"/>
          <w:bCs w:val="1"/>
          <w:color w:val="auto"/>
        </w:rPr>
        <w:t>USE OF PROCEEDS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of the securities offered by the Selling Holders pursuant to this prospectus will be sold by the Selling Holders for their respective accounts. We will not receive any of the proceeds from these sales.</w:t>
      </w:r>
    </w:p>
    <w:p>
      <w:pPr>
        <w:spacing w:after="0" w:line="11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 xml:space="preserve">We could receive up to an aggregate of approximately $86 million from the exercise of all Public Warrants, and up to an aggregate of approximately $4.5 million from the exercise of all Private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However, as of the date of this prospectus, our Public Warrants are “out-of-the money,” which means that the trading price of the Ordinary Shares underlying the Public Warrants is below the $11.50 exercise price of the Public Warrants. For so long as the warrants remain “out-of-the money,” we do not expect warrant holders to exercise their Public Warrants and, therefore, we do not expect to receive cash proceeds from any such exercise. See the risk factor entitled </w:t>
      </w:r>
      <w:r>
        <w:rPr>
          <w:rFonts w:ascii="Times New Roman" w:cs="Times New Roman" w:eastAsia="Times New Roman" w:hAnsi="Times New Roman"/>
          <w:sz w:val="10"/>
          <w:szCs w:val="10"/>
          <w:i w:val="1"/>
          <w:iCs w:val="1"/>
          <w:color w:val="auto"/>
        </w:rPr>
        <w:t>“There can be no assurance that the Public Warrants will ever be in the money at the time they become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 xml:space="preserve">exercisable or otherwise, and they may expire worthless” </w:t>
      </w:r>
      <w:r>
        <w:rPr>
          <w:rFonts w:ascii="Times New Roman" w:cs="Times New Roman" w:eastAsia="Times New Roman" w:hAnsi="Times New Roman"/>
          <w:sz w:val="10"/>
          <w:szCs w:val="10"/>
          <w:color w:val="auto"/>
        </w:rPr>
        <w:t>for more information.</w:t>
      </w:r>
    </w:p>
    <w:p>
      <w:pPr>
        <w:spacing w:after="0" w:line="11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46" w:name="page47"/>
    <w:bookmarkEnd w:id="46"/>
    <w:p>
      <w:pPr>
        <w:jc w:val="center"/>
        <w:ind w:right="-79"/>
        <w:spacing w:after="0"/>
        <w:rPr>
          <w:sz w:val="20"/>
          <w:szCs w:val="20"/>
          <w:color w:val="auto"/>
        </w:rPr>
      </w:pPr>
      <w:r>
        <w:rPr>
          <w:rFonts w:ascii="Times New Roman" w:cs="Times New Roman" w:eastAsia="Times New Roman" w:hAnsi="Times New Roman"/>
          <w:sz w:val="10"/>
          <w:szCs w:val="10"/>
          <w:b w:val="1"/>
          <w:bCs w:val="1"/>
          <w:color w:val="auto"/>
        </w:rPr>
        <w:t>DIVIDEND POLICY</w:t>
      </w:r>
    </w:p>
    <w:p>
      <w:pPr>
        <w:spacing w:after="0" w:line="97"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0"/>
          <w:szCs w:val="10"/>
          <w:b w:val="1"/>
          <w:bCs w:val="1"/>
          <w:color w:val="auto"/>
        </w:rPr>
        <w:t>MARKET PRICE OF OUR SECURITIES</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October 28, 2024, there were approximately 2 shareholders of record of Ordinary Shares and one shareholder of record of Warrants. Such numbers do not include beneficial owners holding our securities through nominee names. On October 25, 2024, the last reported closing sale prices of our Ordinary Shares and Public Warrants were $5.08 and $0.1360,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FINANCIAL INFORMATION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Defined terms included below have the same meaning as terms defined and included elsewhere in this prospectus.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60" w:lineRule="exact"/>
        <w:rPr>
          <w:sz w:val="20"/>
          <w:szCs w:val="20"/>
          <w:color w:val="auto"/>
        </w:rPr>
      </w:pPr>
    </w:p>
    <w:p>
      <w:pPr>
        <w:ind w:right="320" w:firstLine="705"/>
        <w:spacing w:after="0" w:line="245" w:lineRule="auto"/>
        <w:rPr>
          <w:sz w:val="20"/>
          <w:szCs w:val="20"/>
          <w:color w:val="auto"/>
        </w:rPr>
      </w:pPr>
      <w:r>
        <w:rPr>
          <w:rFonts w:ascii="Times New Roman" w:cs="Times New Roman" w:eastAsia="Times New Roman" w:hAnsi="Times New Roman"/>
          <w:sz w:val="10"/>
          <w:szCs w:val="10"/>
          <w:color w:val="auto"/>
        </w:rPr>
        <w:t xml:space="preserve">The following unaudited pro forma condensed combined financial information is based on Rezolve's historical consolidated financial statements and Armada's historical financial statements and gives effect to the consummation of the Business Combination. </w:t>
      </w:r>
      <w:r>
        <w:rPr>
          <w:rFonts w:ascii="Times New Roman" w:cs="Times New Roman" w:eastAsia="Times New Roman" w:hAnsi="Times New Roman"/>
          <w:sz w:val="10"/>
          <w:szCs w:val="10"/>
          <w:color w:val="212529"/>
        </w:rPr>
        <w:t>The unaudited pro forma condensed combined financial information has been prepared in accordance with Article 11 of Regulation S-X as amended by the final rule, Release No. 33-10786 “Amendments to Financial Disclosures about Acquired and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212529"/>
        </w:rPr>
        <w:t>Disposed Businesses.”</w:t>
      </w:r>
    </w:p>
    <w:p>
      <w:pPr>
        <w:spacing w:after="0" w:line="45" w:lineRule="exact"/>
        <w:rPr>
          <w:sz w:val="20"/>
          <w:szCs w:val="20"/>
          <w:color w:val="auto"/>
        </w:rPr>
      </w:pPr>
    </w:p>
    <w:p>
      <w:pPr>
        <w:ind w:right="280" w:firstLine="705"/>
        <w:spacing w:after="0" w:line="255" w:lineRule="auto"/>
        <w:rPr>
          <w:sz w:val="20"/>
          <w:szCs w:val="20"/>
          <w:color w:val="auto"/>
        </w:rPr>
      </w:pPr>
      <w:r>
        <w:rPr>
          <w:rFonts w:ascii="Times New Roman" w:cs="Times New Roman" w:eastAsia="Times New Roman" w:hAnsi="Times New Roman"/>
          <w:sz w:val="10"/>
          <w:szCs w:val="10"/>
          <w:color w:val="212529"/>
        </w:rPr>
        <w:t>The following unaudited pro forma condensed combined Balance Sheet as of June 30, 2024 and the unaudited pro forma condensed combined statement of operations for the six months ended June 30, 2024, present the combination of the financial information of Rezolve and Armada after giving effect to the Business Combination.</w:t>
      </w:r>
    </w:p>
    <w:p>
      <w:pPr>
        <w:spacing w:after="0" w:line="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212529"/>
        </w:rPr>
        <w:t>Armada is a newly organized blank check company incorporated in Delaware on November 5, 2020, for the purpose of effecting a merger, stock exchange, asset acquisition, stock purchase, reorganization or other similar business combination with one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212529"/>
        </w:rPr>
        <w:t>more businesses.</w:t>
      </w:r>
    </w:p>
    <w:p>
      <w:pPr>
        <w:spacing w:after="0" w:line="48" w:lineRule="exact"/>
        <w:rPr>
          <w:sz w:val="20"/>
          <w:szCs w:val="20"/>
          <w:color w:val="auto"/>
        </w:rPr>
      </w:pPr>
    </w:p>
    <w:p>
      <w:pPr>
        <w:ind w:right="100" w:firstLine="705"/>
        <w:spacing w:after="0" w:line="255" w:lineRule="auto"/>
        <w:rPr>
          <w:sz w:val="20"/>
          <w:szCs w:val="20"/>
          <w:color w:val="auto"/>
        </w:rPr>
      </w:pPr>
      <w:r>
        <w:rPr>
          <w:rFonts w:ascii="Times New Roman" w:cs="Times New Roman" w:eastAsia="Times New Roman" w:hAnsi="Times New Roman"/>
          <w:sz w:val="10"/>
          <w:szCs w:val="10"/>
          <w:color w:val="212529"/>
        </w:rPr>
        <w:t>Rezolve provides an engagement platform, powered by cutting-edge artificial intelligence and machine learning that empowers retailers, brands, and manufacturers to create robust, dynamic connections with consumers, transcending barriers of location and device, whether they are mobile or desktop.</w:t>
      </w:r>
    </w:p>
    <w:p>
      <w:pPr>
        <w:spacing w:after="0" w:line="41"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unaudited pro forma condensed combined balance sheet does not purport to represent, and is not necessarily indicative of, what the actual financial condition of the Combined Company would have been had the Business Combination taken place on June 30, 2024,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2024, nor are they indicative of the results of operations of the Combined Company for any future period. The unaudited pro forma condensed combined financial information should be read in conjunction with:</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352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included elsewhere in this proxy statement/prospectus; •the historical unaudited financial statements for Armada as of and for the quarter ended June 30, 2024, included elsewhere in this proxy statement/prospectus;</w:t>
      </w:r>
    </w:p>
    <w:p>
      <w:pPr>
        <w:ind w:left="480" w:right="3360"/>
        <w:spacing w:after="0" w:line="37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as of, and for the year ended, December 31, 2023, included elsewhere in this proxy statement/prospectus; •the historical unaudited carve-out financial statements of Rezolve as of, and for the six months ended, June 30, 2024, included elsewhere in this proxy statements/prospectus;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w:t>
      </w:r>
      <w:r>
        <w:rPr>
          <w:rFonts w:ascii="Times New Roman" w:cs="Times New Roman" w:eastAsia="Times New Roman" w:hAnsi="Times New Roman"/>
          <w:sz w:val="10"/>
          <w:szCs w:val="10"/>
          <w:color w:val="auto"/>
        </w:rPr>
        <w: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Accounting for the Business Combination</w:t>
      </w:r>
    </w:p>
    <w:p>
      <w:pPr>
        <w:spacing w:after="0" w:line="112" w:lineRule="exact"/>
        <w:rPr>
          <w:sz w:val="20"/>
          <w:szCs w:val="20"/>
          <w:color w:val="auto"/>
        </w:rPr>
      </w:pPr>
    </w:p>
    <w:p>
      <w:pPr>
        <w:jc w:val="both"/>
        <w:ind w:right="260" w:firstLine="705"/>
        <w:spacing w:after="0" w:line="245"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Rezolve has been determined to be the accounting acquirer based on evaluation of the following facts and circumstances:</w:t>
      </w:r>
    </w:p>
    <w:p>
      <w:pPr>
        <w:spacing w:after="0" w:line="45" w:lineRule="exact"/>
        <w:rPr>
          <w:sz w:val="20"/>
          <w:szCs w:val="20"/>
          <w:color w:val="auto"/>
        </w:rPr>
      </w:pPr>
    </w:p>
    <w:p>
      <w:pPr>
        <w:ind w:left="480" w:right="4100"/>
        <w:spacing w:after="0" w:line="360" w:lineRule="auto"/>
        <w:rPr>
          <w:sz w:val="20"/>
          <w:szCs w:val="20"/>
          <w:color w:val="auto"/>
        </w:rPr>
      </w:pPr>
      <w:r>
        <w:rPr>
          <w:rFonts w:ascii="Times New Roman" w:cs="Times New Roman" w:eastAsia="Times New Roman" w:hAnsi="Times New Roman"/>
          <w:sz w:val="10"/>
          <w:szCs w:val="10"/>
          <w:color w:val="auto"/>
        </w:rPr>
        <w:t>•Rezolve’s shareholders will have majority of the voting power under both the minimum redemption and maximum redemption scenarios described below; •Rezolve will appoint majority of the directors of Rezolve;</w:t>
      </w:r>
    </w:p>
    <w:p>
      <w:pPr>
        <w:ind w:left="480"/>
        <w:spacing w:after="0"/>
        <w:rPr>
          <w:sz w:val="20"/>
          <w:szCs w:val="20"/>
          <w:color w:val="auto"/>
        </w:rPr>
      </w:pPr>
      <w:r>
        <w:rPr>
          <w:rFonts w:ascii="Times New Roman" w:cs="Times New Roman" w:eastAsia="Times New Roman" w:hAnsi="Times New Roman"/>
          <w:sz w:val="10"/>
          <w:szCs w:val="10"/>
          <w:color w:val="auto"/>
        </w:rPr>
        <w:t>•Rezolve’s existing management will comprise the management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operations will comprise the ongoing operations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the larger entity based on historical revenues and business operations;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9" w:name="page50"/>
    <w:bookmarkEnd w:id="49"/>
    <w:p>
      <w:pPr>
        <w:ind w:left="480"/>
        <w:spacing w:after="0"/>
        <w:rPr>
          <w:sz w:val="20"/>
          <w:szCs w:val="20"/>
          <w:color w:val="auto"/>
        </w:rPr>
      </w:pPr>
      <w:r>
        <w:rPr>
          <w:rFonts w:ascii="Times New Roman" w:cs="Times New Roman" w:eastAsia="Times New Roman" w:hAnsi="Times New Roman"/>
          <w:sz w:val="10"/>
          <w:szCs w:val="10"/>
          <w:color w:val="auto"/>
        </w:rPr>
        <w:t>•Rezolve will continue to use Rezolve Limited’s name and Rezolve’s headquarters in London.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Description of the Transaction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summary of the Business Combination and related transactions is as follows: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Business Combination Agreement:</w:t>
      </w:r>
    </w:p>
    <w:p>
      <w:pPr>
        <w:spacing w:after="0" w:line="170" w:lineRule="exact"/>
        <w:rPr>
          <w:sz w:val="20"/>
          <w:szCs w:val="20"/>
          <w:color w:val="auto"/>
        </w:rPr>
      </w:pPr>
    </w:p>
    <w:p>
      <w:pPr>
        <w:ind w:left="1180" w:right="40"/>
        <w:spacing w:after="0" w:line="241" w:lineRule="auto"/>
        <w:rPr>
          <w:sz w:val="20"/>
          <w:szCs w:val="20"/>
          <w:color w:val="auto"/>
        </w:rPr>
      </w:pPr>
      <w:r>
        <w:rPr>
          <w:rFonts w:ascii="Times New Roman" w:cs="Times New Roman" w:eastAsia="Times New Roman" w:hAnsi="Times New Roman"/>
          <w:sz w:val="10"/>
          <w:szCs w:val="10"/>
          <w:color w:val="auto"/>
        </w:rPr>
        <w:t>(i)a pre-Closing demerger (the “Pre-Closing Demerger”) of Rezolve Limited will be effected pursuant to UK legislation under which (a)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48" w:lineRule="exact"/>
        <w:rPr>
          <w:sz w:val="20"/>
          <w:szCs w:val="20"/>
          <w:color w:val="auto"/>
        </w:rPr>
      </w:pPr>
    </w:p>
    <w:p>
      <w:pPr>
        <w:ind w:left="1180" w:right="100"/>
        <w:spacing w:after="0" w:line="245" w:lineRule="auto"/>
        <w:rPr>
          <w:sz w:val="20"/>
          <w:szCs w:val="20"/>
          <w:color w:val="auto"/>
        </w:rPr>
      </w:pPr>
      <w:r>
        <w:rPr>
          <w:rFonts w:ascii="Times New Roman" w:cs="Times New Roman" w:eastAsia="Times New Roman" w:hAnsi="Times New Roman"/>
          <w:sz w:val="10"/>
          <w:szCs w:val="10"/>
          <w:color w:val="auto"/>
        </w:rPr>
        <w:t>(ii)a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1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45" w:lineRule="exact"/>
        <w:rPr>
          <w:sz w:val="20"/>
          <w:szCs w:val="20"/>
          <w:color w:val="auto"/>
        </w:rPr>
      </w:pPr>
    </w:p>
    <w:p>
      <w:pPr>
        <w:jc w:val="both"/>
        <w:ind w:left="480" w:right="40"/>
        <w:spacing w:after="0" w:line="245" w:lineRule="auto"/>
        <w:rPr>
          <w:sz w:val="20"/>
          <w:szCs w:val="20"/>
          <w:color w:val="auto"/>
        </w:rPr>
      </w:pPr>
      <w:r>
        <w:rPr>
          <w:rFonts w:ascii="Times New Roman" w:cs="Times New Roman" w:eastAsia="Times New Roman" w:hAnsi="Times New Roman"/>
          <w:sz w:val="10"/>
          <w:szCs w:val="10"/>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gridSpan w:val="4"/>
          </w:tcPr>
          <w:p>
            <w:pPr>
              <w:jc w:val="right"/>
              <w:ind w:right="74"/>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Rezolve</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center"/>
              <w:ind w:right="159"/>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6"/>
              </w:rPr>
              <w:t>Corp. I</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center"/>
              <w:ind w:right="159"/>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as of</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center"/>
              <w:ind w:right="159"/>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1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assets:</w:t>
            </w: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60,298</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13,242</w:t>
            </w: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(1,300,000 )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(a)</w:t>
            </w:r>
          </w:p>
        </w:tc>
        <w:tc>
          <w:tcPr>
            <w:tcW w:w="2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(700,000 )</w:t>
            </w:r>
          </w:p>
        </w:tc>
        <w:tc>
          <w:tcPr>
            <w:tcW w:w="38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rPr>
              <w:t>(a)</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(6,035,757 )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(b)</w:t>
            </w: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(1,491,622 )</w:t>
            </w: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(3,056,726 )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(d)</w:t>
            </w: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12,510,565</w:t>
            </w:r>
          </w:p>
        </w:tc>
        <w:tc>
          <w:tcPr>
            <w:tcW w:w="100" w:type="dxa"/>
            <w:vAlign w:val="bottom"/>
          </w:tcPr>
          <w:p>
            <w:pPr>
              <w:spacing w:after="0"/>
              <w:rPr>
                <w:sz w:val="9"/>
                <w:szCs w:val="9"/>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receivable, net</w:t>
            </w: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Prepaid expenses and other current assets</w:t>
            </w:r>
          </w:p>
        </w:tc>
        <w:tc>
          <w:tcPr>
            <w:tcW w:w="1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430,691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41,788</w:t>
            </w: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472,479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Total current assets</w:t>
            </w: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502,423</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55,030</w:t>
            </w: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(73,540 )</w:t>
            </w: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483,913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Property and equipment, net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Goodwill and Intangible assets, net</w:t>
            </w: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Investment and investment held in trust account, net</w:t>
            </w:r>
          </w:p>
        </w:tc>
        <w:tc>
          <w:tcPr>
            <w:tcW w:w="1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16,126,337</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(1,322,729 )</w:t>
            </w: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(14,803,608 )</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assets</w:t>
            </w: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3,960,454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16,181,367</w:t>
            </w:r>
          </w:p>
        </w:tc>
        <w:tc>
          <w:tcPr>
            <w:tcW w:w="1660" w:type="dxa"/>
            <w:vAlign w:val="bottom"/>
            <w:gridSpan w:val="3"/>
          </w:tcPr>
          <w:p>
            <w:pPr>
              <w:jc w:val="right"/>
              <w:ind w:right="60"/>
              <w:spacing w:after="0" w:line="113" w:lineRule="exact"/>
              <w:rPr>
                <w:sz w:val="20"/>
                <w:szCs w:val="20"/>
                <w:color w:val="auto"/>
              </w:rPr>
            </w:pPr>
            <w:r>
              <w:rPr>
                <w:rFonts w:ascii="Times New Roman" w:cs="Times New Roman" w:eastAsia="Times New Roman" w:hAnsi="Times New Roman"/>
                <w:sz w:val="7"/>
                <w:szCs w:val="7"/>
                <w:color w:val="auto"/>
              </w:rPr>
              <w:t xml:space="preserve">(16,199,877 </w:t>
            </w:r>
            <w:r>
              <w:rPr>
                <w:rFonts w:ascii="Times New Roman" w:cs="Times New Roman" w:eastAsia="Times New Roman" w:hAnsi="Times New Roman"/>
                <w:sz w:val="13"/>
                <w:szCs w:val="13"/>
                <w:color w:val="auto"/>
                <w:vertAlign w:val="subscript"/>
              </w:rPr>
              <w:t>)</w:t>
            </w:r>
          </w:p>
        </w:tc>
        <w:tc>
          <w:tcPr>
            <w:tcW w:w="380" w:type="dxa"/>
            <w:vAlign w:val="bottom"/>
          </w:tcPr>
          <w:p>
            <w:pPr>
              <w:spacing w:after="0"/>
              <w:rPr>
                <w:sz w:val="10"/>
                <w:szCs w:val="10"/>
                <w:color w:val="auto"/>
              </w:rPr>
            </w:pP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3,941,944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Liabilities and Equity</w:t>
            </w:r>
          </w:p>
        </w:tc>
        <w:tc>
          <w:tcPr>
            <w:tcW w:w="1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liabilities:</w:t>
            </w: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Bank overdraft</w:t>
            </w: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11,187,836</w:t>
            </w: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11,335,872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100" w:type="dxa"/>
            <w:vAlign w:val="bottom"/>
          </w:tcPr>
          <w:p>
            <w:pPr>
              <w:spacing w:after="0"/>
              <w:rPr>
                <w:sz w:val="9"/>
                <w:szCs w:val="9"/>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payable</w:t>
            </w: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6,035,757</w:t>
            </w: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(6,035,757 )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(b)</w:t>
            </w: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Due to related party</w:t>
            </w:r>
          </w:p>
        </w:tc>
        <w:tc>
          <w:tcPr>
            <w:tcW w:w="1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Short term debt to related party</w:t>
            </w: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Taxes payable</w:t>
            </w:r>
          </w:p>
        </w:tc>
        <w:tc>
          <w:tcPr>
            <w:tcW w:w="1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1,491,622</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(1,491,622 )</w:t>
            </w: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(148,036 )</w:t>
            </w: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Notes-Related Party</w:t>
            </w: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3,056,726</w:t>
            </w: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(3,056,726 )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(d)</w:t>
            </w: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Ordinary shares payable</w:t>
            </w:r>
          </w:p>
        </w:tc>
        <w:tc>
          <w:tcPr>
            <w:tcW w:w="1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10,236,655</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(10,236,655 )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(g)</w:t>
            </w:r>
          </w:p>
        </w:tc>
        <w:tc>
          <w:tcPr>
            <w:tcW w:w="200" w:type="dxa"/>
            <w:vAlign w:val="bottom"/>
            <w:shd w:val="clear" w:color="auto" w:fill="CFF0FC"/>
          </w:tcPr>
          <w:p>
            <w:pPr>
              <w:spacing w:after="0"/>
              <w:rPr>
                <w:sz w:val="9"/>
                <w:szCs w:val="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Subscription agreement liability, net</w:t>
            </w:r>
          </w:p>
        </w:tc>
        <w:tc>
          <w:tcPr>
            <w:tcW w:w="1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Accrued expenses and other payables</w:t>
            </w: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Share-based payment liability</w:t>
            </w:r>
          </w:p>
        </w:tc>
        <w:tc>
          <w:tcPr>
            <w:tcW w:w="1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loan note</w:t>
            </w: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current liabilities</w:t>
            </w:r>
          </w:p>
        </w:tc>
        <w:tc>
          <w:tcPr>
            <w:tcW w:w="1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22,776,285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(9,484,888 )</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24,230,005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gridSpan w:val="3"/>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debt</w:t>
            </w:r>
          </w:p>
        </w:tc>
        <w:tc>
          <w:tcPr>
            <w:tcW w:w="1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38,737,594</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(38,737,594 )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(h)</w:t>
            </w:r>
          </w:p>
        </w:tc>
        <w:tc>
          <w:tcPr>
            <w:tcW w:w="200" w:type="dxa"/>
            <w:vAlign w:val="bottom"/>
            <w:shd w:val="clear" w:color="auto" w:fill="CFF0FC"/>
          </w:tcPr>
          <w:p>
            <w:pPr>
              <w:spacing w:after="0"/>
              <w:rPr>
                <w:sz w:val="9"/>
                <w:szCs w:val="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100" w:type="dxa"/>
            <w:vAlign w:val="bottom"/>
          </w:tcPr>
          <w:p>
            <w:pPr>
              <w:spacing w:after="0"/>
              <w:rPr>
                <w:sz w:val="9"/>
                <w:szCs w:val="9"/>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rPr>
              <w:t>(q)</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promissory notes</w:t>
            </w: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liabilities</w:t>
            </w: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66,909,581</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w:t>
            </w:r>
          </w:p>
        </w:tc>
        <w:tc>
          <w:tcPr>
            <w:tcW w:w="900" w:type="dxa"/>
            <w:vAlign w:val="bottom"/>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(19,581,232 )</w:t>
            </w:r>
          </w:p>
        </w:tc>
        <w:tc>
          <w:tcPr>
            <w:tcW w:w="380" w:type="dxa"/>
            <w:vAlign w:val="bottom"/>
          </w:tcPr>
          <w:p>
            <w:pPr>
              <w:spacing w:after="0"/>
              <w:rPr>
                <w:sz w:val="9"/>
                <w:szCs w:val="9"/>
                <w:color w:val="auto"/>
              </w:rPr>
            </w:pP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58,266,957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Commitments and Contingencies</w:t>
            </w:r>
          </w:p>
        </w:tc>
        <w:tc>
          <w:tcPr>
            <w:tcW w:w="1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Common stock subject to possible redemption, 1,417,687 shares at redemption value of approximately $11.31 per share</w:t>
            </w: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(14,803,608 )</w:t>
            </w:r>
          </w:p>
        </w:tc>
        <w:tc>
          <w:tcPr>
            <w:tcW w:w="380" w:type="dxa"/>
            <w:vAlign w:val="bottom"/>
          </w:tcPr>
          <w:p>
            <w:pPr>
              <w:ind w:left="40"/>
              <w:spacing w:after="0"/>
              <w:rPr>
                <w:sz w:val="20"/>
                <w:szCs w:val="20"/>
                <w:color w:val="auto"/>
              </w:rPr>
            </w:pPr>
            <w:r>
              <w:rPr>
                <w:rFonts w:ascii="Times New Roman" w:cs="Times New Roman" w:eastAsia="Times New Roman" w:hAnsi="Times New Roman"/>
                <w:sz w:val="8"/>
                <w:szCs w:val="8"/>
                <w:b w:val="1"/>
                <w:bCs w:val="1"/>
                <w:color w:val="auto"/>
              </w:rPr>
              <w:t>(f)</w:t>
            </w: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(1,237,178 )</w:t>
            </w: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b w:val="1"/>
                <w:bCs w:val="1"/>
                <w:color w:val="auto"/>
              </w:rPr>
              <w:t>(i)</w:t>
            </w: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(16,040,786 )</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9"/>
          <w:szCs w:val="9"/>
          <w:b w:val="1"/>
          <w:bCs w:val="1"/>
          <w:color w:val="auto"/>
        </w:rPr>
        <w:t>UNAUDITED PRO FORMA CONDENSED COMBINED BALANCE SHEET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ectPr>
          <w:pgSz w:w="11900" w:h="16840" w:orient="portrait"/>
          <w:cols w:equalWidth="0" w:num="1">
            <w:col w:w="10560"/>
          </w:cols>
          <w:pgMar w:left="640" w:top="1093" w:right="700" w:bottom="1440" w:gutter="0" w:footer="0" w:header="0"/>
        </w:sect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220" w:type="dxa"/>
            <w:vAlign w:val="bottom"/>
          </w:tcPr>
          <w:p>
            <w:pPr>
              <w:spacing w:after="0"/>
              <w:rPr>
                <w:sz w:val="8"/>
                <w:szCs w:val="8"/>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Rezolve</w:t>
            </w:r>
          </w:p>
        </w:tc>
      </w:tr>
      <w:tr>
        <w:trPr>
          <w:trHeight w:val="98"/>
        </w:trPr>
        <w:tc>
          <w:tcPr>
            <w:tcW w:w="4220" w:type="dxa"/>
            <w:vAlign w:val="bottom"/>
          </w:tcPr>
          <w:p>
            <w:pPr>
              <w:spacing w:after="0"/>
              <w:rPr>
                <w:sz w:val="8"/>
                <w:szCs w:val="8"/>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AI Limited and</w:t>
            </w:r>
          </w:p>
        </w:tc>
      </w:tr>
      <w:tr>
        <w:trPr>
          <w:trHeight w:val="98"/>
        </w:trPr>
        <w:tc>
          <w:tcPr>
            <w:tcW w:w="4220" w:type="dxa"/>
            <w:vAlign w:val="bottom"/>
          </w:tcPr>
          <w:p>
            <w:pPr>
              <w:spacing w:after="0"/>
              <w:rPr>
                <w:sz w:val="8"/>
                <w:szCs w:val="8"/>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Subsidiaries</w:t>
            </w:r>
          </w:p>
        </w:tc>
      </w:tr>
      <w:tr>
        <w:trPr>
          <w:trHeight w:val="98"/>
        </w:trPr>
        <w:tc>
          <w:tcPr>
            <w:tcW w:w="4220" w:type="dxa"/>
            <w:vAlign w:val="bottom"/>
          </w:tcPr>
          <w:p>
            <w:pPr>
              <w:spacing w:after="0"/>
              <w:rPr>
                <w:sz w:val="8"/>
                <w:szCs w:val="8"/>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(Historical as</w:t>
            </w:r>
          </w:p>
        </w:tc>
      </w:tr>
      <w:tr>
        <w:trPr>
          <w:trHeight w:val="108"/>
        </w:trPr>
        <w:tc>
          <w:tcPr>
            <w:tcW w:w="4220" w:type="dxa"/>
            <w:vAlign w:val="bottom"/>
          </w:tcPr>
          <w:p>
            <w:pPr>
              <w:spacing w:after="0"/>
              <w:rPr>
                <w:sz w:val="9"/>
                <w:szCs w:val="9"/>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of 6/30/2024</w:t>
            </w:r>
          </w:p>
        </w:tc>
      </w:tr>
      <w:tr>
        <w:trPr>
          <w:trHeight w:val="165"/>
        </w:trPr>
        <w:tc>
          <w:tcPr>
            <w:tcW w:w="42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Stockholders' Equity:</w:t>
            </w: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04"/>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Ordinary shares</w:t>
            </w: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Shares issued and outstanding as of June 30, 2024 - 932,997,081; as of December 31, 2023 - 932,969,424 at par value £</w:t>
            </w: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6"/>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0.0001</w:t>
            </w: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127,313</w:t>
            </w:r>
          </w:p>
        </w:tc>
        <w:tc>
          <w:tcPr>
            <w:tcW w:w="40" w:type="dxa"/>
            <w:vAlign w:val="bottom"/>
          </w:tcPr>
          <w:p>
            <w:pPr>
              <w:spacing w:after="0"/>
              <w:rPr>
                <w:sz w:val="9"/>
                <w:szCs w:val="9"/>
                <w:color w:val="auto"/>
              </w:rPr>
            </w:pPr>
          </w:p>
        </w:tc>
      </w:tr>
      <w:tr>
        <w:trPr>
          <w:trHeight w:val="78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Series A shares issued and outstanding as of June 30, 2024 and December 31, 2023 - 28,039,517 nil at par value £0.0001</w:t>
            </w: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40" w:type="dxa"/>
            <w:vAlign w:val="bottom"/>
          </w:tcPr>
          <w:p>
            <w:pPr>
              <w:spacing w:after="0"/>
              <w:rPr>
                <w:sz w:val="24"/>
                <w:szCs w:val="24"/>
                <w:color w:val="auto"/>
              </w:rPr>
            </w:pPr>
          </w:p>
        </w:tc>
      </w:tr>
      <w:tr>
        <w:trPr>
          <w:trHeight w:val="113"/>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Common stock, $0.0001 par value; 100,000,000 shares authorized; 5,709,500 shares issued and outstanding</w:t>
            </w: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Additional paid-in capital</w:t>
            </w: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176,274,941</w:t>
            </w:r>
          </w:p>
        </w:tc>
        <w:tc>
          <w:tcPr>
            <w:tcW w:w="40" w:type="dxa"/>
            <w:vAlign w:val="bottom"/>
          </w:tcPr>
          <w:p>
            <w:pPr>
              <w:spacing w:after="0"/>
              <w:rPr>
                <w:sz w:val="9"/>
                <w:szCs w:val="9"/>
                <w:color w:val="auto"/>
              </w:rPr>
            </w:pPr>
          </w:p>
        </w:tc>
      </w:tr>
      <w:tr>
        <w:trPr>
          <w:trHeight w:val="1125"/>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Stock subscription receivable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(178,720 )</w:t>
            </w:r>
          </w:p>
        </w:tc>
      </w:tr>
      <w:tr>
        <w:trPr>
          <w:trHeight w:val="113"/>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Accumulated deficit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(239,133,876 )</w:t>
            </w:r>
          </w:p>
        </w:tc>
      </w:tr>
      <w:tr>
        <w:trPr>
          <w:trHeight w:val="78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Accumulated other comprehensive loss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(42,653 )</w:t>
            </w:r>
          </w:p>
        </w:tc>
      </w:tr>
      <w:tr>
        <w:trPr>
          <w:trHeight w:val="113"/>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Total shareholders' equity (deficit)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(62,949,127 )</w:t>
            </w:r>
          </w:p>
        </w:tc>
      </w:tr>
      <w:tr>
        <w:trPr>
          <w:trHeight w:val="121"/>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Total liabilities and shareholders' equity</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3,960,454</w:t>
            </w: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-2352040</wp:posOffset>
            </wp:positionV>
            <wp:extent cx="6753225" cy="71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-2085340</wp:posOffset>
            </wp:positionV>
            <wp:extent cx="6753225" cy="71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-1942465</wp:posOffset>
            </wp:positionV>
            <wp:extent cx="6753225" cy="71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-1799590</wp:posOffset>
            </wp:positionV>
            <wp:extent cx="6753225" cy="71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-1656715</wp:posOffset>
            </wp:positionV>
            <wp:extent cx="6753225" cy="71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-1513840</wp:posOffset>
            </wp:positionV>
            <wp:extent cx="6753225" cy="71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-1370965</wp:posOffset>
            </wp:positionV>
            <wp:extent cx="6753225" cy="71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-1228090</wp:posOffset>
            </wp:positionV>
            <wp:extent cx="6753225" cy="71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-1085215</wp:posOffset>
            </wp:positionV>
            <wp:extent cx="6753225" cy="71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-942340</wp:posOffset>
            </wp:positionV>
            <wp:extent cx="6753225" cy="71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-799465</wp:posOffset>
            </wp:positionV>
            <wp:extent cx="6753225" cy="71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-656590</wp:posOffset>
            </wp:positionV>
            <wp:extent cx="6753225" cy="71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-513715</wp:posOffset>
            </wp:positionV>
            <wp:extent cx="6753225" cy="71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-370840</wp:posOffset>
            </wp:positionV>
            <wp:extent cx="6753225" cy="71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-227965</wp:posOffset>
            </wp:positionV>
            <wp:extent cx="6753225" cy="71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53225" cy="71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-85090</wp:posOffset>
            </wp:positionV>
            <wp:extent cx="6753225"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5322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gridSpan w:val="4"/>
          </w:tcPr>
          <w:p>
            <w:pPr>
              <w:ind w:left="122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6"/>
              </w:rPr>
              <w:t>Corp. I</w:t>
            </w: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as of</w:t>
            </w: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8"/>
        </w:trPr>
        <w:tc>
          <w:tcPr>
            <w:tcW w:w="13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6/30/2024)</w:t>
            </w:r>
          </w:p>
        </w:tc>
        <w:tc>
          <w:tcPr>
            <w:tcW w:w="200" w:type="dxa"/>
            <w:vAlign w:val="bottom"/>
          </w:tcPr>
          <w:p>
            <w:pPr>
              <w:spacing w:after="0"/>
              <w:rPr>
                <w:sz w:val="9"/>
                <w:szCs w:val="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8"/>
                <w:szCs w:val="8"/>
                <w:b w:val="1"/>
                <w:bCs w:val="1"/>
                <w:color w:val="auto"/>
              </w:rPr>
              <w:t>Pro Forma Combined</w:t>
            </w:r>
          </w:p>
        </w:tc>
      </w:tr>
      <w:tr>
        <w:trPr>
          <w:trHeight w:val="420"/>
        </w:trPr>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863</w:t>
            </w:r>
          </w:p>
        </w:tc>
        <w:tc>
          <w:tcPr>
            <w:tcW w:w="120" w:type="dxa"/>
            <w:vAlign w:val="bottom"/>
          </w:tcPr>
          <w:p>
            <w:pPr>
              <w:spacing w:after="0"/>
              <w:rPr>
                <w:sz w:val="24"/>
                <w:szCs w:val="24"/>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8"/>
                <w:szCs w:val="8"/>
                <w:b w:val="1"/>
                <w:bCs w:val="1"/>
                <w:color w:val="auto"/>
              </w:rPr>
              <w:t>(h)</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141,390</w:t>
            </w:r>
          </w:p>
        </w:tc>
        <w:tc>
          <w:tcPr>
            <w:tcW w:w="40" w:type="dxa"/>
            <w:vAlign w:val="bottom"/>
          </w:tcPr>
          <w:p>
            <w:pPr>
              <w:spacing w:after="0"/>
              <w:rPr>
                <w:sz w:val="24"/>
                <w:szCs w:val="24"/>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1,436</w:t>
            </w:r>
          </w:p>
        </w:tc>
        <w:tc>
          <w:tcPr>
            <w:tcW w:w="120" w:type="dxa"/>
            <w:vAlign w:val="bottom"/>
          </w:tcPr>
          <w:p>
            <w:pPr>
              <w:spacing w:after="0"/>
              <w:rPr>
                <w:sz w:val="9"/>
                <w:szCs w:val="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(g)</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w:t>
            </w:r>
          </w:p>
        </w:tc>
        <w:tc>
          <w:tcPr>
            <w:tcW w:w="120" w:type="dxa"/>
            <w:vAlign w:val="bottom"/>
          </w:tcPr>
          <w:p>
            <w:pPr>
              <w:spacing w:after="0"/>
              <w:rPr>
                <w:sz w:val="9"/>
                <w:szCs w:val="9"/>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120" w:type="dxa"/>
            <w:vAlign w:val="bottom"/>
          </w:tcPr>
          <w:p>
            <w:pPr>
              <w:spacing w:after="0"/>
              <w:rPr>
                <w:sz w:val="9"/>
                <w:szCs w:val="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(k)</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103</w:t>
            </w:r>
          </w:p>
        </w:tc>
        <w:tc>
          <w:tcPr>
            <w:tcW w:w="120" w:type="dxa"/>
            <w:vAlign w:val="bottom"/>
          </w:tcPr>
          <w:p>
            <w:pPr>
              <w:spacing w:after="0"/>
              <w:rPr>
                <w:sz w:val="9"/>
                <w:szCs w:val="9"/>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(i)</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303</w:t>
            </w:r>
          </w:p>
        </w:tc>
        <w:tc>
          <w:tcPr>
            <w:tcW w:w="120" w:type="dxa"/>
            <w:vAlign w:val="bottom"/>
          </w:tcPr>
          <w:p>
            <w:pPr>
              <w:spacing w:after="0"/>
              <w:rPr>
                <w:sz w:val="9"/>
                <w:szCs w:val="9"/>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7,464</w:t>
            </w:r>
          </w:p>
        </w:tc>
        <w:tc>
          <w:tcPr>
            <w:tcW w:w="120" w:type="dxa"/>
            <w:vAlign w:val="bottom"/>
          </w:tcPr>
          <w:p>
            <w:pPr>
              <w:spacing w:after="0"/>
              <w:rPr>
                <w:sz w:val="9"/>
                <w:szCs w:val="9"/>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(3,868 )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(k)</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r>
      <w:tr>
        <w:trPr>
          <w:trHeight w:val="113"/>
        </w:trPr>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w:t>
            </w:r>
          </w:p>
        </w:tc>
        <w:tc>
          <w:tcPr>
            <w:tcW w:w="200" w:type="dxa"/>
            <w:vAlign w:val="bottom"/>
          </w:tcPr>
          <w:p>
            <w:pPr>
              <w:spacing w:after="0"/>
              <w:rPr>
                <w:sz w:val="9"/>
                <w:szCs w:val="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(570 )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r>
      <w:tr>
        <w:trPr>
          <w:trHeight w:val="113"/>
        </w:trPr>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261,161</w:t>
            </w:r>
          </w:p>
        </w:tc>
        <w:tc>
          <w:tcPr>
            <w:tcW w:w="200" w:type="dxa"/>
            <w:vAlign w:val="bottom"/>
          </w:tcPr>
          <w:p>
            <w:pPr>
              <w:spacing w:after="0"/>
              <w:rPr>
                <w:sz w:val="9"/>
                <w:szCs w:val="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(1,300,000 )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(51,527,293 )</w:t>
            </w: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38,736,731</w:t>
            </w:r>
          </w:p>
        </w:tc>
        <w:tc>
          <w:tcPr>
            <w:tcW w:w="120" w:type="dxa"/>
            <w:vAlign w:val="bottom"/>
          </w:tcPr>
          <w:p>
            <w:pPr>
              <w:spacing w:after="0"/>
              <w:rPr>
                <w:sz w:val="9"/>
                <w:szCs w:val="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(h)</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10,235,219</w:t>
            </w:r>
          </w:p>
        </w:tc>
        <w:tc>
          <w:tcPr>
            <w:tcW w:w="120" w:type="dxa"/>
            <w:vAlign w:val="bottom"/>
          </w:tcPr>
          <w:p>
            <w:pPr>
              <w:spacing w:after="0"/>
              <w:rPr>
                <w:sz w:val="9"/>
                <w:szCs w:val="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(g)</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531</w:t>
            </w:r>
          </w:p>
        </w:tc>
        <w:tc>
          <w:tcPr>
            <w:tcW w:w="120" w:type="dxa"/>
            <w:vAlign w:val="bottom"/>
          </w:tcPr>
          <w:p>
            <w:pPr>
              <w:spacing w:after="0"/>
              <w:rPr>
                <w:sz w:val="9"/>
                <w:szCs w:val="9"/>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1,237,075</w:t>
            </w:r>
          </w:p>
        </w:tc>
        <w:tc>
          <w:tcPr>
            <w:tcW w:w="120" w:type="dxa"/>
            <w:vAlign w:val="bottom"/>
          </w:tcPr>
          <w:p>
            <w:pPr>
              <w:spacing w:after="0"/>
              <w:rPr>
                <w:sz w:val="9"/>
                <w:szCs w:val="9"/>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(i)</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3,062,197</w:t>
            </w:r>
          </w:p>
        </w:tc>
        <w:tc>
          <w:tcPr>
            <w:tcW w:w="120" w:type="dxa"/>
            <w:vAlign w:val="bottom"/>
          </w:tcPr>
          <w:p>
            <w:pPr>
              <w:spacing w:after="0"/>
              <w:rPr>
                <w:sz w:val="9"/>
                <w:szCs w:val="9"/>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36,731,490</w:t>
            </w:r>
          </w:p>
        </w:tc>
        <w:tc>
          <w:tcPr>
            <w:tcW w:w="120" w:type="dxa"/>
            <w:vAlign w:val="bottom"/>
          </w:tcPr>
          <w:p>
            <w:pPr>
              <w:spacing w:after="0"/>
              <w:rPr>
                <w:sz w:val="9"/>
                <w:szCs w:val="9"/>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(11,059,758 )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(n)</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(276,572,830 )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(28,641,250 )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(q)</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(178,720 )</w:t>
            </w:r>
          </w:p>
        </w:tc>
      </w:tr>
      <w:tr>
        <w:trPr>
          <w:trHeight w:val="113"/>
        </w:trPr>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(11,059,758 )</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(700,000 )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(2,717,736 )</w:t>
            </w: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(f)</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(3,062,500 )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(36,738,954 )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11,059,758</w:t>
            </w:r>
          </w:p>
        </w:tc>
        <w:tc>
          <w:tcPr>
            <w:tcW w:w="120" w:type="dxa"/>
            <w:vAlign w:val="bottom"/>
          </w:tcPr>
          <w:p>
            <w:pPr>
              <w:spacing w:after="0"/>
              <w:rPr>
                <w:sz w:val="9"/>
                <w:szCs w:val="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(n)</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492,800</w:t>
            </w:r>
          </w:p>
        </w:tc>
        <w:tc>
          <w:tcPr>
            <w:tcW w:w="120" w:type="dxa"/>
            <w:vAlign w:val="bottom"/>
          </w:tcPr>
          <w:p>
            <w:pPr>
              <w:spacing w:after="0"/>
              <w:rPr>
                <w:sz w:val="9"/>
                <w:szCs w:val="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(o)</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276,572,830</w:t>
            </w:r>
          </w:p>
        </w:tc>
        <w:tc>
          <w:tcPr>
            <w:tcW w:w="120" w:type="dxa"/>
            <w:vAlign w:val="bottom"/>
          </w:tcPr>
          <w:p>
            <w:pPr>
              <w:spacing w:after="0"/>
              <w:rPr>
                <w:sz w:val="9"/>
                <w:szCs w:val="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3"/>
        </w:trPr>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(42,653 )</w:t>
            </w:r>
          </w:p>
        </w:tc>
      </w:tr>
      <w:tr>
        <w:trPr>
          <w:trHeight w:val="113"/>
        </w:trPr>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(10,798,027 )</w:t>
            </w: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19,422,141</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(54,325,013 )</w:t>
            </w:r>
          </w:p>
        </w:tc>
      </w:tr>
      <w:tr>
        <w:trPr>
          <w:trHeight w:val="118"/>
        </w:trPr>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16,181,367</w:t>
            </w:r>
          </w:p>
        </w:tc>
        <w:tc>
          <w:tcPr>
            <w:tcW w:w="200" w:type="dxa"/>
            <w:vAlign w:val="bottom"/>
          </w:tcPr>
          <w:p>
            <w:pPr>
              <w:spacing w:after="0"/>
              <w:rPr>
                <w:sz w:val="10"/>
                <w:szCs w:val="10"/>
                <w:color w:val="auto"/>
              </w:rPr>
            </w:pPr>
          </w:p>
        </w:tc>
        <w:tc>
          <w:tcPr>
            <w:tcW w:w="148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7"/>
                <w:szCs w:val="7"/>
                <w:color w:val="auto"/>
              </w:rPr>
              <w:t xml:space="preserve">(16,199,877 </w:t>
            </w:r>
            <w:r>
              <w:rPr>
                <w:rFonts w:ascii="Times New Roman" w:cs="Times New Roman" w:eastAsia="Times New Roman" w:hAnsi="Times New Roman"/>
                <w:sz w:val="13"/>
                <w:szCs w:val="13"/>
                <w:color w:val="auto"/>
                <w:vertAlign w:val="subscript"/>
              </w:rPr>
              <w:t>)</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3,941,944</w:t>
            </w:r>
          </w:p>
        </w:tc>
        <w:tc>
          <w:tcPr>
            <w:tcW w:w="40" w:type="dxa"/>
            <w:vAlign w:val="bottom"/>
          </w:tcPr>
          <w:p>
            <w:pPr>
              <w:spacing w:after="0"/>
              <w:rPr>
                <w:sz w:val="10"/>
                <w:szCs w:val="10"/>
                <w:color w:val="auto"/>
              </w:rPr>
            </w:pPr>
          </w:p>
        </w:tc>
      </w:tr>
      <w:tr>
        <w:trPr>
          <w:trHeight w:val="23"/>
        </w:trPr>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sectPr>
          <w:pgSz w:w="11900" w:h="16840" w:orient="portrait"/>
          <w:cols w:equalWidth="0" w:num="2">
            <w:col w:w="5620" w:space="180"/>
            <w:col w:w="4760"/>
          </w:cols>
          <w:pgMar w:left="640" w:top="1093" w:right="70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9"/>
          <w:szCs w:val="9"/>
          <w:i w:val="1"/>
          <w:iCs w:val="1"/>
          <w:color w:val="auto"/>
        </w:rPr>
        <w:t>See accompanying notes to the unaudited pro forma condensed combined financial information.</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093" w:right="700"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PERIOD ENDED JUNE 30,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4"/>
          </w:tcPr>
          <w:p>
            <w:pPr>
              <w:jc w:val="center"/>
              <w:ind w:left="699"/>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6"/>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Rezolve AI Limited and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Armada Acquisition Corp. I</w:t>
            </w: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Subsidiaries (Six months ended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Pro Forma Consolidated</w:t>
            </w:r>
          </w:p>
        </w:tc>
      </w:tr>
      <w:tr>
        <w:trPr>
          <w:trHeight w:val="116"/>
        </w:trPr>
        <w:tc>
          <w:tcPr>
            <w:tcW w:w="4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8"/>
                <w:szCs w:val="8"/>
                <w:b w:val="1"/>
                <w:bCs w:val="1"/>
                <w:color w:val="auto"/>
                <w:w w:val="96"/>
              </w:rPr>
              <w:t>2024)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3"/>
        </w:trPr>
        <w:tc>
          <w:tcPr>
            <w:tcW w:w="42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Revenue</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20" w:type="dxa"/>
            <w:vAlign w:val="bottom"/>
            <w:shd w:val="clear" w:color="auto" w:fill="CFF0FC"/>
          </w:tcPr>
          <w:p>
            <w:pPr>
              <w:spacing w:after="0"/>
              <w:rPr>
                <w:sz w:val="9"/>
                <w:szCs w:val="9"/>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00" w:type="dxa"/>
            <w:vAlign w:val="bottom"/>
            <w:shd w:val="clear" w:color="auto" w:fill="CFF0FC"/>
          </w:tcPr>
          <w:p>
            <w:pPr>
              <w:spacing w:after="0"/>
              <w:rPr>
                <w:sz w:val="9"/>
                <w:szCs w:val="9"/>
                <w:color w:val="auto"/>
              </w:rPr>
            </w:pPr>
          </w:p>
        </w:tc>
      </w:tr>
      <w:tr>
        <w:trPr>
          <w:trHeight w:val="222"/>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Cost of sales</w:t>
            </w: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00" w:type="dxa"/>
            <w:vAlign w:val="bottom"/>
            <w:shd w:val="clear" w:color="auto" w:fill="CFF0FC"/>
          </w:tcPr>
          <w:p>
            <w:pPr>
              <w:spacing w:after="0"/>
              <w:rPr>
                <w:sz w:val="10"/>
                <w:szCs w:val="10"/>
                <w:color w:val="auto"/>
              </w:rPr>
            </w:pPr>
          </w:p>
        </w:tc>
      </w:tr>
      <w:tr>
        <w:trPr>
          <w:trHeight w:val="110"/>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Stock-based compensation</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551,409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(551,409 )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r>
      <w:tr>
        <w:trPr>
          <w:trHeight w:val="115"/>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Sales and marketing expense</w:t>
            </w: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1,431,430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4,599,000</w:t>
            </w: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6,030,430</w:t>
            </w:r>
          </w:p>
        </w:tc>
        <w:tc>
          <w:tcPr>
            <w:tcW w:w="100" w:type="dxa"/>
            <w:vAlign w:val="bottom"/>
            <w:shd w:val="clear" w:color="auto" w:fill="CFF0FC"/>
          </w:tcPr>
          <w:p>
            <w:pPr>
              <w:spacing w:after="0"/>
              <w:rPr>
                <w:sz w:val="10"/>
                <w:szCs w:val="10"/>
                <w:color w:val="auto"/>
              </w:rPr>
            </w:pPr>
          </w:p>
        </w:tc>
      </w:tr>
      <w:tr>
        <w:trPr>
          <w:trHeight w:val="110"/>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8,066,209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20" w:type="dxa"/>
            <w:vAlign w:val="bottom"/>
          </w:tcPr>
          <w:p>
            <w:pPr>
              <w:spacing w:after="0"/>
              <w:rPr>
                <w:sz w:val="9"/>
                <w:szCs w:val="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45,124,701</w:t>
            </w:r>
          </w:p>
        </w:tc>
        <w:tc>
          <w:tcPr>
            <w:tcW w:w="100" w:type="dxa"/>
            <w:vAlign w:val="bottom"/>
          </w:tcPr>
          <w:p>
            <w:pPr>
              <w:spacing w:after="0"/>
              <w:rPr>
                <w:sz w:val="9"/>
                <w:szCs w:val="9"/>
                <w:color w:val="auto"/>
              </w:rPr>
            </w:pPr>
          </w:p>
        </w:tc>
      </w:tr>
      <w:tr>
        <w:trPr>
          <w:trHeight w:val="115"/>
        </w:trPr>
        <w:tc>
          <w:tcPr>
            <w:tcW w:w="4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32,139,954</w:t>
            </w: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10"/>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3,062,500</w:t>
            </w:r>
          </w:p>
        </w:tc>
        <w:tc>
          <w:tcPr>
            <w:tcW w:w="120" w:type="dxa"/>
            <w:vAlign w:val="bottom"/>
          </w:tcPr>
          <w:p>
            <w:pPr>
              <w:spacing w:after="0"/>
              <w:rPr>
                <w:sz w:val="9"/>
                <w:szCs w:val="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(cc)</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Formation cost</w:t>
            </w: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1,304,629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(1,304,629 )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r>
      <w:tr>
        <w:trPr>
          <w:trHeight w:val="109"/>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Other operating costs and expenses</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00" w:type="dxa"/>
            <w:vAlign w:val="bottom"/>
          </w:tcPr>
          <w:p>
            <w:pPr>
              <w:spacing w:after="0"/>
              <w:rPr>
                <w:sz w:val="9"/>
                <w:szCs w:val="9"/>
                <w:color w:val="auto"/>
              </w:rPr>
            </w:pPr>
          </w:p>
        </w:tc>
      </w:tr>
      <w:tr>
        <w:trPr>
          <w:trHeight w:val="1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00" w:type="dxa"/>
            <w:vAlign w:val="bottom"/>
            <w:shd w:val="clear" w:color="auto" w:fill="CFF0FC"/>
          </w:tcPr>
          <w:p>
            <w:pPr>
              <w:spacing w:after="0"/>
              <w:rPr>
                <w:sz w:val="10"/>
                <w:szCs w:val="10"/>
                <w:color w:val="auto"/>
              </w:rPr>
            </w:pPr>
          </w:p>
        </w:tc>
      </w:tr>
      <w:tr>
        <w:trPr>
          <w:trHeight w:val="109"/>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Impairment of customer list</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r>
      <w:tr>
        <w:trPr>
          <w:trHeight w:val="1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Impairment of goodwill</w:t>
            </w: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r>
      <w:tr>
        <w:trPr>
          <w:trHeight w:val="108"/>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operating expenses</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9,719,157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39,801,454</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51,376,649</w:t>
            </w:r>
          </w:p>
        </w:tc>
        <w:tc>
          <w:tcPr>
            <w:tcW w:w="100" w:type="dxa"/>
            <w:vAlign w:val="bottom"/>
          </w:tcPr>
          <w:p>
            <w:pPr>
              <w:spacing w:after="0"/>
              <w:rPr>
                <w:sz w:val="9"/>
                <w:szCs w:val="9"/>
                <w:color w:val="auto"/>
              </w:rPr>
            </w:pPr>
          </w:p>
        </w:tc>
      </w:tr>
      <w:tr>
        <w:trPr>
          <w:trHeight w:val="117"/>
        </w:trPr>
        <w:tc>
          <w:tcPr>
            <w:tcW w:w="4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r>
      <w:tr>
        <w:trPr>
          <w:trHeight w:val="115"/>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Loss from operations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7"/>
                <w:szCs w:val="7"/>
                <w:color w:val="auto"/>
              </w:rPr>
              <w:t xml:space="preserve">(9,665,758 </w:t>
            </w:r>
            <w:r>
              <w:rPr>
                <w:rFonts w:ascii="Times New Roman" w:cs="Times New Roman" w:eastAsia="Times New Roman" w:hAnsi="Times New Roman"/>
                <w:sz w:val="13"/>
                <w:szCs w:val="13"/>
                <w:color w:val="auto"/>
                <w:vertAlign w:val="subscript"/>
              </w:rPr>
              <w:t>)</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7"/>
                <w:szCs w:val="7"/>
                <w:color w:val="auto"/>
              </w:rPr>
              <w:t xml:space="preserve">(1,856,038 </w:t>
            </w:r>
            <w:r>
              <w:rPr>
                <w:rFonts w:ascii="Times New Roman" w:cs="Times New Roman" w:eastAsia="Times New Roman" w:hAnsi="Times New Roman"/>
                <w:sz w:val="13"/>
                <w:szCs w:val="13"/>
                <w:color w:val="auto"/>
                <w:vertAlign w:val="subscript"/>
              </w:rPr>
              <w:t>)</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7"/>
                <w:szCs w:val="7"/>
                <w:color w:val="auto"/>
              </w:rPr>
              <w:t xml:space="preserve">(39,801,454 </w:t>
            </w:r>
            <w:r>
              <w:rPr>
                <w:rFonts w:ascii="Times New Roman" w:cs="Times New Roman" w:eastAsia="Times New Roman" w:hAnsi="Times New Roman"/>
                <w:sz w:val="13"/>
                <w:szCs w:val="13"/>
                <w:color w:val="auto"/>
                <w:vertAlign w:val="subscript"/>
              </w:rPr>
              <w:t>)</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7"/>
                <w:szCs w:val="7"/>
                <w:color w:val="auto"/>
              </w:rPr>
              <w:t xml:space="preserve">(51,323,250 </w:t>
            </w:r>
            <w:r>
              <w:rPr>
                <w:rFonts w:ascii="Times New Roman" w:cs="Times New Roman" w:eastAsia="Times New Roman" w:hAnsi="Times New Roman"/>
                <w:sz w:val="13"/>
                <w:szCs w:val="13"/>
                <w:color w:val="auto"/>
                <w:vertAlign w:val="subscript"/>
              </w:rPr>
              <w:t>)</w:t>
            </w:r>
          </w:p>
        </w:tc>
      </w:tr>
      <w:tr>
        <w:trPr>
          <w:trHeight w:val="222"/>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8"/>
                <w:szCs w:val="8"/>
                <w:b w:val="1"/>
                <w:bCs w:val="1"/>
                <w:color w:val="auto"/>
              </w:rPr>
              <w:t>Other (expense) income</w:t>
            </w:r>
          </w:p>
        </w:tc>
        <w:tc>
          <w:tcPr>
            <w:tcW w:w="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1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Interest expense</w:t>
            </w:r>
          </w:p>
        </w:tc>
        <w:tc>
          <w:tcPr>
            <w:tcW w:w="60" w:type="dxa"/>
            <w:vAlign w:val="bottom"/>
            <w:shd w:val="clear" w:color="auto" w:fill="CFF0FC"/>
          </w:tcPr>
          <w:p>
            <w:pPr>
              <w:spacing w:after="0"/>
              <w:rPr>
                <w:sz w:val="10"/>
                <w:szCs w:val="10"/>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(3,009,002 )</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(338,861 )</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(492,800 )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(dd)</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(3,840,663 )</w:t>
            </w:r>
          </w:p>
        </w:tc>
      </w:tr>
      <w:tr>
        <w:trPr>
          <w:trHeight w:val="110"/>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Interest income</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476,445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(476,445 )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(ee)</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r>
      <w:tr>
        <w:trPr>
          <w:trHeight w:val="115"/>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60" w:type="dxa"/>
            <w:vAlign w:val="bottom"/>
            <w:shd w:val="clear" w:color="auto" w:fill="CFF0FC"/>
          </w:tcPr>
          <w:p>
            <w:pPr>
              <w:spacing w:after="0"/>
              <w:rPr>
                <w:sz w:val="10"/>
                <w:szCs w:val="10"/>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(107,816 )</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(2,100,000 )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(ff)</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(2,207,816 )</w:t>
            </w:r>
          </w:p>
        </w:tc>
      </w:tr>
      <w:tr>
        <w:trPr>
          <w:trHeight w:val="219"/>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other (expenses) / income, net</w:t>
            </w:r>
          </w:p>
        </w:tc>
        <w:tc>
          <w:tcPr>
            <w:tcW w:w="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(3,116,818 )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137,584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(3,069,245 )</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(6,048,479 )</w:t>
            </w:r>
          </w:p>
        </w:tc>
      </w:tr>
      <w:tr>
        <w:trPr>
          <w:trHeight w:val="118"/>
        </w:trPr>
        <w:tc>
          <w:tcPr>
            <w:tcW w:w="4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r>
      <w:tr>
        <w:trPr>
          <w:trHeight w:val="113"/>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Income (loss) before taxes</w:t>
            </w:r>
          </w:p>
        </w:tc>
        <w:tc>
          <w:tcPr>
            <w:tcW w:w="60" w:type="dxa"/>
            <w:vAlign w:val="bottom"/>
            <w:shd w:val="clear" w:color="auto" w:fill="CFF0FC"/>
          </w:tcPr>
          <w:p>
            <w:pPr>
              <w:spacing w:after="0"/>
              <w:rPr>
                <w:sz w:val="9"/>
                <w:szCs w:val="9"/>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(12,782,576 )</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(1,718,454 )</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(42,870,699 )</w:t>
            </w: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(57,371,729 )</w:t>
            </w:r>
          </w:p>
        </w:tc>
      </w:tr>
      <w:tr>
        <w:trPr>
          <w:trHeight w:val="222"/>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Provision for income taxes</w:t>
            </w:r>
          </w:p>
        </w:tc>
        <w:tc>
          <w:tcPr>
            <w:tcW w:w="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(59,870 )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(85,487 )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85,487</w:t>
            </w:r>
          </w:p>
        </w:tc>
        <w:tc>
          <w:tcPr>
            <w:tcW w:w="120" w:type="dxa"/>
            <w:vAlign w:val="bottom"/>
          </w:tcPr>
          <w:p>
            <w:pPr>
              <w:spacing w:after="0"/>
              <w:rPr>
                <w:sz w:val="19"/>
                <w:szCs w:val="1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(gg)</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(207,906 )</w:t>
            </w:r>
          </w:p>
        </w:tc>
      </w:tr>
      <w:tr>
        <w:trPr>
          <w:trHeight w:val="116"/>
        </w:trPr>
        <w:tc>
          <w:tcPr>
            <w:tcW w:w="4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(hh)</w:t>
            </w: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income</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 xml:space="preserve">(12,842,446 </w:t>
            </w:r>
            <w:r>
              <w:rPr>
                <w:rFonts w:ascii="Times New Roman" w:cs="Times New Roman" w:eastAsia="Times New Roman" w:hAnsi="Times New Roman"/>
                <w:sz w:val="16"/>
                <w:szCs w:val="16"/>
                <w:color w:val="auto"/>
                <w:vertAlign w:val="subscript"/>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 xml:space="preserve">(1,803,941 </w:t>
            </w:r>
            <w:r>
              <w:rPr>
                <w:rFonts w:ascii="Times New Roman" w:cs="Times New Roman" w:eastAsia="Times New Roman" w:hAnsi="Times New Roman"/>
                <w:sz w:val="16"/>
                <w:szCs w:val="16"/>
                <w:color w:val="auto"/>
                <w:vertAlign w:val="subscript"/>
              </w:rPr>
              <w:t>)</w:t>
            </w:r>
          </w:p>
        </w:tc>
        <w:tc>
          <w:tcPr>
            <w:tcW w:w="1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 xml:space="preserve">(42,933,248 </w:t>
            </w:r>
            <w:r>
              <w:rPr>
                <w:rFonts w:ascii="Times New Roman" w:cs="Times New Roman" w:eastAsia="Times New Roman" w:hAnsi="Times New Roman"/>
                <w:sz w:val="16"/>
                <w:szCs w:val="16"/>
                <w:color w:val="auto"/>
                <w:vertAlign w:val="subscript"/>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 xml:space="preserve">(57,579,635 </w:t>
            </w:r>
            <w:r>
              <w:rPr>
                <w:rFonts w:ascii="Times New Roman" w:cs="Times New Roman" w:eastAsia="Times New Roman" w:hAnsi="Times New Roman"/>
                <w:sz w:val="16"/>
                <w:szCs w:val="16"/>
                <w:color w:val="auto"/>
                <w:vertAlign w:val="subscript"/>
              </w:rPr>
              <w:t>)</w:t>
            </w:r>
          </w:p>
        </w:tc>
      </w:tr>
      <w:tr>
        <w:trPr>
          <w:trHeight w:val="113"/>
        </w:trPr>
        <w:tc>
          <w:tcPr>
            <w:tcW w:w="42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Earnings Per Share</w:t>
            </w:r>
          </w:p>
        </w:tc>
        <w:tc>
          <w:tcPr>
            <w:tcW w:w="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9"/>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Weighted average shares of Rezolve common stock used in computing net loss per share, basic and diluted</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927,893,144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w:t>
            </w:r>
          </w:p>
        </w:tc>
        <w:tc>
          <w:tcPr>
            <w:tcW w:w="60" w:type="dxa"/>
            <w:vAlign w:val="bottom"/>
            <w:shd w:val="clear" w:color="auto" w:fill="CFF0FC"/>
          </w:tcPr>
          <w:p>
            <w:pPr>
              <w:spacing w:after="0"/>
              <w:rPr>
                <w:sz w:val="10"/>
                <w:szCs w:val="10"/>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(0.01 )</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07"/>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4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3"/>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9"/>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5,709,500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222"/>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Proforma Basic and diluted weighted average shares outstanding, common stock subject to possible redemption</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204,702,306</w:t>
            </w:r>
          </w:p>
        </w:tc>
        <w:tc>
          <w:tcPr>
            <w:tcW w:w="100" w:type="dxa"/>
            <w:vAlign w:val="bottom"/>
          </w:tcPr>
          <w:p>
            <w:pPr>
              <w:spacing w:after="0"/>
              <w:rPr>
                <w:sz w:val="19"/>
                <w:szCs w:val="19"/>
                <w:color w:val="auto"/>
              </w:rPr>
            </w:pPr>
          </w:p>
        </w:tc>
      </w:tr>
      <w:tr>
        <w:trPr>
          <w:trHeight w:val="115"/>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Proforma Net loss per share, basic and diluted</w:t>
            </w: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(0.28 )</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PRO FORMA CONDENSED COMBINED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1—Basis of Presentation</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(iii) Rezolve’s existing management will comprise the management of Rezolve; (iv) Rezolve will comprise the ongoing operations of Rezolve; (v) Rezolve is the larger entity based on historical revenues and business operations; and (vi) Rezolve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0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should be read in conjunction with: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418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incorporated by reference in this filing; •the historical unaudited financial statements for Armada as of and for the quarter ended December 31, 2023, incorporated by reference to this filing;</w:t>
      </w:r>
    </w:p>
    <w:p>
      <w:pPr>
        <w:ind w:left="480" w:right="2900"/>
        <w:spacing w:after="0" w:line="38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AI Limited as of, and for the year ended, December 31, 2023, included elsewhere in this proxy statement/prospectus; and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Operations</w:t>
      </w:r>
      <w:r>
        <w:rPr>
          <w:rFonts w:ascii="Times New Roman" w:cs="Times New Roman" w:eastAsia="Times New Roman" w:hAnsi="Times New Roman"/>
          <w:sz w:val="10"/>
          <w:szCs w:val="10"/>
          <w:color w:val="auto"/>
        </w:rPr>
        <w:t>”</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condensed pro forma adjustments, which are described in the accompanying notes, may be revised as additional information becomes available and is evaluated.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4" w:name="page55"/>
    <w:bookmarkEnd w:id="54"/>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They should be read in conjunction with the audited financial statements and notes thereto of each of Armada and Rezolve included elsewhere in this proxy statement/prospectus.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2—Unaudited pro forma condensed combined balance sheet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to the unaudited pro forma condensed combined balance sheet as of December 31, 2023 are as follows: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w:t>
      </w:r>
      <w:r>
        <w:rPr>
          <w:rFonts w:ascii="Times New Roman" w:cs="Times New Roman" w:eastAsia="Times New Roman" w:hAnsi="Times New Roman"/>
          <w:sz w:val="10"/>
          <w:szCs w:val="10"/>
          <w:color w:val="auto"/>
        </w:rPr>
        <w:t>Reflects the estimated transaction costs incurred including, but not limited to advisory fees, legal fees and demerger costs that will be paid in connection with the consummation of the Business Combination.</w:t>
      </w:r>
    </w:p>
    <w:p>
      <w:pPr>
        <w:spacing w:after="0" w:line="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•Fees. Fee payments of an aggregate of approximately $31.5 million to CCM, Northland and Cantor Fitzgerald due upon Closing of the Business Combination.</w:t>
      </w:r>
    </w:p>
    <w:p>
      <w:pPr>
        <w:spacing w:after="0" w:line="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•Demerger and Liquidation costs of approximately $3.1 million.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(b)</w:t>
      </w:r>
      <w:r>
        <w:rPr>
          <w:rFonts w:ascii="Times New Roman" w:cs="Times New Roman" w:eastAsia="Times New Roman" w:hAnsi="Times New Roman"/>
          <w:sz w:val="10"/>
          <w:szCs w:val="10"/>
          <w:color w:val="auto"/>
        </w:rPr>
        <w:t>Reflects the settlement of Accounts payable of Armada primarily due to legal costs of the Business Combinations.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w:t>
      </w:r>
      <w:r>
        <w:rPr>
          <w:rFonts w:ascii="Times New Roman" w:cs="Times New Roman" w:eastAsia="Times New Roman" w:hAnsi="Times New Roman"/>
          <w:sz w:val="10"/>
          <w:szCs w:val="10"/>
          <w:color w:val="auto"/>
        </w:rPr>
        <w:t>Reflects the payment of taxes payable using interest earned on cash held in trust.</w:t>
      </w:r>
    </w:p>
    <w:p>
      <w:pPr>
        <w:spacing w:after="0" w:line="58"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i w:val="1"/>
          <w:iCs w:val="1"/>
          <w:color w:val="auto"/>
        </w:rPr>
        <w:t>(d)</w:t>
      </w:r>
      <w:r>
        <w:rPr>
          <w:rFonts w:ascii="Times New Roman" w:cs="Times New Roman" w:eastAsia="Times New Roman" w:hAnsi="Times New Roman"/>
          <w:sz w:val="10"/>
          <w:szCs w:val="10"/>
          <w:color w:val="auto"/>
        </w:rPr>
        <w:t>Reflects a promissory note issued by Rezolve AI Limited to Cohen &amp; Company Financial Management LLC for $3,056,726 with interest on the principal amount outstanding at a rate of 4.95% per annum with the principal amount and any accrued interest</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due and payable on August 14, 2027.</w:t>
      </w:r>
    </w:p>
    <w:p>
      <w:pPr>
        <w:spacing w:after="0" w:line="37" w:lineRule="exact"/>
        <w:rPr>
          <w:sz w:val="20"/>
          <w:szCs w:val="20"/>
          <w:color w:val="auto"/>
        </w:rPr>
      </w:pPr>
    </w:p>
    <w:p>
      <w:pPr>
        <w:ind w:left="480" w:right="40"/>
        <w:spacing w:after="0" w:line="239" w:lineRule="auto"/>
        <w:rPr>
          <w:sz w:val="20"/>
          <w:szCs w:val="20"/>
          <w:color w:val="auto"/>
        </w:rPr>
      </w:pPr>
      <w:r>
        <w:rPr>
          <w:rFonts w:ascii="Times New Roman" w:cs="Times New Roman" w:eastAsia="Times New Roman" w:hAnsi="Times New Roman"/>
          <w:sz w:val="10"/>
          <w:szCs w:val="10"/>
          <w:i w:val="1"/>
          <w:iCs w:val="1"/>
          <w:color w:val="auto"/>
        </w:rPr>
        <w:t>(e)</w:t>
      </w:r>
      <w:r>
        <w:rPr>
          <w:rFonts w:ascii="Times New Roman" w:cs="Times New Roman" w:eastAsia="Times New Roman" w:hAnsi="Times New Roman"/>
          <w:sz w:val="10"/>
          <w:szCs w:val="10"/>
          <w:color w:val="auto"/>
        </w:rPr>
        <w:t>Reflects the withdrawals of cash from the Trust Account, excluding the redemptions in note (f) . The Charter Limitation in the Armada Charter would prohibit Armada from closing the Business Combination if has net tangible assets less than $5,000,001</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(f)</w:t>
      </w:r>
      <w:r>
        <w:rPr>
          <w:rFonts w:ascii="Times New Roman" w:cs="Times New Roman" w:eastAsia="Times New Roman" w:hAnsi="Times New Roman"/>
          <w:sz w:val="10"/>
          <w:szCs w:val="10"/>
          <w:color w:val="auto"/>
        </w:rPr>
        <w:t>Reflects the redemption of 1,300,391 shares in August 2024, respectively out of a total of 1,417,687 as at June 30, 2024.</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(g)</w:t>
      </w:r>
      <w:r>
        <w:rPr>
          <w:rFonts w:ascii="Times New Roman" w:cs="Times New Roman" w:eastAsia="Times New Roman" w:hAnsi="Times New Roman"/>
          <w:sz w:val="10"/>
          <w:szCs w:val="10"/>
          <w:color w:val="auto"/>
        </w:rPr>
        <w:t>Reflects the conversion of the ordinary shares payable under the rights issue upon the completion of the reorganization immediately before listing.</w:t>
      </w:r>
    </w:p>
    <w:p>
      <w:pPr>
        <w:spacing w:after="0" w:line="58"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i w:val="1"/>
          <w:iCs w:val="1"/>
          <w:color w:val="auto"/>
        </w:rPr>
        <w:t>(h)</w:t>
      </w:r>
      <w:r>
        <w:rPr>
          <w:rFonts w:ascii="Times New Roman" w:cs="Times New Roman" w:eastAsia="Times New Roman" w:hAnsi="Times New Roman"/>
          <w:sz w:val="10"/>
          <w:szCs w:val="10"/>
          <w:color w:val="auto"/>
        </w:rPr>
        <w:t>Reflects the conversion of short-term convertible debt into Rezolve Common stock at $1 per loan note to a 5% discount to the pre-equity consummation of the Business Combination. Reflects the conversion of long-term convertible debt at the close of the</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w:t>
      </w:r>
      <w:r>
        <w:rPr>
          <w:rFonts w:ascii="Times New Roman" w:cs="Times New Roman" w:eastAsia="Times New Roman" w:hAnsi="Times New Roman"/>
          <w:sz w:val="10"/>
          <w:szCs w:val="10"/>
          <w:color w:val="auto"/>
        </w:rPr>
        <w:t>Reflects the exchange of Armada Common Stock having a nominal value of $0.0001 per share into the Combined Company’s ordinary shares of £0.0001 per share, with the remainder captured in Rezolve’s additional paid-in capital.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(j)</w:t>
      </w:r>
      <w:r>
        <w:rPr>
          <w:rFonts w:ascii="Times New Roman" w:cs="Times New Roman" w:eastAsia="Times New Roman" w:hAnsi="Times New Roman"/>
          <w:sz w:val="10"/>
          <w:szCs w:val="10"/>
          <w:color w:val="auto"/>
        </w:rPr>
        <w:t>Reflects the conversion of Armada redeemable stock into Rezolve ordinary shares under the minimum redemption scenarios.</w:t>
      </w:r>
    </w:p>
    <w:p>
      <w:pPr>
        <w:spacing w:after="0" w:line="58"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0"/>
          <w:szCs w:val="10"/>
          <w:i w:val="1"/>
          <w:iCs w:val="1"/>
          <w:color w:val="auto"/>
        </w:rPr>
        <w:t>(k)</w:t>
      </w:r>
      <w:r>
        <w:rPr>
          <w:rFonts w:ascii="Times New Roman" w:cs="Times New Roman" w:eastAsia="Times New Roman" w:hAnsi="Times New Roman"/>
          <w:sz w:val="10"/>
          <w:szCs w:val="10"/>
          <w:color w:val="auto"/>
        </w:rPr>
        <w:t>Pursuant to the Business Combination, each outstanding share of Rezolve’s Series A Preferred Stock will automatically convert into one Rezolve ordinary share and thereafter the ordinary shares will be the subject of the Company Reorganization. As a</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result, the adjustments reflect the reduction in Rezolve’s Series A shares, and a corresponding increase in Rezolve’s ordinary shares.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(l)</w:t>
      </w: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55" w:name="page56"/>
    <w:bookmarkEnd w:id="55"/>
    <w:p>
      <w:pPr>
        <w:ind w:left="480"/>
        <w:spacing w:after="0"/>
        <w:rPr>
          <w:sz w:val="20"/>
          <w:szCs w:val="20"/>
          <w:color w:val="auto"/>
        </w:rPr>
      </w:pPr>
      <w:r>
        <w:rPr>
          <w:rFonts w:ascii="Times New Roman" w:cs="Times New Roman" w:eastAsia="Times New Roman" w:hAnsi="Times New Roman"/>
          <w:sz w:val="10"/>
          <w:szCs w:val="10"/>
          <w:i w:val="1"/>
          <w:iCs w:val="1"/>
          <w:color w:val="auto"/>
        </w:rPr>
        <w:t>(m)</w:t>
      </w:r>
      <w:r>
        <w:rPr>
          <w:rFonts w:ascii="Times New Roman" w:cs="Times New Roman" w:eastAsia="Times New Roman" w:hAnsi="Times New Roman"/>
          <w:sz w:val="10"/>
          <w:szCs w:val="10"/>
          <w:color w:val="auto"/>
        </w:rPr>
        <w:t>Reflects the grant of 58.3 million ordinary shares at a valuation of $0.63 for employee shares that will trigger a grant upon amending the articles of the company, anticipated before the close of the Business Combination.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(n)</w:t>
      </w:r>
      <w:r>
        <w:rPr>
          <w:rFonts w:ascii="Times New Roman" w:cs="Times New Roman" w:eastAsia="Times New Roman" w:hAnsi="Times New Roman"/>
          <w:sz w:val="10"/>
          <w:szCs w:val="10"/>
          <w:color w:val="auto"/>
        </w:rPr>
        <w:t>Elimination of historical retained earnings of Armada as part of the acquisition accounting.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(o)</w:t>
      </w: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(p)</w:t>
      </w:r>
      <w:r>
        <w:rPr>
          <w:rFonts w:ascii="Times New Roman" w:cs="Times New Roman" w:eastAsia="Times New Roman" w:hAnsi="Times New Roman"/>
          <w:sz w:val="10"/>
          <w:szCs w:val="10"/>
          <w:color w:val="auto"/>
        </w:rPr>
        <w:t>Reflects the reclass of accumulated deficit from Rezolve Limited into Additional Paid-in Capital of Rezolve Ai Limited upon demerger of Rezolve Limited,</w:t>
      </w:r>
    </w:p>
    <w:p>
      <w:pPr>
        <w:spacing w:after="0" w:line="58" w:lineRule="exact"/>
        <w:rPr>
          <w:sz w:val="20"/>
          <w:szCs w:val="20"/>
          <w:color w:val="auto"/>
        </w:rPr>
      </w:pPr>
    </w:p>
    <w:p>
      <w:pPr>
        <w:ind w:left="480"/>
        <w:spacing w:after="0" w:line="288" w:lineRule="auto"/>
        <w:rPr>
          <w:sz w:val="20"/>
          <w:szCs w:val="20"/>
          <w:color w:val="auto"/>
        </w:rPr>
      </w:pPr>
      <w:r>
        <w:rPr>
          <w:rFonts w:ascii="Times New Roman" w:cs="Times New Roman" w:eastAsia="Times New Roman" w:hAnsi="Times New Roman"/>
          <w:sz w:val="9"/>
          <w:szCs w:val="9"/>
          <w:i w:val="1"/>
          <w:iCs w:val="1"/>
          <w:color w:val="auto"/>
        </w:rPr>
        <w:t>(q)</w:t>
      </w:r>
      <w:r>
        <w:rPr>
          <w:rFonts w:ascii="Times New Roman" w:cs="Times New Roman" w:eastAsia="Times New Roman" w:hAnsi="Times New Roman"/>
          <w:sz w:val="9"/>
          <w:szCs w:val="9"/>
          <w:color w:val="auto"/>
        </w:rPr>
        <w:t>Reflects an aggregate of $ 28,641,250 principal amount due under certain promissory notes, consisting of (1) a promissory note issued by Armada to Northland Securities, Inc. for $5,141,250 with interest on the principal amount outstanding at a rate of 10%</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9"/>
          <w:szCs w:val="9"/>
          <w:color w:val="auto"/>
        </w:rPr>
        <w:t>per annum from July 30, 2024,until the note is fully paid; (2) a promissory note issued by Armada to J.V.B.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3—Unaudited pro forma condensed combined statements of operations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included in the unaudited pro forma condensed combined statement of operations for the year ended December 31, 2023 are as follows:</w:t>
      </w:r>
    </w:p>
    <w:p>
      <w:pPr>
        <w:spacing w:after="0" w:line="58" w:lineRule="exact"/>
        <w:rPr>
          <w:sz w:val="20"/>
          <w:szCs w:val="20"/>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a reclassification of Armada costs to conform with S-X 5-03.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interest income earned assuming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580" w:hanging="140"/>
        <w:spacing w:after="0"/>
        <w:tabs>
          <w:tab w:leader="none" w:pos="58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estimated costs of the Pre-Closing Demerger that will be paid in connection with the consummation of the Business Combination. This is a non-recurring item.</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taxes payable on interest income that would have not been incurred given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excise tax payable on the redemption of 1,300,391 shares in August 2024, respectively out of a total of 1,417,687 at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4—Earnings per Share</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56" w:name="page57"/>
    <w:bookmarkEnd w:id="56"/>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 Limited—Partner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jc w:val="both"/>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has undertaken to re-register as a public limited company on or before January 9, 2025.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38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1805305" cy="5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313" w:lineRule="exact"/>
        <w:rPr>
          <w:sz w:val="20"/>
          <w:szCs w:val="20"/>
          <w:color w:val="auto"/>
        </w:rPr>
      </w:pPr>
    </w:p>
    <w:p>
      <w:pPr>
        <w:ind w:left="5270" w:right="4420" w:hanging="5270"/>
        <w:spacing w:after="0" w:line="409" w:lineRule="auto"/>
        <w:tabs>
          <w:tab w:leader="none" w:pos="63"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677862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57" w:name="page58"/>
    <w:bookmarkEnd w:id="57"/>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58" w:lineRule="exact"/>
        <w:rPr>
          <w:sz w:val="20"/>
          <w:szCs w:val="20"/>
          <w:color w:val="auto"/>
        </w:rPr>
      </w:pPr>
    </w:p>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years ended December 31,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Impairment of investment in ANY</w:t>
      </w:r>
      <w:r>
        <w:rPr>
          <w:rFonts w:ascii="Times New Roman" w:cs="Times New Roman" w:eastAsia="Times New Roman" w:hAnsi="Times New Roman"/>
          <w:sz w:val="10"/>
          <w:szCs w:val="10"/>
          <w:color w:val="auto"/>
        </w:rPr>
        <w:t>: Consists of the value of the investment in ANY which was impaired following the Company’s loss of voting rights and indicators of impairment.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0"/>
          <w:szCs w:val="10"/>
          <w:b w:val="1"/>
          <w:bCs w:val="1"/>
          <w:color w:val="auto"/>
        </w:rPr>
        <w:t>Results of Operations for the year ended December 31, 2023.</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tcPr>
          <w:p>
            <w:pPr>
              <w:spacing w:after="0"/>
              <w:rPr>
                <w:sz w:val="9"/>
                <w:szCs w:val="9"/>
                <w:color w:val="auto"/>
              </w:rPr>
            </w:pPr>
          </w:p>
        </w:tc>
      </w:tr>
      <w:tr>
        <w:trPr>
          <w:trHeight w:val="115"/>
        </w:trPr>
        <w:tc>
          <w:tcPr>
            <w:tcW w:w="3140" w:type="dxa"/>
            <w:vAlign w:val="bottom"/>
          </w:tcPr>
          <w:p>
            <w:pPr>
              <w:spacing w:after="0"/>
              <w:rPr>
                <w:sz w:val="10"/>
                <w:szCs w:val="10"/>
                <w:color w:val="auto"/>
              </w:rPr>
            </w:pPr>
          </w:p>
        </w:tc>
        <w:tc>
          <w:tcPr>
            <w:tcW w:w="2180" w:type="dxa"/>
            <w:vAlign w:val="bottom"/>
          </w:tcPr>
          <w:p>
            <w:pPr>
              <w:jc w:val="right"/>
              <w:ind w:right="15"/>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31"/>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27"/>
        </w:trPr>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145,051</w:t>
            </w:r>
          </w:p>
        </w:tc>
        <w:tc>
          <w:tcPr>
            <w:tcW w:w="540" w:type="dxa"/>
            <w:vAlign w:val="bottom"/>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115,159</w:t>
            </w:r>
          </w:p>
        </w:tc>
      </w:tr>
      <w:tr>
        <w:trPr>
          <w:trHeight w:val="128"/>
        </w:trPr>
        <w:tc>
          <w:tcPr>
            <w:tcW w:w="3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145,051</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115,159</w:t>
            </w:r>
          </w:p>
        </w:tc>
      </w:tr>
      <w:tr>
        <w:trPr>
          <w:trHeight w:val="127"/>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Operating expenses</w:t>
            </w:r>
          </w:p>
        </w:tc>
        <w:tc>
          <w:tcPr>
            <w:tcW w:w="2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8"/>
        </w:trPr>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Cost of revenues</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34,791</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745,040</w:t>
            </w:r>
          </w:p>
        </w:tc>
      </w:tr>
      <w:tr>
        <w:trPr>
          <w:trHeight w:val="127"/>
        </w:trPr>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2180" w:type="dxa"/>
            <w:vAlign w:val="bottom"/>
          </w:tcPr>
          <w:p>
            <w:pPr>
              <w:spacing w:after="0"/>
              <w:rPr>
                <w:sz w:val="11"/>
                <w:szCs w:val="11"/>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6,731,254</w:t>
            </w:r>
          </w:p>
        </w:tc>
        <w:tc>
          <w:tcPr>
            <w:tcW w:w="54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4,338,557</w:t>
            </w:r>
          </w:p>
        </w:tc>
      </w:tr>
      <w:tr>
        <w:trPr>
          <w:trHeight w:val="128"/>
        </w:trPr>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17,986,528</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86,640,500</w:t>
            </w:r>
          </w:p>
        </w:tc>
      </w:tr>
      <w:tr>
        <w:trPr>
          <w:trHeight w:val="127"/>
        </w:trPr>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operating expenses</w:t>
            </w:r>
          </w:p>
        </w:tc>
        <w:tc>
          <w:tcPr>
            <w:tcW w:w="2180" w:type="dxa"/>
            <w:vAlign w:val="bottom"/>
          </w:tcPr>
          <w:p>
            <w:pPr>
              <w:spacing w:after="0"/>
              <w:rPr>
                <w:sz w:val="11"/>
                <w:szCs w:val="11"/>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334,952</w:t>
            </w:r>
          </w:p>
        </w:tc>
      </w:tr>
      <w:tr>
        <w:trPr>
          <w:trHeight w:val="128"/>
        </w:trPr>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Depreciation and amortization expenses</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235,797</w:t>
            </w:r>
          </w:p>
        </w:tc>
      </w:tr>
      <w:tr>
        <w:trPr>
          <w:trHeight w:val="127"/>
        </w:trPr>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Impairment of investment in ANY</w:t>
            </w:r>
          </w:p>
        </w:tc>
        <w:tc>
          <w:tcPr>
            <w:tcW w:w="2180" w:type="dxa"/>
            <w:vAlign w:val="bottom"/>
          </w:tcPr>
          <w:p>
            <w:pPr>
              <w:spacing w:after="0"/>
              <w:rPr>
                <w:sz w:val="11"/>
                <w:szCs w:val="11"/>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14,822,022</w:t>
            </w:r>
          </w:p>
        </w:tc>
      </w:tr>
      <w:tr>
        <w:trPr>
          <w:trHeight w:val="128"/>
        </w:trPr>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Impairment of goodwill</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44,438</w:t>
            </w:r>
          </w:p>
        </w:tc>
      </w:tr>
      <w:tr>
        <w:trPr>
          <w:trHeight w:val="127"/>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Total operating expenses</w:t>
            </w:r>
          </w:p>
        </w:tc>
        <w:tc>
          <w:tcPr>
            <w:tcW w:w="2180" w:type="dxa"/>
            <w:vAlign w:val="bottom"/>
          </w:tcPr>
          <w:p>
            <w:pPr>
              <w:spacing w:after="0"/>
              <w:rPr>
                <w:sz w:val="11"/>
                <w:szCs w:val="11"/>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26,151,325</w:t>
            </w:r>
          </w:p>
        </w:tc>
        <w:tc>
          <w:tcPr>
            <w:tcW w:w="54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107,161,306</w:t>
            </w:r>
          </w:p>
        </w:tc>
      </w:tr>
      <w:tr>
        <w:trPr>
          <w:trHeight w:val="128"/>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Operating loss</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w w:val="99"/>
              </w:rPr>
              <w:t>(26,006,274 )</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(107,046,147 )</w:t>
            </w:r>
          </w:p>
        </w:tc>
      </w:tr>
      <w:tr>
        <w:trPr>
          <w:trHeight w:val="127"/>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expenses</w:t>
            </w:r>
          </w:p>
        </w:tc>
        <w:tc>
          <w:tcPr>
            <w:tcW w:w="2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8"/>
        </w:trPr>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(4,791,782 )</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(3,884,695 )</w:t>
            </w:r>
          </w:p>
        </w:tc>
      </w:tr>
      <w:tr>
        <w:trPr>
          <w:trHeight w:val="127"/>
        </w:trPr>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2180" w:type="dxa"/>
            <w:vAlign w:val="bottom"/>
          </w:tcPr>
          <w:p>
            <w:pPr>
              <w:spacing w:after="0"/>
              <w:rPr>
                <w:sz w:val="11"/>
                <w:szCs w:val="11"/>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125,366</w:t>
            </w:r>
          </w:p>
        </w:tc>
        <w:tc>
          <w:tcPr>
            <w:tcW w:w="54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256,659</w:t>
            </w:r>
          </w:p>
        </w:tc>
      </w:tr>
      <w:tr>
        <w:trPr>
          <w:trHeight w:val="128"/>
        </w:trPr>
        <w:tc>
          <w:tcPr>
            <w:tcW w:w="3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rPr>
              <w:t>Total other expenses, net</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(4,666,416 )</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(3,628,036 )</w:t>
            </w:r>
          </w:p>
        </w:tc>
      </w:tr>
      <w:tr>
        <w:trPr>
          <w:trHeight w:val="127"/>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Loss before taxes</w:t>
            </w:r>
          </w:p>
        </w:tc>
        <w:tc>
          <w:tcPr>
            <w:tcW w:w="2180" w:type="dxa"/>
            <w:vAlign w:val="bottom"/>
          </w:tcPr>
          <w:p>
            <w:pPr>
              <w:spacing w:after="0"/>
              <w:rPr>
                <w:sz w:val="11"/>
                <w:szCs w:val="11"/>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9"/>
              </w:rPr>
              <w:t>(30,672,690 )</w:t>
            </w: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(110,674,183 )</w:t>
            </w:r>
          </w:p>
        </w:tc>
      </w:tr>
      <w:tr>
        <w:trPr>
          <w:trHeight w:val="128"/>
        </w:trPr>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Income tax expense</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(63,408 )</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(38,765 )</w:t>
            </w:r>
          </w:p>
        </w:tc>
      </w:tr>
      <w:tr>
        <w:trPr>
          <w:trHeight w:val="12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18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(110,712,948 )</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Comparison of year ended December 31, 2023 and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year ended December 31, 2023, as compared to the year ended December 31, 2022:</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4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gridSpan w:val="3"/>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20" w:type="dxa"/>
            <w:vAlign w:val="bottom"/>
            <w:gridSpan w:val="2"/>
          </w:tcPr>
          <w:p>
            <w:pPr>
              <w:jc w:val="right"/>
              <w:ind w:right="1191"/>
              <w:spacing w:after="0"/>
              <w:rPr>
                <w:sz w:val="20"/>
                <w:szCs w:val="20"/>
                <w:color w:val="auto"/>
              </w:rPr>
            </w:pPr>
            <w:r>
              <w:rPr>
                <w:rFonts w:ascii="Times New Roman" w:cs="Times New Roman" w:eastAsia="Times New Roman" w:hAnsi="Times New Roman"/>
                <w:sz w:val="8"/>
                <w:szCs w:val="8"/>
                <w:b w:val="1"/>
                <w:bCs w:val="1"/>
                <w:color w:val="auto"/>
                <w:w w:val="98"/>
              </w:rPr>
              <w:t>Change</w:t>
            </w:r>
          </w:p>
        </w:tc>
      </w:tr>
      <w:tr>
        <w:trPr>
          <w:trHeight w:val="115"/>
        </w:trPr>
        <w:tc>
          <w:tcPr>
            <w:tcW w:w="4100" w:type="dxa"/>
            <w:vAlign w:val="bottom"/>
          </w:tcPr>
          <w:p>
            <w:pPr>
              <w:spacing w:after="0"/>
              <w:rPr>
                <w:sz w:val="10"/>
                <w:szCs w:val="10"/>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jc w:val="right"/>
              <w:ind w:right="474"/>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right"/>
              <w:ind w:right="494"/>
              <w:spacing w:after="0"/>
              <w:rPr>
                <w:sz w:val="20"/>
                <w:szCs w:val="20"/>
                <w:color w:val="auto"/>
              </w:rPr>
            </w:pPr>
            <w:r>
              <w:rPr>
                <w:rFonts w:ascii="Times New Roman" w:cs="Times New Roman" w:eastAsia="Times New Roman" w:hAnsi="Times New Roman"/>
                <w:sz w:val="8"/>
                <w:szCs w:val="8"/>
                <w:b w:val="1"/>
                <w:bCs w:val="1"/>
                <w:color w:val="auto"/>
              </w:rPr>
              <w:t>$</w:t>
            </w:r>
          </w:p>
        </w:tc>
        <w:tc>
          <w:tcPr>
            <w:tcW w:w="1520" w:type="dxa"/>
            <w:vAlign w:val="bottom"/>
            <w:gridSpan w:val="2"/>
          </w:tcPr>
          <w:p>
            <w:pPr>
              <w:jc w:val="right"/>
              <w:ind w:right="631"/>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31"/>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Revenues</w:t>
            </w:r>
          </w:p>
        </w:tc>
        <w:tc>
          <w:tcPr>
            <w:tcW w:w="7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145,051</w:t>
            </w: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115,159</w:t>
            </w:r>
          </w:p>
        </w:tc>
        <w:tc>
          <w:tcPr>
            <w:tcW w:w="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29,892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26 %</w:t>
            </w:r>
          </w:p>
        </w:tc>
      </w:tr>
      <w:tr>
        <w:trPr>
          <w:trHeight w:val="130"/>
        </w:trPr>
        <w:tc>
          <w:tcPr>
            <w:tcW w:w="4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Total revenues</w:t>
            </w:r>
          </w:p>
        </w:tc>
        <w:tc>
          <w:tcPr>
            <w:tcW w:w="7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145,051</w:t>
            </w:r>
          </w:p>
        </w:tc>
        <w:tc>
          <w:tcPr>
            <w:tcW w:w="220" w:type="dxa"/>
            <w:vAlign w:val="bottom"/>
          </w:tcPr>
          <w:p>
            <w:pPr>
              <w:spacing w:after="0"/>
              <w:rPr>
                <w:sz w:val="11"/>
                <w:szCs w:val="11"/>
                <w:color w:val="auto"/>
              </w:rPr>
            </w:pPr>
          </w:p>
        </w:tc>
        <w:tc>
          <w:tcPr>
            <w:tcW w:w="4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115,159</w:t>
            </w:r>
          </w:p>
        </w:tc>
        <w:tc>
          <w:tcPr>
            <w:tcW w:w="200" w:type="dxa"/>
            <w:vAlign w:val="bottom"/>
          </w:tcPr>
          <w:p>
            <w:pPr>
              <w:spacing w:after="0"/>
              <w:rPr>
                <w:sz w:val="11"/>
                <w:szCs w:val="11"/>
                <w:color w:val="auto"/>
              </w:rPr>
            </w:pPr>
          </w:p>
        </w:tc>
        <w:tc>
          <w:tcPr>
            <w:tcW w:w="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29,892</w:t>
            </w:r>
          </w:p>
        </w:tc>
        <w:tc>
          <w:tcPr>
            <w:tcW w:w="20" w:type="dxa"/>
            <w:vAlign w:val="bottom"/>
            <w:tcBorders>
              <w:bottom w:val="single" w:sz="8" w:color="auto"/>
            </w:tcBorders>
          </w:tcPr>
          <w:p>
            <w:pPr>
              <w:spacing w:after="0"/>
              <w:rPr>
                <w:sz w:val="11"/>
                <w:szCs w:val="1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$0.11 million for the year ended December 31, 2022 as compared to $0.15 million for the year ended December 31, 2023 is attributable to increased ticketing revenue from Spain.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year ended December 31, 2023, as compared to the year ended December 31, 2022:</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4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60" w:type="dxa"/>
            <w:vAlign w:val="bottom"/>
            <w:gridSpan w:val="3"/>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b w:val="1"/>
                <w:bCs w:val="1"/>
                <w:color w:val="auto"/>
              </w:rPr>
              <w:t>Change</w:t>
            </w: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4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2022</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spacing w:after="0"/>
              <w:rPr>
                <w:sz w:val="10"/>
                <w:szCs w:val="10"/>
                <w:color w:val="auto"/>
              </w:rPr>
            </w:pPr>
          </w:p>
        </w:tc>
        <w:tc>
          <w:tcPr>
            <w:tcW w:w="1000" w:type="dxa"/>
            <w:vAlign w:val="bottom"/>
          </w:tcPr>
          <w:p>
            <w:pPr>
              <w:jc w:val="right"/>
              <w:ind w:right="632"/>
              <w:spacing w:after="0"/>
              <w:rPr>
                <w:sz w:val="20"/>
                <w:szCs w:val="20"/>
                <w:color w:val="auto"/>
              </w:rPr>
            </w:pPr>
            <w:r>
              <w:rPr>
                <w:rFonts w:ascii="Times New Roman" w:cs="Times New Roman" w:eastAsia="Times New Roman" w:hAnsi="Times New Roman"/>
                <w:sz w:val="8"/>
                <w:szCs w:val="8"/>
                <w:b w:val="1"/>
                <w:bCs w:val="1"/>
                <w:color w:val="auto"/>
              </w:rPr>
              <w:t>%</w:t>
            </w:r>
          </w:p>
        </w:tc>
        <w:tc>
          <w:tcPr>
            <w:tcW w:w="20" w:type="dxa"/>
            <w:vAlign w:val="bottom"/>
          </w:tcPr>
          <w:p>
            <w:pPr>
              <w:spacing w:after="0"/>
              <w:rPr>
                <w:sz w:val="10"/>
                <w:szCs w:val="10"/>
                <w:color w:val="auto"/>
              </w:rPr>
            </w:pPr>
          </w:p>
        </w:tc>
      </w:tr>
      <w:tr>
        <w:trPr>
          <w:trHeight w:val="130"/>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Operating expenses</w:t>
            </w: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4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Cost of revenue</w:t>
            </w:r>
          </w:p>
        </w:tc>
        <w:tc>
          <w:tcPr>
            <w:tcW w:w="280" w:type="dxa"/>
            <w:vAlign w:val="bottom"/>
          </w:tcPr>
          <w:p>
            <w:pPr>
              <w:jc w:val="right"/>
              <w:ind w:right="21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34,791</w:t>
            </w:r>
          </w:p>
        </w:tc>
        <w:tc>
          <w:tcPr>
            <w:tcW w:w="640" w:type="dxa"/>
            <w:vAlign w:val="bottom"/>
            <w:gridSpan w:val="2"/>
          </w:tcPr>
          <w:p>
            <w:pPr>
              <w:jc w:val="right"/>
              <w:ind w:right="331"/>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745,040</w:t>
            </w:r>
          </w:p>
        </w:tc>
        <w:tc>
          <w:tcPr>
            <w:tcW w:w="520" w:type="dxa"/>
            <w:vAlign w:val="bottom"/>
            <w:gridSpan w:val="2"/>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(710,259 )</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95 %</w:t>
            </w:r>
          </w:p>
        </w:tc>
        <w:tc>
          <w:tcPr>
            <w:tcW w:w="20" w:type="dxa"/>
            <w:vAlign w:val="bottom"/>
          </w:tcPr>
          <w:p>
            <w:pPr>
              <w:spacing w:after="0"/>
              <w:rPr>
                <w:sz w:val="11"/>
                <w:szCs w:val="11"/>
                <w:color w:val="auto"/>
              </w:rPr>
            </w:pPr>
          </w:p>
        </w:tc>
      </w:tr>
      <w:tr>
        <w:trPr>
          <w:trHeight w:val="128"/>
        </w:trPr>
        <w:tc>
          <w:tcPr>
            <w:tcW w:w="4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6,731,254</w:t>
            </w: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4,338,557</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2,392,697</w:t>
            </w:r>
          </w:p>
        </w:tc>
        <w:tc>
          <w:tcPr>
            <w:tcW w:w="5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20" w:type="dxa"/>
            <w:vAlign w:val="bottom"/>
          </w:tcPr>
          <w:p>
            <w:pPr>
              <w:spacing w:after="0"/>
              <w:rPr>
                <w:sz w:val="11"/>
                <w:szCs w:val="11"/>
                <w:color w:val="auto"/>
              </w:rPr>
            </w:pPr>
          </w:p>
        </w:tc>
      </w:tr>
      <w:tr>
        <w:trPr>
          <w:trHeight w:val="127"/>
        </w:trPr>
        <w:tc>
          <w:tcPr>
            <w:tcW w:w="4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17,986,528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86,640,500</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(68,653,972 )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(79 )%</w:t>
            </w:r>
          </w:p>
        </w:tc>
      </w:tr>
      <w:tr>
        <w:trPr>
          <w:trHeight w:val="128"/>
        </w:trPr>
        <w:tc>
          <w:tcPr>
            <w:tcW w:w="4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Other operating expenses</w:t>
            </w: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1,156,316</w:t>
            </w: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334,952</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821,364</w:t>
            </w:r>
          </w:p>
        </w:tc>
        <w:tc>
          <w:tcPr>
            <w:tcW w:w="5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245 %</w:t>
            </w:r>
          </w:p>
        </w:tc>
        <w:tc>
          <w:tcPr>
            <w:tcW w:w="20" w:type="dxa"/>
            <w:vAlign w:val="bottom"/>
          </w:tcPr>
          <w:p>
            <w:pPr>
              <w:spacing w:after="0"/>
              <w:rPr>
                <w:sz w:val="11"/>
                <w:szCs w:val="11"/>
                <w:color w:val="auto"/>
              </w:rPr>
            </w:pPr>
          </w:p>
        </w:tc>
      </w:tr>
      <w:tr>
        <w:trPr>
          <w:trHeight w:val="127"/>
        </w:trPr>
        <w:tc>
          <w:tcPr>
            <w:tcW w:w="4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Depreciation and amortization expenses</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242,436</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235,797</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6,639</w:t>
            </w:r>
          </w:p>
        </w:tc>
        <w:tc>
          <w:tcPr>
            <w:tcW w:w="5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20" w:type="dxa"/>
            <w:vAlign w:val="bottom"/>
          </w:tcPr>
          <w:p>
            <w:pPr>
              <w:spacing w:after="0"/>
              <w:rPr>
                <w:sz w:val="11"/>
                <w:szCs w:val="11"/>
                <w:color w:val="auto"/>
              </w:rPr>
            </w:pPr>
          </w:p>
        </w:tc>
      </w:tr>
      <w:tr>
        <w:trPr>
          <w:trHeight w:val="128"/>
        </w:trPr>
        <w:tc>
          <w:tcPr>
            <w:tcW w:w="4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Impairment of investment in ANY</w:t>
            </w: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14,822,022</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0"/>
                <w:szCs w:val="10"/>
                <w:color w:val="auto"/>
              </w:rPr>
              <w:t>(14,822,022 )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100 %</w:t>
            </w:r>
          </w:p>
        </w:tc>
        <w:tc>
          <w:tcPr>
            <w:tcW w:w="20" w:type="dxa"/>
            <w:vAlign w:val="bottom"/>
          </w:tcPr>
          <w:p>
            <w:pPr>
              <w:spacing w:after="0"/>
              <w:rPr>
                <w:sz w:val="11"/>
                <w:szCs w:val="11"/>
                <w:color w:val="auto"/>
              </w:rPr>
            </w:pPr>
          </w:p>
        </w:tc>
      </w:tr>
      <w:tr>
        <w:trPr>
          <w:trHeight w:val="125"/>
        </w:trPr>
        <w:tc>
          <w:tcPr>
            <w:tcW w:w="4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Impairment of goodwill</w:t>
            </w: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44,438</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(44,438 )</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100 %</w:t>
            </w:r>
          </w:p>
        </w:tc>
        <w:tc>
          <w:tcPr>
            <w:tcW w:w="20" w:type="dxa"/>
            <w:vAlign w:val="bottom"/>
          </w:tcPr>
          <w:p>
            <w:pPr>
              <w:spacing w:after="0"/>
              <w:rPr>
                <w:sz w:val="10"/>
                <w:szCs w:val="10"/>
                <w:color w:val="auto"/>
              </w:rPr>
            </w:pPr>
          </w:p>
        </w:tc>
      </w:tr>
      <w:tr>
        <w:trPr>
          <w:trHeight w:val="130"/>
        </w:trPr>
        <w:tc>
          <w:tcPr>
            <w:tcW w:w="4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Total operating expenses</w:t>
            </w:r>
          </w:p>
        </w:tc>
        <w:tc>
          <w:tcPr>
            <w:tcW w:w="280" w:type="dxa"/>
            <w:vAlign w:val="bottom"/>
          </w:tcPr>
          <w:p>
            <w:pPr>
              <w:jc w:val="right"/>
              <w:ind w:right="21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26,151,325</w:t>
            </w:r>
          </w:p>
        </w:tc>
        <w:tc>
          <w:tcPr>
            <w:tcW w:w="200" w:type="dxa"/>
            <w:vAlign w:val="bottom"/>
          </w:tcPr>
          <w:p>
            <w:pPr>
              <w:spacing w:after="0"/>
              <w:rPr>
                <w:sz w:val="11"/>
                <w:szCs w:val="11"/>
                <w:color w:val="auto"/>
              </w:rPr>
            </w:pPr>
          </w:p>
        </w:tc>
        <w:tc>
          <w:tcPr>
            <w:tcW w:w="440" w:type="dxa"/>
            <w:vAlign w:val="bottom"/>
          </w:tcPr>
          <w:p>
            <w:pPr>
              <w:jc w:val="right"/>
              <w:ind w:right="3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107,161,306</w:t>
            </w:r>
          </w:p>
        </w:tc>
        <w:tc>
          <w:tcPr>
            <w:tcW w:w="220" w:type="dxa"/>
            <w:vAlign w:val="bottom"/>
          </w:tcPr>
          <w:p>
            <w:pPr>
              <w:spacing w:after="0"/>
              <w:rPr>
                <w:sz w:val="11"/>
                <w:szCs w:val="11"/>
                <w:color w:val="auto"/>
              </w:rPr>
            </w:pP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gridSpan w:val="2"/>
          </w:tcPr>
          <w:p>
            <w:pPr>
              <w:jc w:val="right"/>
              <w:ind w:right="460"/>
              <w:spacing w:after="0" w:line="130" w:lineRule="exact"/>
              <w:rPr>
                <w:sz w:val="20"/>
                <w:szCs w:val="20"/>
                <w:color w:val="auto"/>
              </w:rPr>
            </w:pPr>
            <w:r>
              <w:rPr>
                <w:rFonts w:ascii="Times New Roman" w:cs="Times New Roman" w:eastAsia="Times New Roman" w:hAnsi="Times New Roman"/>
                <w:sz w:val="8"/>
                <w:szCs w:val="8"/>
                <w:color w:val="auto"/>
              </w:rPr>
              <w:t xml:space="preserve">(81,009,981 </w:t>
            </w:r>
            <w:r>
              <w:rPr>
                <w:rFonts w:ascii="Times New Roman" w:cs="Times New Roman" w:eastAsia="Times New Roman" w:hAnsi="Times New Roman"/>
                <w:sz w:val="15"/>
                <w:szCs w:val="15"/>
                <w:color w:val="auto"/>
                <w:vertAlign w:val="subscript"/>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(76 )%</w:t>
            </w:r>
          </w:p>
        </w:tc>
      </w:tr>
      <w:tr>
        <w:trPr>
          <w:trHeight w:val="23"/>
        </w:trPr>
        <w:tc>
          <w:tcPr>
            <w:tcW w:w="4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-94615</wp:posOffset>
            </wp:positionV>
            <wp:extent cx="6076950" cy="95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6950" cy="95250"/>
                    </a:xfrm>
                    <a:prstGeom prst="rect">
                      <a:avLst/>
                    </a:prstGeom>
                    <a:noFill/>
                  </pic:spPr>
                </pic:pic>
              </a:graphicData>
            </a:graphic>
          </wp:anchor>
        </w:drawing>
      </w:r>
    </w:p>
    <w:p>
      <w:pPr>
        <w:spacing w:after="0" w:line="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1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20"/>
          </w:cols>
          <w:pgMar w:left="640" w:top="1213" w:right="11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decreased by $0.7 million, for the year ended December 31, 2023, compared to the year ended December 31, 2022. This was due to the impairment of inventory of $0.7 million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increased by $2.4 million, for the year ended December 31, 2023, compared to the year ended December 31, 2022. This was primarily due to an increase in share-based payments of $3.3 million from a grant made in September 2023, offset by a reduction of $0.5 million and $0.4 million in advertisement and salary costs, respectively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$68.6 million, for the year ended December 31, 2023, compared to the year ended December 31, 2022. $14.6 million of the reduction related to the impairment of investment in ANY in 2022. Share-based payments to employees increased by $3.6 million due to a grant in September 2023. Share based payments to directors decreased by $36.5 million for payments to related parties 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increased by $0.8 million due to an impairment of a loan receivables to Swipeby and Moneymatic.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$0.24 million, for the year ended December 31, 2023, compared to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Impairment of goodwill</w:t>
      </w:r>
    </w:p>
    <w:p>
      <w:pPr>
        <w:spacing w:after="0" w:line="60"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Impairment of investment in ANY in the year ended December 31, 2023 decreased by $14.8 million primarily due to an impairment charge in 2022. We impaired our investment in ANY due to the loss of voting rights, the uncertainty of completing the acquisition of control of ANY at the end of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year ended December 31, 2023, as compared to the year ended December 31, 2022:</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4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gridSpan w:val="3"/>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gridSpan w:val="3"/>
          </w:tcPr>
          <w:p>
            <w:pPr>
              <w:jc w:val="right"/>
              <w:ind w:right="1260"/>
              <w:spacing w:after="0"/>
              <w:rPr>
                <w:sz w:val="20"/>
                <w:szCs w:val="20"/>
                <w:color w:val="auto"/>
              </w:rPr>
            </w:pPr>
            <w:r>
              <w:rPr>
                <w:rFonts w:ascii="Times New Roman" w:cs="Times New Roman" w:eastAsia="Times New Roman" w:hAnsi="Times New Roman"/>
                <w:sz w:val="8"/>
                <w:szCs w:val="8"/>
                <w:b w:val="1"/>
                <w:bCs w:val="1"/>
                <w:color w:val="auto"/>
                <w:w w:val="98"/>
              </w:rPr>
              <w:t>Change</w:t>
            </w:r>
          </w:p>
        </w:tc>
      </w:tr>
      <w:tr>
        <w:trPr>
          <w:trHeight w:val="115"/>
        </w:trPr>
        <w:tc>
          <w:tcPr>
            <w:tcW w:w="4100" w:type="dxa"/>
            <w:vAlign w:val="bottom"/>
          </w:tcPr>
          <w:p>
            <w:pPr>
              <w:spacing w:after="0"/>
              <w:rPr>
                <w:sz w:val="10"/>
                <w:szCs w:val="1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2022</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w:t>
            </w:r>
          </w:p>
        </w:tc>
        <w:tc>
          <w:tcPr>
            <w:tcW w:w="1520" w:type="dxa"/>
            <w:vAlign w:val="bottom"/>
            <w:gridSpan w:val="2"/>
          </w:tcPr>
          <w:p>
            <w:pPr>
              <w:jc w:val="right"/>
              <w:ind w:right="631"/>
              <w:spacing w:after="0"/>
              <w:rPr>
                <w:sz w:val="20"/>
                <w:szCs w:val="20"/>
                <w:color w:val="auto"/>
              </w:rPr>
            </w:pPr>
            <w:r>
              <w:rPr>
                <w:rFonts w:ascii="Times New Roman" w:cs="Times New Roman" w:eastAsia="Times New Roman" w:hAnsi="Times New Roman"/>
                <w:sz w:val="8"/>
                <w:szCs w:val="8"/>
                <w:b w:val="1"/>
                <w:bCs w:val="1"/>
                <w:color w:val="auto"/>
              </w:rPr>
              <w:t>%</w:t>
            </w:r>
          </w:p>
        </w:tc>
        <w:tc>
          <w:tcPr>
            <w:tcW w:w="20" w:type="dxa"/>
            <w:vAlign w:val="bottom"/>
          </w:tcPr>
          <w:p>
            <w:pPr>
              <w:spacing w:after="0"/>
              <w:rPr>
                <w:sz w:val="10"/>
                <w:szCs w:val="10"/>
                <w:color w:val="auto"/>
              </w:rPr>
            </w:pPr>
          </w:p>
        </w:tc>
      </w:tr>
      <w:tr>
        <w:trPr>
          <w:trHeight w:val="131"/>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Other expenses</w:t>
            </w:r>
          </w:p>
        </w:tc>
        <w:tc>
          <w:tcPr>
            <w:tcW w:w="7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26"/>
        </w:trPr>
        <w:tc>
          <w:tcPr>
            <w:tcW w:w="4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 expense</w:t>
            </w:r>
          </w:p>
        </w:tc>
        <w:tc>
          <w:tcPr>
            <w:tcW w:w="740" w:type="dxa"/>
            <w:vAlign w:val="bottom"/>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4,791,782</w:t>
            </w:r>
          </w:p>
        </w:tc>
        <w:tc>
          <w:tcPr>
            <w:tcW w:w="200" w:type="dxa"/>
            <w:vAlign w:val="bottom"/>
          </w:tcPr>
          <w:p>
            <w:pPr>
              <w:spacing w:after="0"/>
              <w:rPr>
                <w:sz w:val="10"/>
                <w:szCs w:val="10"/>
                <w:color w:val="auto"/>
              </w:rPr>
            </w:pPr>
          </w:p>
        </w:tc>
        <w:tc>
          <w:tcPr>
            <w:tcW w:w="440" w:type="dxa"/>
            <w:vAlign w:val="bottom"/>
          </w:tcPr>
          <w:p>
            <w:pPr>
              <w:jc w:val="right"/>
              <w:ind w:right="3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3,884,695</w:t>
            </w:r>
          </w:p>
        </w:tc>
        <w:tc>
          <w:tcPr>
            <w:tcW w:w="220" w:type="dxa"/>
            <w:vAlign w:val="bottom"/>
          </w:tcPr>
          <w:p>
            <w:pPr>
              <w:spacing w:after="0"/>
              <w:rPr>
                <w:sz w:val="10"/>
                <w:szCs w:val="10"/>
                <w:color w:val="auto"/>
              </w:rPr>
            </w:pP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907,087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20" w:type="dxa"/>
            <w:vAlign w:val="bottom"/>
          </w:tcPr>
          <w:p>
            <w:pPr>
              <w:spacing w:after="0"/>
              <w:rPr>
                <w:sz w:val="10"/>
                <w:szCs w:val="10"/>
                <w:color w:val="auto"/>
              </w:rPr>
            </w:pPr>
          </w:p>
        </w:tc>
      </w:tr>
      <w:tr>
        <w:trPr>
          <w:trHeight w:val="128"/>
        </w:trPr>
        <w:tc>
          <w:tcPr>
            <w:tcW w:w="41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7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(125,366 )</w:t>
            </w:r>
          </w:p>
        </w:tc>
        <w:tc>
          <w:tcPr>
            <w:tcW w:w="44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(256,659 )</w:t>
            </w:r>
          </w:p>
        </w:tc>
        <w:tc>
          <w:tcPr>
            <w:tcW w:w="3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131,293</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(51 )%</w:t>
            </w:r>
          </w:p>
        </w:tc>
      </w:tr>
      <w:tr>
        <w:trPr>
          <w:trHeight w:val="132"/>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other expense, net</w:t>
            </w:r>
          </w:p>
        </w:tc>
        <w:tc>
          <w:tcPr>
            <w:tcW w:w="7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4,666,416</w:t>
            </w:r>
          </w:p>
        </w:tc>
        <w:tc>
          <w:tcPr>
            <w:tcW w:w="200" w:type="dxa"/>
            <w:vAlign w:val="bottom"/>
          </w:tcPr>
          <w:p>
            <w:pPr>
              <w:spacing w:after="0"/>
              <w:rPr>
                <w:sz w:val="11"/>
                <w:szCs w:val="11"/>
                <w:color w:val="auto"/>
              </w:rPr>
            </w:pPr>
          </w:p>
        </w:tc>
        <w:tc>
          <w:tcPr>
            <w:tcW w:w="4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3,628,036</w:t>
            </w:r>
          </w:p>
        </w:tc>
        <w:tc>
          <w:tcPr>
            <w:tcW w:w="2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1,038,380</w:t>
            </w:r>
          </w:p>
        </w:tc>
        <w:tc>
          <w:tcPr>
            <w:tcW w:w="20" w:type="dxa"/>
            <w:vAlign w:val="bottom"/>
            <w:tcBorders>
              <w:bottom w:val="single" w:sz="8" w:color="auto"/>
            </w:tcBorders>
          </w:tcPr>
          <w:p>
            <w:pPr>
              <w:spacing w:after="0"/>
              <w:rPr>
                <w:sz w:val="11"/>
                <w:szCs w:val="1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-175895</wp:posOffset>
            </wp:positionV>
            <wp:extent cx="6076950" cy="81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6950" cy="81280"/>
                    </a:xfrm>
                    <a:prstGeom prst="rect">
                      <a:avLst/>
                    </a:prstGeom>
                    <a:noFill/>
                  </pic:spPr>
                </pic:pic>
              </a:graphicData>
            </a:graphic>
          </wp:anchor>
        </w:drawing>
      </w:r>
    </w:p>
    <w:p>
      <w:pPr>
        <w:spacing w:after="0" w:line="116"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 million of interest costs related to the convertible loan note.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$107.1 million for the year ended December 31, 2022 million to $26.0 million for the year ended December 31, 2023. This was due to a decrease in Operating expenses from $107.2 million for the year ended December 31, 2022 to $26.2 million for the year ended 31 December, 2023.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tcPr>
          <w:p>
            <w:pPr>
              <w:spacing w:after="0"/>
              <w:rPr>
                <w:sz w:val="9"/>
                <w:szCs w:val="9"/>
                <w:color w:val="auto"/>
              </w:rPr>
            </w:pPr>
          </w:p>
        </w:tc>
      </w:tr>
      <w:tr>
        <w:trPr>
          <w:trHeight w:val="115"/>
        </w:trPr>
        <w:tc>
          <w:tcPr>
            <w:tcW w:w="3140" w:type="dxa"/>
            <w:vAlign w:val="bottom"/>
          </w:tcPr>
          <w:p>
            <w:pPr>
              <w:spacing w:after="0"/>
              <w:rPr>
                <w:sz w:val="10"/>
                <w:szCs w:val="10"/>
                <w:color w:val="auto"/>
              </w:rPr>
            </w:pP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31"/>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218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(110,712,948 )</w:t>
            </w:r>
          </w:p>
        </w:tc>
      </w:tr>
      <w:tr>
        <w:trPr>
          <w:trHeight w:val="127"/>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Add (subtract)</w:t>
            </w:r>
          </w:p>
        </w:tc>
        <w:tc>
          <w:tcPr>
            <w:tcW w:w="2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8"/>
        </w:trPr>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3,884,695</w:t>
            </w:r>
          </w:p>
        </w:tc>
      </w:tr>
      <w:tr>
        <w:trPr>
          <w:trHeight w:val="127"/>
        </w:trPr>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Provision for income tax expense (benefit)</w:t>
            </w:r>
          </w:p>
        </w:tc>
        <w:tc>
          <w:tcPr>
            <w:tcW w:w="2180" w:type="dxa"/>
            <w:vAlign w:val="bottom"/>
          </w:tcPr>
          <w:p>
            <w:pPr>
              <w:spacing w:after="0"/>
              <w:rPr>
                <w:sz w:val="11"/>
                <w:szCs w:val="11"/>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11"/>
                <w:szCs w:val="1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38,765</w:t>
            </w:r>
          </w:p>
        </w:tc>
      </w:tr>
      <w:tr>
        <w:trPr>
          <w:trHeight w:val="128"/>
        </w:trPr>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2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235,797</w:t>
            </w:r>
          </w:p>
        </w:tc>
      </w:tr>
      <w:tr>
        <w:trPr>
          <w:trHeight w:val="12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2180" w:type="dxa"/>
            <w:vAlign w:val="bottom"/>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(106,553,691 )</w:t>
            </w:r>
          </w:p>
        </w:tc>
      </w:tr>
    </w:tbl>
    <w:p>
      <w:pPr>
        <w:spacing w:after="0" w:line="1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8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82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8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•One-time impairments of the Taiwan and German businesses;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to non-recurring capital raising activities;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88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2022.</w:t>
      </w:r>
    </w:p>
    <w:p>
      <w:pPr>
        <w:spacing w:after="0" w:line="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•Share based compensation issued to related parties represents for the year ended December 31, 2023 represents share based compensation of $ 33.4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63" w:name="page64"/>
    <w:bookmarkEnd w:id="63"/>
    <w:p>
      <w:pPr>
        <w:ind w:left="480"/>
        <w:spacing w:after="0"/>
        <w:rPr>
          <w:sz w:val="20"/>
          <w:szCs w:val="20"/>
          <w:color w:val="auto"/>
        </w:rPr>
      </w:pPr>
      <w:r>
        <w:rPr>
          <w:rFonts w:ascii="Times New Roman" w:cs="Times New Roman" w:eastAsia="Times New Roman" w:hAnsi="Times New Roman"/>
          <w:sz w:val="10"/>
          <w:szCs w:val="10"/>
          <w:color w:val="auto"/>
        </w:rPr>
        <w:t>•Share based compensation for consultancy expenses relate to shares issued to consultants for advisory services. These fees were paid primarily in relation to capital raising activities in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of these costs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3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tcPr>
          <w:p>
            <w:pPr>
              <w:spacing w:after="0"/>
              <w:rPr>
                <w:sz w:val="9"/>
                <w:szCs w:val="9"/>
                <w:color w:val="auto"/>
              </w:rPr>
            </w:pPr>
          </w:p>
        </w:tc>
      </w:tr>
      <w:tr>
        <w:trPr>
          <w:trHeight w:val="115"/>
        </w:trPr>
        <w:tc>
          <w:tcPr>
            <w:tcW w:w="3300" w:type="dxa"/>
            <w:vAlign w:val="bottom"/>
          </w:tcPr>
          <w:p>
            <w:pPr>
              <w:spacing w:after="0"/>
              <w:rPr>
                <w:sz w:val="10"/>
                <w:szCs w:val="10"/>
                <w:color w:val="auto"/>
              </w:rPr>
            </w:pPr>
          </w:p>
        </w:tc>
        <w:tc>
          <w:tcPr>
            <w:tcW w:w="2020" w:type="dxa"/>
            <w:vAlign w:val="bottom"/>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31"/>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2020" w:type="dxa"/>
            <w:vAlign w:val="bottom"/>
            <w:shd w:val="clear" w:color="auto" w:fill="CFF0FC"/>
          </w:tcPr>
          <w:p>
            <w:pPr>
              <w:jc w:val="right"/>
              <w:ind w:right="713"/>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(110,712,948 )</w:t>
            </w:r>
          </w:p>
        </w:tc>
      </w:tr>
      <w:tr>
        <w:trPr>
          <w:trHeight w:val="127"/>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8"/>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Interest expense</w:t>
            </w:r>
          </w:p>
        </w:tc>
        <w:tc>
          <w:tcPr>
            <w:tcW w:w="20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3,884,698</w:t>
            </w:r>
          </w:p>
        </w:tc>
      </w:tr>
      <w:tr>
        <w:trPr>
          <w:trHeight w:val="127"/>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Provision for income tax expense (benefit)</w:t>
            </w:r>
          </w:p>
        </w:tc>
        <w:tc>
          <w:tcPr>
            <w:tcW w:w="2020" w:type="dxa"/>
            <w:vAlign w:val="bottom"/>
          </w:tcPr>
          <w:p>
            <w:pPr>
              <w:spacing w:after="0"/>
              <w:rPr>
                <w:sz w:val="11"/>
                <w:szCs w:val="11"/>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38,765</w:t>
            </w:r>
          </w:p>
        </w:tc>
      </w:tr>
      <w:tr>
        <w:trPr>
          <w:trHeight w:val="128"/>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20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235,797</w:t>
            </w:r>
          </w:p>
        </w:tc>
      </w:tr>
      <w:tr>
        <w:trPr>
          <w:trHeight w:val="127"/>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2020" w:type="dxa"/>
            <w:vAlign w:val="bottom"/>
          </w:tcPr>
          <w:p>
            <w:pPr>
              <w:jc w:val="right"/>
              <w:ind w:right="713"/>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(106,553,691 )</w:t>
            </w:r>
          </w:p>
        </w:tc>
      </w:tr>
      <w:tr>
        <w:trPr>
          <w:trHeight w:val="128"/>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27"/>
        </w:trPr>
        <w:tc>
          <w:tcPr>
            <w:tcW w:w="33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Unrealized foreign exchange (gain) loss</w:t>
            </w:r>
          </w:p>
        </w:tc>
        <w:tc>
          <w:tcPr>
            <w:tcW w:w="2020" w:type="dxa"/>
            <w:vAlign w:val="bottom"/>
          </w:tcPr>
          <w:p>
            <w:pPr>
              <w:spacing w:after="0"/>
              <w:rPr>
                <w:sz w:val="11"/>
                <w:szCs w:val="11"/>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(375,298 )</w:t>
            </w: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(714,914 )</w:t>
            </w:r>
          </w:p>
        </w:tc>
      </w:tr>
      <w:tr>
        <w:trPr>
          <w:trHeight w:val="128"/>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Impairment in ANY</w:t>
            </w:r>
          </w:p>
        </w:tc>
        <w:tc>
          <w:tcPr>
            <w:tcW w:w="20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44,438</w:t>
            </w:r>
          </w:p>
        </w:tc>
      </w:tr>
      <w:tr>
        <w:trPr>
          <w:trHeight w:val="127"/>
        </w:trPr>
        <w:tc>
          <w:tcPr>
            <w:tcW w:w="33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Impairment of goodwill</w:t>
            </w:r>
          </w:p>
        </w:tc>
        <w:tc>
          <w:tcPr>
            <w:tcW w:w="2020" w:type="dxa"/>
            <w:vAlign w:val="bottom"/>
          </w:tcPr>
          <w:p>
            <w:pPr>
              <w:spacing w:after="0"/>
              <w:rPr>
                <w:sz w:val="11"/>
                <w:szCs w:val="11"/>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14,822,022</w:t>
            </w:r>
          </w:p>
        </w:tc>
      </w:tr>
      <w:tr>
        <w:trPr>
          <w:trHeight w:val="114"/>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Impairment of prepayments and other current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7"/>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assets</w:t>
            </w:r>
          </w:p>
        </w:tc>
        <w:tc>
          <w:tcPr>
            <w:tcW w:w="20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731,940</w:t>
            </w:r>
          </w:p>
        </w:tc>
      </w:tr>
      <w:tr>
        <w:trPr>
          <w:trHeight w:val="127"/>
        </w:trPr>
        <w:tc>
          <w:tcPr>
            <w:tcW w:w="33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Impairment of loan and accounts receivable .</w:t>
            </w:r>
          </w:p>
        </w:tc>
        <w:tc>
          <w:tcPr>
            <w:tcW w:w="2020" w:type="dxa"/>
            <w:vAlign w:val="bottom"/>
          </w:tcPr>
          <w:p>
            <w:pPr>
              <w:spacing w:after="0"/>
              <w:rPr>
                <w:sz w:val="11"/>
                <w:szCs w:val="11"/>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334,952</w:t>
            </w:r>
          </w:p>
        </w:tc>
      </w:tr>
      <w:tr>
        <w:trPr>
          <w:trHeight w:val="128"/>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Business development expenses</w:t>
            </w:r>
          </w:p>
        </w:tc>
        <w:tc>
          <w:tcPr>
            <w:tcW w:w="20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777,161</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7,136,168</w:t>
            </w:r>
          </w:p>
        </w:tc>
      </w:tr>
      <w:tr>
        <w:trPr>
          <w:trHeight w:val="127"/>
        </w:trPr>
        <w:tc>
          <w:tcPr>
            <w:tcW w:w="33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020" w:type="dxa"/>
            <w:vAlign w:val="bottom"/>
          </w:tcPr>
          <w:p>
            <w:pPr>
              <w:spacing w:after="0"/>
              <w:rPr>
                <w:sz w:val="11"/>
                <w:szCs w:val="11"/>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3,002,021</w:t>
            </w:r>
          </w:p>
        </w:tc>
        <w:tc>
          <w:tcPr>
            <w:tcW w:w="540" w:type="dxa"/>
            <w:vAlign w:val="bottom"/>
          </w:tcPr>
          <w:p>
            <w:pPr>
              <w:spacing w:after="0"/>
              <w:rPr>
                <w:sz w:val="11"/>
                <w:szCs w:val="1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39,501,701</w:t>
            </w:r>
          </w:p>
        </w:tc>
      </w:tr>
      <w:tr>
        <w:trPr>
          <w:trHeight w:val="128"/>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0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485,080</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18,417,816</w:t>
            </w:r>
          </w:p>
        </w:tc>
      </w:tr>
      <w:tr>
        <w:trPr>
          <w:trHeight w:val="127"/>
        </w:trPr>
        <w:tc>
          <w:tcPr>
            <w:tcW w:w="33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Employee and Other Share-based compensation</w:t>
            </w:r>
          </w:p>
        </w:tc>
        <w:tc>
          <w:tcPr>
            <w:tcW w:w="2020" w:type="dxa"/>
            <w:vAlign w:val="bottom"/>
          </w:tcPr>
          <w:p>
            <w:pPr>
              <w:spacing w:after="0"/>
              <w:rPr>
                <w:sz w:val="11"/>
                <w:szCs w:val="11"/>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5,238,117</w:t>
            </w:r>
          </w:p>
        </w:tc>
        <w:tc>
          <w:tcPr>
            <w:tcW w:w="54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2,115,015</w:t>
            </w:r>
          </w:p>
        </w:tc>
      </w:tr>
      <w:tr>
        <w:trPr>
          <w:trHeight w:val="128"/>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Adjusted EBITDA .</w:t>
            </w:r>
          </w:p>
        </w:tc>
        <w:tc>
          <w:tcPr>
            <w:tcW w:w="2020" w:type="dxa"/>
            <w:vAlign w:val="bottom"/>
            <w:shd w:val="clear" w:color="auto" w:fill="CFF0FC"/>
          </w:tcPr>
          <w:p>
            <w:pPr>
              <w:jc w:val="right"/>
              <w:ind w:right="713"/>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w w:val="99"/>
              </w:rPr>
              <w:t>(15,355,075 )</w:t>
            </w:r>
          </w:p>
        </w:tc>
        <w:tc>
          <w:tcPr>
            <w:tcW w:w="54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(24,164,553 )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December 31, 2023 and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1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760" w:type="dxa"/>
            <w:vAlign w:val="bottom"/>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2023</w:t>
            </w: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10"/>
                <w:szCs w:val="10"/>
                <w:color w:val="auto"/>
              </w:rPr>
            </w:pPr>
          </w:p>
        </w:tc>
      </w:tr>
      <w:tr>
        <w:trPr>
          <w:trHeight w:val="131"/>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Unrestricted cash and cash equivalents</w:t>
            </w:r>
          </w:p>
        </w:tc>
        <w:tc>
          <w:tcPr>
            <w:tcW w:w="276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Undrawn convertible notes</w:t>
            </w:r>
          </w:p>
        </w:tc>
        <w:tc>
          <w:tcPr>
            <w:tcW w:w="2760" w:type="dxa"/>
            <w:vAlign w:val="bottom"/>
          </w:tcPr>
          <w:p>
            <w:pPr>
              <w:spacing w:after="0"/>
              <w:rPr>
                <w:sz w:val="11"/>
                <w:szCs w:val="11"/>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Available liquidity</w:t>
            </w:r>
          </w:p>
        </w:tc>
        <w:tc>
          <w:tcPr>
            <w:tcW w:w="276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11"/>
                <w:szCs w:val="11"/>
                <w:color w:val="auto"/>
              </w:rPr>
            </w:pPr>
          </w:p>
        </w:tc>
      </w:tr>
      <w:tr>
        <w:trPr>
          <w:trHeight w:val="35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jc w:val="right"/>
              <w:ind w:right="1533"/>
              <w:spacing w:after="0"/>
              <w:rPr>
                <w:sz w:val="20"/>
                <w:szCs w:val="20"/>
                <w:color w:val="auto"/>
              </w:rPr>
            </w:pPr>
            <w:r>
              <w:rPr>
                <w:rFonts w:ascii="Times New Roman" w:cs="Times New Roman" w:eastAsia="Times New Roman" w:hAnsi="Times New Roman"/>
                <w:sz w:val="10"/>
                <w:szCs w:val="10"/>
                <w:color w:val="auto"/>
              </w:rPr>
              <w:t>54</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2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tcPr>
          <w:p>
            <w:pPr>
              <w:spacing w:after="0"/>
              <w:rPr>
                <w:sz w:val="9"/>
                <w:szCs w:val="9"/>
                <w:color w:val="auto"/>
              </w:rPr>
            </w:pPr>
          </w:p>
        </w:tc>
      </w:tr>
      <w:tr>
        <w:trPr>
          <w:trHeight w:val="115"/>
        </w:trPr>
        <w:tc>
          <w:tcPr>
            <w:tcW w:w="3280" w:type="dxa"/>
            <w:vAlign w:val="bottom"/>
          </w:tcPr>
          <w:p>
            <w:pPr>
              <w:spacing w:after="0"/>
              <w:rPr>
                <w:sz w:val="10"/>
                <w:szCs w:val="10"/>
                <w:color w:val="auto"/>
              </w:rPr>
            </w:pPr>
          </w:p>
        </w:tc>
        <w:tc>
          <w:tcPr>
            <w:tcW w:w="2040" w:type="dxa"/>
            <w:vAlign w:val="bottom"/>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31"/>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 cash used in operating activities</w:t>
            </w:r>
          </w:p>
        </w:tc>
        <w:tc>
          <w:tcPr>
            <w:tcW w:w="204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w w:val="99"/>
              </w:rPr>
              <w:t>(13,001,875 )</w:t>
            </w:r>
          </w:p>
        </w:tc>
        <w:tc>
          <w:tcPr>
            <w:tcW w:w="54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(26,788,906 )</w:t>
            </w:r>
          </w:p>
        </w:tc>
      </w:tr>
      <w:tr>
        <w:trPr>
          <w:trHeight w:val="127"/>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cash used in investing activities</w:t>
            </w:r>
          </w:p>
        </w:tc>
        <w:tc>
          <w:tcPr>
            <w:tcW w:w="2040" w:type="dxa"/>
            <w:vAlign w:val="bottom"/>
          </w:tcPr>
          <w:p>
            <w:pPr>
              <w:spacing w:after="0"/>
              <w:rPr>
                <w:sz w:val="11"/>
                <w:szCs w:val="11"/>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(1,781,524 )</w:t>
            </w: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(36,854 )</w:t>
            </w:r>
          </w:p>
        </w:tc>
      </w:tr>
      <w:tr>
        <w:trPr>
          <w:trHeight w:val="128"/>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 cash provided by financing activities</w:t>
            </w:r>
          </w:p>
        </w:tc>
        <w:tc>
          <w:tcPr>
            <w:tcW w:w="20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14,712,061</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23,999,920</w:t>
            </w:r>
          </w:p>
        </w:tc>
      </w:tr>
      <w:tr>
        <w:trPr>
          <w:trHeight w:val="113"/>
        </w:trPr>
        <w:tc>
          <w:tcPr>
            <w:tcW w:w="328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26"/>
        </w:trPr>
        <w:tc>
          <w:tcPr>
            <w:tcW w:w="3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040" w:type="dxa"/>
            <w:vAlign w:val="bottom"/>
          </w:tcPr>
          <w:p>
            <w:pPr>
              <w:spacing w:after="0"/>
              <w:rPr>
                <w:sz w:val="10"/>
                <w:szCs w:val="10"/>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42,399</w:t>
            </w:r>
          </w:p>
        </w:tc>
        <w:tc>
          <w:tcPr>
            <w:tcW w:w="540" w:type="dxa"/>
            <w:vAlign w:val="bottom"/>
          </w:tcPr>
          <w:p>
            <w:pPr>
              <w:spacing w:after="0"/>
              <w:rPr>
                <w:sz w:val="10"/>
                <w:szCs w:val="1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177,287</w:t>
            </w:r>
          </w:p>
        </w:tc>
      </w:tr>
      <w:tr>
        <w:trPr>
          <w:trHeight w:val="128"/>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04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(28,939 )</w:t>
            </w:r>
          </w:p>
        </w:tc>
        <w:tc>
          <w:tcPr>
            <w:tcW w:w="54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(2,648,553 )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5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color w:val="auto"/>
        </w:rPr>
        <w:t>We have debt outstanding to DBLP Sea Cow Limited (a company incorporated in the Seychelles)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which is wholly legally owned by Daniel Wagner and beneficially owned by John Wagner, in the amounts of $447,067. There are no formal loan documents in place and no interest is payable.</w:t>
      </w:r>
    </w:p>
    <w:p>
      <w:pPr>
        <w:spacing w:after="0" w:line="99"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at year ended December 31, 2023 we had a secured convertible Loan Note Instrument in respect of $39,625,000 in aggregate principal amount of loan notes of $1.00 each in the capital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6"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65" w:name="page66"/>
    <w:bookmarkEnd w:id="65"/>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right="80"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09"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1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2023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7" w:name="page68"/>
    <w:bookmarkEnd w:id="67"/>
    <w:p>
      <w:pPr>
        <w:ind w:left="10" w:right="40" w:firstLine="480"/>
        <w:spacing w:after="0" w:line="238" w:lineRule="auto"/>
        <w:rPr>
          <w:sz w:val="20"/>
          <w:szCs w:val="20"/>
          <w:color w:val="auto"/>
        </w:rPr>
      </w:pPr>
      <w:r>
        <w:rPr>
          <w:rFonts w:ascii="Times New Roman" w:cs="Times New Roman" w:eastAsia="Times New Roman" w:hAnsi="Times New Roman"/>
          <w:sz w:val="10"/>
          <w:szCs w:val="10"/>
          <w:color w:val="212529"/>
        </w:rPr>
        <w:t xml:space="preserve">On September 6, 2024, YA and Rezolve AI Limited executed the Second A&amp;R YA Agreement </w:t>
      </w:r>
      <w:r>
        <w:rPr>
          <w:rFonts w:ascii="Times New Roman" w:cs="Times New Roman" w:eastAsia="Times New Roman" w:hAnsi="Times New Roman"/>
          <w:sz w:val="10"/>
          <w:szCs w:val="10"/>
          <w:color w:val="000000"/>
        </w:rPr>
        <w:t>to incorporate an additional prepaid advance arrangement pursuant to which YA committed to provide Rezolve with prepaid advances in an aggregate original</w:t>
      </w:r>
      <w:r>
        <w:rPr>
          <w:rFonts w:ascii="Times New Roman" w:cs="Times New Roman" w:eastAsia="Times New Roman" w:hAnsi="Times New Roman"/>
          <w:sz w:val="10"/>
          <w:szCs w:val="10"/>
          <w:color w:val="212529"/>
        </w:rPr>
        <w:t xml:space="preserve"> </w:t>
      </w:r>
      <w:r>
        <w:rPr>
          <w:rFonts w:ascii="Times New Roman" w:cs="Times New Roman" w:eastAsia="Times New Roman" w:hAnsi="Times New Roman"/>
          <w:sz w:val="10"/>
          <w:szCs w:val="10"/>
          <w:color w:val="000000"/>
        </w:rPr>
        <w:t>principal amount of an additional Seven Million Five Hundred Thousand Dollars ($ 7,500,000),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this Registration Statement, and the third tranche in an original principal amount of Two Million Five Hundred Thousand Dollars ($2,500,000) to be funded upon the effectiveness of this Registration Statement. The Second A&amp;R YA Agreement superseded the YA Agreement.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000000"/>
        </w:rPr>
        <w:t>YA Note Amendment</w:t>
      </w:r>
      <w:r>
        <w:rPr>
          <w:rFonts w:ascii="Times New Roman" w:cs="Times New Roman" w:eastAsia="Times New Roman" w:hAnsi="Times New Roman"/>
          <w:sz w:val="10"/>
          <w:szCs w:val="10"/>
          <w:color w:val="000000"/>
        </w:rPr>
        <w:t>” and the YA Note, as amended by the YA Note Amendment, the “</w:t>
      </w:r>
      <w:r>
        <w:rPr>
          <w:rFonts w:ascii="Times New Roman" w:cs="Times New Roman" w:eastAsia="Times New Roman" w:hAnsi="Times New Roman"/>
          <w:sz w:val="10"/>
          <w:szCs w:val="10"/>
          <w:b w:val="1"/>
          <w:bCs w:val="1"/>
          <w:i w:val="1"/>
          <w:iCs w:val="1"/>
          <w:color w:val="000000"/>
        </w:rPr>
        <w:t>Amended YA Note</w:t>
      </w:r>
      <w:r>
        <w:rPr>
          <w:rFonts w:ascii="Times New Roman" w:cs="Times New Roman" w:eastAsia="Times New Roman" w:hAnsi="Times New Roman"/>
          <w:sz w:val="10"/>
          <w:szCs w:val="10"/>
          <w:color w:val="000000"/>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 In connection with the initial prepaid advance of $2,500,000, YA will subscribe for a promissory note for such advance at a 5% original issuance discount (the “</w:t>
      </w:r>
      <w:r>
        <w:rPr>
          <w:rFonts w:ascii="Times New Roman" w:cs="Times New Roman" w:eastAsia="Times New Roman" w:hAnsi="Times New Roman"/>
          <w:sz w:val="10"/>
          <w:szCs w:val="10"/>
          <w:b w:val="1"/>
          <w:bCs w:val="1"/>
          <w:i w:val="1"/>
          <w:iCs w:val="1"/>
          <w:color w:val="000000"/>
        </w:rPr>
        <w:t>Additional YA Note</w:t>
      </w:r>
      <w:r>
        <w:rPr>
          <w:rFonts w:ascii="Times New Roman" w:cs="Times New Roman" w:eastAsia="Times New Roman" w:hAnsi="Times New Roman"/>
          <w:sz w:val="10"/>
          <w:szCs w:val="10"/>
          <w:color w:val="000000"/>
        </w:rPr>
        <w:t>” and together with the Amended YA Note, the “</w:t>
      </w:r>
      <w:r>
        <w:rPr>
          <w:rFonts w:ascii="Times New Roman" w:cs="Times New Roman" w:eastAsia="Times New Roman" w:hAnsi="Times New Roman"/>
          <w:sz w:val="10"/>
          <w:szCs w:val="10"/>
          <w:b w:val="1"/>
          <w:bCs w:val="1"/>
          <w:i w:val="1"/>
          <w:iCs w:val="1"/>
          <w:color w:val="000000"/>
        </w:rPr>
        <w:t>YA Notes</w:t>
      </w:r>
      <w:r>
        <w:rPr>
          <w:rFonts w:ascii="Times New Roman" w:cs="Times New Roman" w:eastAsia="Times New Roman" w:hAnsi="Times New Roman"/>
          <w:sz w:val="10"/>
          <w:szCs w:val="10"/>
          <w:color w:val="000000"/>
        </w:rPr>
        <w:t>”)</w:t>
      </w:r>
    </w:p>
    <w:p>
      <w:pPr>
        <w:spacing w:after="0" w:line="106"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9"/>
          <w:szCs w:val="9"/>
          <w:color w:val="auto"/>
        </w:rPr>
        <w:t>The Amended YA Note is, and the Additional YA Note will be, convertible into Ordinary Shares. The noteholder may elect to convert all or part of the YA Notes into ordinary shares in Rezolve AI Limited at the “</w:t>
      </w:r>
      <w:r>
        <w:rPr>
          <w:rFonts w:ascii="Times New Roman" w:cs="Times New Roman" w:eastAsia="Times New Roman" w:hAnsi="Times New Roman"/>
          <w:sz w:val="9"/>
          <w:szCs w:val="9"/>
          <w:b w:val="1"/>
          <w:bCs w:val="1"/>
          <w:i w:val="1"/>
          <w:iCs w:val="1"/>
          <w:color w:val="auto"/>
        </w:rPr>
        <w:t>Conversion Price</w:t>
      </w:r>
      <w:r>
        <w:rPr>
          <w:rFonts w:ascii="Times New Roman" w:cs="Times New Roman" w:eastAsia="Times New Roman" w:hAnsi="Times New Roman"/>
          <w:sz w:val="9"/>
          <w:szCs w:val="9"/>
          <w:color w:val="auto"/>
        </w:rPr>
        <w:t>” (being the lower of</w:t>
      </w:r>
    </w:p>
    <w:p>
      <w:pPr>
        <w:spacing w:after="0" w:line="21" w:lineRule="exact"/>
        <w:rPr>
          <w:sz w:val="20"/>
          <w:szCs w:val="20"/>
          <w:color w:val="auto"/>
        </w:rPr>
      </w:pPr>
    </w:p>
    <w:p>
      <w:pPr>
        <w:ind w:left="10" w:right="40" w:hanging="10"/>
        <w:spacing w:after="0" w:line="264" w:lineRule="auto"/>
        <w:tabs>
          <w:tab w:leader="none" w:pos="126"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$10 per share (the “</w:t>
      </w:r>
      <w:r>
        <w:rPr>
          <w:rFonts w:ascii="Times New Roman" w:cs="Times New Roman" w:eastAsia="Times New Roman" w:hAnsi="Times New Roman"/>
          <w:sz w:val="9"/>
          <w:szCs w:val="9"/>
          <w:b w:val="1"/>
          <w:bCs w:val="1"/>
          <w:i w:val="1"/>
          <w:iCs w:val="1"/>
          <w:color w:val="auto"/>
        </w:rPr>
        <w:t>Fixed Price</w:t>
      </w:r>
      <w:r>
        <w:rPr>
          <w:rFonts w:ascii="Times New Roman" w:cs="Times New Roman" w:eastAsia="Times New Roman" w:hAnsi="Times New Roman"/>
          <w:sz w:val="9"/>
          <w:szCs w:val="9"/>
          <w:color w:val="auto"/>
        </w:rPr>
        <w:t>”) or (ii) 90% of the lowest daily VWAP during the ten (10) consecutive trading days immediately preceding the conversion date or other later date of determination (the “</w:t>
      </w:r>
      <w:r>
        <w:rPr>
          <w:rFonts w:ascii="Times New Roman" w:cs="Times New Roman" w:eastAsia="Times New Roman" w:hAnsi="Times New Roman"/>
          <w:sz w:val="9"/>
          <w:szCs w:val="9"/>
          <w:b w:val="1"/>
          <w:bCs w:val="1"/>
          <w:i w:val="1"/>
          <w:iCs w:val="1"/>
          <w:color w:val="auto"/>
        </w:rPr>
        <w:t>YA Variable Price</w:t>
      </w:r>
      <w:r>
        <w:rPr>
          <w:rFonts w:ascii="Times New Roman" w:cs="Times New Roman" w:eastAsia="Times New Roman" w:hAnsi="Times New Roman"/>
          <w:sz w:val="9"/>
          <w:szCs w:val="9"/>
          <w:color w:val="auto"/>
        </w:rPr>
        <w:t>”) but which YA Variable Price shall not be lower than the “</w:t>
      </w:r>
      <w:r>
        <w:rPr>
          <w:rFonts w:ascii="Times New Roman" w:cs="Times New Roman" w:eastAsia="Times New Roman" w:hAnsi="Times New Roman"/>
          <w:sz w:val="9"/>
          <w:szCs w:val="9"/>
          <w:b w:val="1"/>
          <w:bCs w:val="1"/>
          <w:i w:val="1"/>
          <w:iCs w:val="1"/>
          <w:color w:val="auto"/>
        </w:rPr>
        <w:t>YA Floor Price</w:t>
      </w:r>
      <w:r>
        <w:rPr>
          <w:rFonts w:ascii="Times New Roman" w:cs="Times New Roman" w:eastAsia="Times New Roman" w:hAnsi="Times New Roman"/>
          <w:sz w:val="9"/>
          <w:szCs w:val="9"/>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9"/>
          <w:szCs w:val="9"/>
          <w:b w:val="1"/>
          <w:bCs w:val="1"/>
          <w:i w:val="1"/>
          <w:iCs w:val="1"/>
          <w:color w:val="auto"/>
        </w:rPr>
        <w:t>YA Exchange Cap</w:t>
      </w:r>
      <w:r>
        <w:rPr>
          <w:rFonts w:ascii="Times New Roman" w:cs="Times New Roman" w:eastAsia="Times New Roman" w:hAnsi="Times New Roman"/>
          <w:sz w:val="9"/>
          <w:szCs w:val="9"/>
          <w:color w:val="auto"/>
        </w:rPr>
        <w:t>”) (unless Rezolve AI Limited shareholders have approved such issuances, or if Rezolve AI Limited is permitted to follow (and has elected to do so) its home country practices instead of the stockholder approval requirements of Nasdaq Rule 5635).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9"/>
          <w:szCs w:val="9"/>
          <w:b w:val="1"/>
          <w:bCs w:val="1"/>
          <w:i w:val="1"/>
          <w:iCs w:val="1"/>
          <w:color w:val="auto"/>
        </w:rPr>
        <w:t>YA Note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i w:val="1"/>
          <w:iCs w:val="1"/>
          <w:color w:val="auto"/>
        </w:rPr>
        <w:t>Amendment</w:t>
      </w:r>
      <w:r>
        <w:rPr>
          <w:rFonts w:ascii="Times New Roman" w:cs="Times New Roman" w:eastAsia="Times New Roman" w:hAnsi="Times New Roman"/>
          <w:sz w:val="9"/>
          <w:szCs w:val="9"/>
          <w:color w:val="auto"/>
        </w:rPr>
        <w:t>” and the YA Note, as amended by the YA Note Amendment, the “</w:t>
      </w:r>
      <w:r>
        <w:rPr>
          <w:rFonts w:ascii="Times New Roman" w:cs="Times New Roman" w:eastAsia="Times New Roman" w:hAnsi="Times New Roman"/>
          <w:sz w:val="9"/>
          <w:szCs w:val="9"/>
          <w:b w:val="1"/>
          <w:bCs w:val="1"/>
          <w:i w:val="1"/>
          <w:iCs w:val="1"/>
          <w:color w:val="auto"/>
        </w:rPr>
        <w:t>Amended YA Note</w:t>
      </w:r>
      <w:r>
        <w:rPr>
          <w:rFonts w:ascii="Times New Roman" w:cs="Times New Roman" w:eastAsia="Times New Roman" w:hAnsi="Times New Roman"/>
          <w:sz w:val="9"/>
          <w:szCs w:val="9"/>
          <w:color w:val="auto"/>
        </w:rPr>
        <w:t>”) whereby certain terms of the YA Note were amended. In particular, the YA Note Amendment extended the Maturity Date of the YA Note to September 11, 2025,</w:t>
      </w:r>
      <w:r>
        <w:rPr>
          <w:rFonts w:ascii="Times New Roman" w:cs="Times New Roman" w:eastAsia="Times New Roman" w:hAnsi="Times New Roman"/>
          <w:sz w:val="9"/>
          <w:szCs w:val="9"/>
          <w:b w:val="1"/>
          <w:bCs w:val="1"/>
          <w:i w:val="1"/>
          <w:iCs w:val="1"/>
          <w:color w:val="auto"/>
        </w:rPr>
        <w:t xml:space="preserve"> </w:t>
      </w:r>
      <w:r>
        <w:rPr>
          <w:rFonts w:ascii="Times New Roman" w:cs="Times New Roman" w:eastAsia="Times New Roman" w:hAnsi="Times New Roman"/>
          <w:sz w:val="9"/>
          <w:szCs w:val="9"/>
          <w:color w:val="auto"/>
        </w:rPr>
        <w:t>provides that for purposes of determining the Triggered Principal Amount, the term “Other Notes” will not include the additional promissory notes issuable pursuant to the Second A&amp;R YA Agreement, and reduced the floor price to $0.25 per share.</w:t>
      </w:r>
    </w:p>
    <w:p>
      <w:pPr>
        <w:spacing w:after="0" w:line="99" w:lineRule="exact"/>
        <w:rPr>
          <w:sz w:val="20"/>
          <w:szCs w:val="20"/>
          <w:color w:val="auto"/>
        </w:rPr>
      </w:pPr>
    </w:p>
    <w:p>
      <w:pPr>
        <w:ind w:left="10"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03" w:lineRule="exact"/>
        <w:rPr>
          <w:sz w:val="20"/>
          <w:szCs w:val="20"/>
          <w:color w:val="auto"/>
        </w:rPr>
      </w:pPr>
    </w:p>
    <w:p>
      <w:pPr>
        <w:ind w:left="10" w:right="40" w:firstLine="480"/>
        <w:spacing w:after="0" w:line="239" w:lineRule="auto"/>
        <w:rPr>
          <w:sz w:val="20"/>
          <w:szCs w:val="20"/>
          <w:color w:val="auto"/>
        </w:rPr>
      </w:pPr>
      <w:r>
        <w:rPr>
          <w:rFonts w:ascii="Times New Roman" w:cs="Times New Roman" w:eastAsia="Times New Roman" w:hAnsi="Times New Roman"/>
          <w:sz w:val="10"/>
          <w:szCs w:val="10"/>
          <w:color w:val="auto"/>
        </w:rPr>
        <w:t>If a “</w:t>
      </w:r>
      <w:r>
        <w:rPr>
          <w:rFonts w:ascii="Times New Roman" w:cs="Times New Roman" w:eastAsia="Times New Roman" w:hAnsi="Times New Roman"/>
          <w:sz w:val="10"/>
          <w:szCs w:val="10"/>
          <w:b w:val="1"/>
          <w:bCs w:val="1"/>
          <w:i w:val="1"/>
          <w:iCs w:val="1"/>
          <w:color w:val="auto"/>
        </w:rPr>
        <w:t>YA Trigger Event</w:t>
      </w:r>
      <w:r>
        <w:rPr>
          <w:rFonts w:ascii="Times New Roman" w:cs="Times New Roman" w:eastAsia="Times New Roman" w:hAnsi="Times New Roman"/>
          <w:sz w:val="10"/>
          <w:szCs w:val="10"/>
          <w:color w:val="auto"/>
        </w:rPr>
        <w:t>” occurs (being where (i) the daily VWAP is less than the YA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YA Floor Price Trigger</w:t>
      </w:r>
      <w:r>
        <w:rPr>
          <w:rFonts w:ascii="Times New Roman" w:cs="Times New Roman" w:eastAsia="Times New Roman" w:hAnsi="Times New Roman"/>
          <w:sz w:val="10"/>
          <w:szCs w:val="10"/>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YA Exchange Cap Trigger</w:t>
      </w:r>
      <w:r>
        <w:rPr>
          <w:rFonts w:ascii="Times New Roman" w:cs="Times New Roman" w:eastAsia="Times New Roman" w:hAnsi="Times New Roman"/>
          <w:sz w:val="10"/>
          <w:szCs w:val="10"/>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 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08" w:lineRule="exact"/>
        <w:rPr>
          <w:sz w:val="20"/>
          <w:szCs w:val="20"/>
          <w:color w:val="auto"/>
        </w:rPr>
      </w:pPr>
    </w:p>
    <w:p>
      <w:pPr>
        <w:ind w:left="10" w:right="60" w:firstLine="480"/>
        <w:spacing w:after="0" w:line="255" w:lineRule="auto"/>
        <w:rPr>
          <w:sz w:val="20"/>
          <w:szCs w:val="20"/>
          <w:color w:val="auto"/>
        </w:rPr>
      </w:pPr>
      <w:r>
        <w:rPr>
          <w:rFonts w:ascii="Times New Roman" w:cs="Times New Roman" w:eastAsia="Times New Roman" w:hAnsi="Times New Roman"/>
          <w:sz w:val="10"/>
          <w:szCs w:val="10"/>
          <w:color w:val="auto"/>
        </w:rPr>
        <w:t>The Amended YA Note has, and the Additional YA Note will have, certain rights and obligations under an Intercreditor Agreement entered into between Rezolve Limited, Rezolve AI Limited, YA, Apeiron Investment Group Ltd, and GLAS Trust Corporation Limited as security trustee for Apeiron Investment Group Ltd (“</w:t>
      </w:r>
      <w:r>
        <w:rPr>
          <w:rFonts w:ascii="Times New Roman" w:cs="Times New Roman" w:eastAsia="Times New Roman" w:hAnsi="Times New Roman"/>
          <w:sz w:val="10"/>
          <w:szCs w:val="10"/>
          <w:b w:val="1"/>
          <w:bCs w:val="1"/>
          <w:i w:val="1"/>
          <w:iCs w:val="1"/>
          <w:color w:val="auto"/>
        </w:rPr>
        <w:t>Intercreditor Agreement</w:t>
      </w:r>
      <w:r>
        <w:rPr>
          <w:rFonts w:ascii="Times New Roman" w:cs="Times New Roman" w:eastAsia="Times New Roman" w:hAnsi="Times New Roman"/>
          <w:sz w:val="10"/>
          <w:szCs w:val="10"/>
          <w:color w:val="auto"/>
        </w:rPr>
        <w:t>”), under which YA shall share</w:t>
      </w:r>
    </w:p>
    <w:p>
      <w:pPr>
        <w:spacing w:after="0" w:line="10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70"/>
          </w:cols>
          <w:pgMar w:left="630" w:top="1155" w:right="600" w:bottom="1440" w:gutter="0" w:footer="0" w:header="0"/>
        </w:sectPr>
      </w:pPr>
    </w:p>
    <w:bookmarkStart w:id="68" w:name="page69"/>
    <w:bookmarkEnd w:id="68"/>
    <w:p>
      <w:pPr>
        <w:ind w:right="40"/>
        <w:spacing w:after="0" w:line="245" w:lineRule="auto"/>
        <w:rPr>
          <w:sz w:val="20"/>
          <w:szCs w:val="20"/>
          <w:color w:val="auto"/>
        </w:rPr>
      </w:pPr>
      <w:r>
        <w:rPr>
          <w:rFonts w:ascii="Times New Roman" w:cs="Times New Roman" w:eastAsia="Times New Roman" w:hAnsi="Times New Roman"/>
          <w:sz w:val="10"/>
          <w:szCs w:val="10"/>
          <w:color w:val="auto"/>
        </w:rPr>
        <w:t>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14" w:lineRule="exact"/>
        <w:rPr>
          <w:sz w:val="20"/>
          <w:szCs w:val="20"/>
          <w:color w:val="auto"/>
        </w:rPr>
      </w:pPr>
    </w:p>
    <w:p>
      <w:pPr>
        <w:ind w:firstLine="480"/>
        <w:spacing w:after="0" w:line="231" w:lineRule="auto"/>
        <w:rPr>
          <w:sz w:val="20"/>
          <w:szCs w:val="20"/>
          <w:color w:val="auto"/>
        </w:rPr>
      </w:pPr>
      <w:r>
        <w:rPr>
          <w:rFonts w:ascii="Times New Roman" w:cs="Times New Roman" w:eastAsia="Times New Roman" w:hAnsi="Times New Roman"/>
          <w:sz w:val="10"/>
          <w:szCs w:val="10"/>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0"/>
          <w:szCs w:val="10"/>
          <w:b w:val="1"/>
          <w:bCs w:val="1"/>
          <w:i w:val="1"/>
          <w:iCs w:val="1"/>
          <w:color w:val="auto"/>
        </w:rPr>
        <w:t>Commitment Fee</w:t>
      </w:r>
      <w:r>
        <w:rPr>
          <w:rFonts w:ascii="Times New Roman" w:cs="Times New Roman" w:eastAsia="Times New Roman" w:hAnsi="Times New Roman"/>
          <w:sz w:val="10"/>
          <w:szCs w:val="10"/>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11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0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As of the date hereof, Rezolve is in respect of an aggregate amount of $49,892,080 Convertible Notes,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1805305" cy="5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69" w:name="page70"/>
    <w:bookmarkEnd w:id="69"/>
    <w:p>
      <w:pPr>
        <w:ind w:left="480"/>
        <w:spacing w:after="0"/>
        <w:rPr>
          <w:sz w:val="20"/>
          <w:szCs w:val="20"/>
          <w:color w:val="auto"/>
        </w:rPr>
      </w:pPr>
      <w:r>
        <w:rPr>
          <w:rFonts w:ascii="Times New Roman" w:cs="Times New Roman" w:eastAsia="Times New Roman" w:hAnsi="Times New Roman"/>
          <w:sz w:val="10"/>
          <w:szCs w:val="10"/>
          <w:color w:val="auto"/>
        </w:rPr>
        <w:t>The Convertible Notes are redeemable by the noteholders in certain events, including, without limitation, the failure of Rezolve to pay any amount due thereunder when due.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Rezolve has agreed that, within forty five (45) days from the date of listing on Nasdaq (the “</w:t>
      </w:r>
      <w:r>
        <w:rPr>
          <w:rFonts w:ascii="Times New Roman" w:cs="Times New Roman" w:eastAsia="Times New Roman" w:hAnsi="Times New Roman"/>
          <w:sz w:val="10"/>
          <w:szCs w:val="10"/>
          <w:b w:val="1"/>
          <w:bCs w:val="1"/>
          <w:i w:val="1"/>
          <w:iCs w:val="1"/>
          <w:color w:val="auto"/>
        </w:rPr>
        <w:t>Registration Deadline</w:t>
      </w:r>
      <w:r>
        <w:rPr>
          <w:rFonts w:ascii="Times New Roman" w:cs="Times New Roman" w:eastAsia="Times New Roman" w:hAnsi="Times New Roman"/>
          <w:sz w:val="10"/>
          <w:szCs w:val="10"/>
          <w:color w:val="auto"/>
        </w:rPr>
        <w:t>”), it will file with the SEC a registration statement (the “</w:t>
      </w:r>
      <w:r>
        <w:rPr>
          <w:rFonts w:ascii="Times New Roman" w:cs="Times New Roman" w:eastAsia="Times New Roman" w:hAnsi="Times New Roman"/>
          <w:sz w:val="10"/>
          <w:szCs w:val="10"/>
          <w:b w:val="1"/>
          <w:bCs w:val="1"/>
          <w:i w:val="1"/>
          <w:iCs w:val="1"/>
          <w:color w:val="auto"/>
        </w:rPr>
        <w:t>Registration Statement</w:t>
      </w:r>
      <w:r>
        <w:rPr>
          <w:rFonts w:ascii="Times New Roman" w:cs="Times New Roman" w:eastAsia="Times New Roman" w:hAnsi="Times New Roman"/>
          <w:sz w:val="10"/>
          <w:szCs w:val="10"/>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04"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0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If the SEC prevents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9"/>
          <w:szCs w:val="9"/>
          <w:b w:val="1"/>
          <w:bCs w:val="1"/>
          <w:i w:val="1"/>
          <w:iCs w:val="1"/>
          <w:color w:val="auto"/>
        </w:rPr>
        <w:t>Major Investor</w:t>
      </w:r>
      <w:r>
        <w:rPr>
          <w:rFonts w:ascii="Times New Roman" w:cs="Times New Roman" w:eastAsia="Times New Roman" w:hAnsi="Times New Roman"/>
          <w:sz w:val="9"/>
          <w:szCs w:val="9"/>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0"/>
          <w:szCs w:val="10"/>
          <w:color w:val="auto"/>
        </w:rPr>
        <w:t>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8"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ind w:left="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61" w:lineRule="exact"/>
        <w:rPr>
          <w:sz w:val="20"/>
          <w:szCs w:val="20"/>
          <w:color w:val="auto"/>
        </w:rPr>
      </w:pPr>
    </w:p>
    <w:tbl>
      <w:tblPr>
        <w:tblLayout w:type="fixed"/>
        <w:tblInd w:w="1060" w:type="dxa"/>
        <w:tblCellMar>
          <w:top w:w="0" w:type="dxa"/>
          <w:left w:w="0" w:type="dxa"/>
          <w:bottom w:w="0" w:type="dxa"/>
          <w:right w:w="0" w:type="dxa"/>
        </w:tblCellMar>
      </w:tblPr>
      <w:tr>
        <w:trPr>
          <w:trHeight w:val="111"/>
        </w:trPr>
        <w:tc>
          <w:tcPr>
            <w:tcW w:w="30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880" w:type="dxa"/>
            <w:vAlign w:val="bottom"/>
          </w:tcPr>
          <w:p>
            <w:pPr>
              <w:ind w:left="176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200" w:type="dxa"/>
            <w:vAlign w:val="bottom"/>
          </w:tcPr>
          <w:p>
            <w:pPr>
              <w:ind w:left="34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31"/>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8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r>
      <w:tr>
        <w:trPr>
          <w:trHeight w:val="127"/>
        </w:trPr>
        <w:tc>
          <w:tcPr>
            <w:tcW w:w="304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28"/>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880" w:type="dxa"/>
            <w:vAlign w:val="bottom"/>
            <w:shd w:val="clear" w:color="auto" w:fill="CFF0FC"/>
          </w:tcPr>
          <w:p>
            <w:pPr>
              <w:ind w:left="244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0"/>
                <w:szCs w:val="10"/>
                <w:color w:val="auto"/>
              </w:rPr>
              <w:t>1,177,617</w:t>
            </w:r>
          </w:p>
        </w:tc>
      </w:tr>
      <w:tr>
        <w:trPr>
          <w:trHeight w:val="127"/>
        </w:trPr>
        <w:tc>
          <w:tcPr>
            <w:tcW w:w="3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28"/>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8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r>
      <w:tr>
        <w:trPr>
          <w:trHeight w:val="126"/>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880" w:type="dxa"/>
            <w:vAlign w:val="bottom"/>
          </w:tcPr>
          <w:p>
            <w:pPr>
              <w:ind w:left="244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$2,849,906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1" w:name="page72"/>
    <w:bookmarkEnd w:id="71"/>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2" w:name="page73"/>
    <w:bookmarkEnd w:id="72"/>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1805305" cy="5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54" w:lineRule="exact"/>
        <w:rPr>
          <w:sz w:val="20"/>
          <w:szCs w:val="20"/>
          <w:color w:val="auto"/>
        </w:rPr>
      </w:pPr>
    </w:p>
    <w:p>
      <w:pPr>
        <w:ind w:left="70" w:hanging="70"/>
        <w:spacing w:after="0"/>
        <w:tabs>
          <w:tab w:leader="none" w:pos="7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w:t>
      </w:r>
    </w:p>
    <w:p>
      <w:pPr>
        <w:spacing w:after="0" w:line="108"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We commenced the commercialization of the Rezolve platform in quarter 4 of 2024. Revenues from Brain are also forecast to begin in Q4 2024, increasing significantly in 2025. We also expect to generate revenues in Q4 2024 in Europe, North America and the Middle East. We expect revenues to increase in Q4 2024 through our signed partner agreements with Microsoft,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05" w:lineRule="exact"/>
        <w:rPr>
          <w:sz w:val="20"/>
          <w:szCs w:val="20"/>
          <w:color w:val="auto"/>
        </w:rPr>
      </w:pPr>
    </w:p>
    <w:p>
      <w:pPr>
        <w:jc w:val="both"/>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has undertaken to re-register as a public limited company on or before January 9, 2025.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28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1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73" w:name="page74"/>
    <w:bookmarkEnd w:id="73"/>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74" w:name="page75"/>
    <w:bookmarkEnd w:id="74"/>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six months ended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Results of Operations for six months ended June 30, 2024.</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2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2024</w:t>
            </w:r>
          </w:p>
        </w:tc>
        <w:tc>
          <w:tcPr>
            <w:tcW w:w="500" w:type="dxa"/>
            <w:vAlign w:val="bottom"/>
          </w:tcPr>
          <w:p>
            <w:pPr>
              <w:spacing w:after="0"/>
              <w:rPr>
                <w:sz w:val="10"/>
                <w:szCs w:val="10"/>
                <w:color w:val="auto"/>
              </w:rPr>
            </w:pPr>
          </w:p>
        </w:tc>
        <w:tc>
          <w:tcPr>
            <w:tcW w:w="72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10"/>
                <w:szCs w:val="10"/>
                <w:color w:val="auto"/>
              </w:rPr>
            </w:pPr>
          </w:p>
        </w:tc>
      </w:tr>
      <w:tr>
        <w:trPr>
          <w:trHeight w:val="131"/>
        </w:trPr>
        <w:tc>
          <w:tcPr>
            <w:tcW w:w="1580" w:type="dxa"/>
            <w:vAlign w:val="bottom"/>
          </w:tcPr>
          <w:p>
            <w:pPr>
              <w:spacing w:after="0"/>
              <w:rPr>
                <w:sz w:val="11"/>
                <w:szCs w:val="11"/>
                <w:color w:val="auto"/>
              </w:rPr>
            </w:pPr>
          </w:p>
        </w:tc>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53,399</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53,399</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Operating expenses</w:t>
            </w:r>
          </w:p>
        </w:tc>
        <w:tc>
          <w:tcPr>
            <w:tcW w:w="2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Cost of revenues</w:t>
            </w:r>
          </w:p>
        </w:tc>
        <w:tc>
          <w:tcPr>
            <w:tcW w:w="25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16,177</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16,111</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11"/>
                <w:szCs w:val="1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1,431,430</w:t>
            </w:r>
          </w:p>
        </w:tc>
        <w:tc>
          <w:tcPr>
            <w:tcW w:w="500" w:type="dxa"/>
            <w:vAlign w:val="bottom"/>
          </w:tcPr>
          <w:p>
            <w:pPr>
              <w:spacing w:after="0"/>
              <w:rPr>
                <w:sz w:val="11"/>
                <w:szCs w:val="1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4,710,174</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8,066,209</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8,743,377</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operating expenses</w:t>
            </w:r>
          </w:p>
        </w:tc>
        <w:tc>
          <w:tcPr>
            <w:tcW w:w="2520" w:type="dxa"/>
            <w:vAlign w:val="bottom"/>
          </w:tcPr>
          <w:p>
            <w:pPr>
              <w:spacing w:after="0"/>
              <w:rPr>
                <w:sz w:val="11"/>
                <w:szCs w:val="1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84,500</w:t>
            </w:r>
          </w:p>
        </w:tc>
        <w:tc>
          <w:tcPr>
            <w:tcW w:w="500" w:type="dxa"/>
            <w:vAlign w:val="bottom"/>
          </w:tcPr>
          <w:p>
            <w:pPr>
              <w:spacing w:after="0"/>
              <w:rPr>
                <w:sz w:val="11"/>
                <w:szCs w:val="1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785,000</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Depreciation and amortization expenses</w:t>
            </w:r>
          </w:p>
        </w:tc>
        <w:tc>
          <w:tcPr>
            <w:tcW w:w="25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120,841</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121,571</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Total operating expenses</w:t>
            </w:r>
          </w:p>
        </w:tc>
        <w:tc>
          <w:tcPr>
            <w:tcW w:w="2520" w:type="dxa"/>
            <w:vAlign w:val="bottom"/>
          </w:tcPr>
          <w:p>
            <w:pPr>
              <w:spacing w:after="0"/>
              <w:rPr>
                <w:sz w:val="11"/>
                <w:szCs w:val="1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9,719,157</w:t>
            </w:r>
          </w:p>
        </w:tc>
        <w:tc>
          <w:tcPr>
            <w:tcW w:w="500" w:type="dxa"/>
            <w:vAlign w:val="bottom"/>
          </w:tcPr>
          <w:p>
            <w:pPr>
              <w:spacing w:after="0"/>
              <w:rPr>
                <w:sz w:val="11"/>
                <w:szCs w:val="1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14,376,233</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Operating loss</w:t>
            </w:r>
          </w:p>
        </w:tc>
        <w:tc>
          <w:tcPr>
            <w:tcW w:w="25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(9,665,758 )</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(14,329,469 )</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expenses</w:t>
            </w:r>
          </w:p>
        </w:tc>
        <w:tc>
          <w:tcPr>
            <w:tcW w:w="2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Interest expense</w:t>
            </w:r>
          </w:p>
        </w:tc>
        <w:tc>
          <w:tcPr>
            <w:tcW w:w="25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(3,009,002 )</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(3,054,946 )</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11"/>
                <w:szCs w:val="1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(107,816 )</w:t>
            </w:r>
          </w:p>
        </w:tc>
        <w:tc>
          <w:tcPr>
            <w:tcW w:w="500" w:type="dxa"/>
            <w:vAlign w:val="bottom"/>
          </w:tcPr>
          <w:p>
            <w:pPr>
              <w:spacing w:after="0"/>
              <w:rPr>
                <w:sz w:val="11"/>
                <w:szCs w:val="1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171,751</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rPr>
              <w:t>Total other expenses, net</w:t>
            </w:r>
          </w:p>
        </w:tc>
        <w:tc>
          <w:tcPr>
            <w:tcW w:w="25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(3,116,818 )</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(2,883,195 )</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Loss before taxes</w:t>
            </w:r>
          </w:p>
        </w:tc>
        <w:tc>
          <w:tcPr>
            <w:tcW w:w="2520" w:type="dxa"/>
            <w:vAlign w:val="bottom"/>
          </w:tcPr>
          <w:p>
            <w:pPr>
              <w:spacing w:after="0"/>
              <w:rPr>
                <w:sz w:val="11"/>
                <w:szCs w:val="1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(12,782,576 )</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(17,212,664 )</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Income tax expense</w:t>
            </w:r>
          </w:p>
        </w:tc>
        <w:tc>
          <w:tcPr>
            <w:tcW w:w="25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(59,870 )</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(63,408 )</w:t>
            </w:r>
          </w:p>
        </w:tc>
        <w:tc>
          <w:tcPr>
            <w:tcW w:w="1600" w:type="dxa"/>
            <w:vAlign w:val="bottom"/>
          </w:tcPr>
          <w:p>
            <w:pPr>
              <w:spacing w:after="0"/>
              <w:rPr>
                <w:sz w:val="11"/>
                <w:szCs w:val="11"/>
                <w:color w:val="auto"/>
              </w:rPr>
            </w:pPr>
          </w:p>
        </w:tc>
      </w:tr>
      <w:tr>
        <w:trPr>
          <w:trHeight w:val="125"/>
        </w:trPr>
        <w:tc>
          <w:tcPr>
            <w:tcW w:w="1580" w:type="dxa"/>
            <w:vAlign w:val="bottom"/>
          </w:tcPr>
          <w:p>
            <w:pPr>
              <w:spacing w:after="0"/>
              <w:rPr>
                <w:sz w:val="10"/>
                <w:szCs w:val="1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520" w:type="dxa"/>
            <w:vAlign w:val="bottom"/>
          </w:tcPr>
          <w:p>
            <w:pPr>
              <w:spacing w:after="0"/>
              <w:rPr>
                <w:sz w:val="10"/>
                <w:szCs w:val="1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(12,842,446 )</w:t>
            </w:r>
          </w:p>
        </w:tc>
        <w:tc>
          <w:tcPr>
            <w:tcW w:w="5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(17,276,072 )</w:t>
            </w:r>
          </w:p>
        </w:tc>
        <w:tc>
          <w:tcPr>
            <w:tcW w:w="1600" w:type="dxa"/>
            <w:vAlign w:val="bottom"/>
          </w:tcPr>
          <w:p>
            <w:pPr>
              <w:spacing w:after="0"/>
              <w:rPr>
                <w:sz w:val="10"/>
                <w:szCs w:val="10"/>
                <w:color w:val="auto"/>
              </w:rPr>
            </w:pPr>
          </w:p>
        </w:tc>
      </w:tr>
      <w:tr>
        <w:trPr>
          <w:trHeight w:val="353"/>
        </w:trPr>
        <w:tc>
          <w:tcPr>
            <w:tcW w:w="1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20" w:type="dxa"/>
            <w:vAlign w:val="bottom"/>
          </w:tcPr>
          <w:p>
            <w:pPr>
              <w:jc w:val="right"/>
              <w:ind w:right="1431"/>
              <w:spacing w:after="0"/>
              <w:rPr>
                <w:sz w:val="20"/>
                <w:szCs w:val="20"/>
                <w:color w:val="auto"/>
              </w:rPr>
            </w:pPr>
            <w:r>
              <w:rPr>
                <w:rFonts w:ascii="Times New Roman" w:cs="Times New Roman" w:eastAsia="Times New Roman" w:hAnsi="Times New Roman"/>
                <w:sz w:val="10"/>
                <w:szCs w:val="10"/>
                <w:color w:val="auto"/>
              </w:rPr>
              <w:t>65</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74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0"/>
          <w:szCs w:val="10"/>
          <w:b w:val="1"/>
          <w:bCs w:val="1"/>
          <w:color w:val="auto"/>
        </w:rPr>
        <w:t>Comparison of six months ended June 30, 2024 and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six months ended June 30, 2024, as compared to the six months ended June 30, 2023:</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4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gridSpan w:val="3"/>
          </w:tcPr>
          <w:p>
            <w:pPr>
              <w:jc w:val="right"/>
              <w:ind w:right="291"/>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00" w:type="dxa"/>
            <w:vAlign w:val="bottom"/>
          </w:tcPr>
          <w:p>
            <w:pPr>
              <w:spacing w:after="0"/>
              <w:rPr>
                <w:sz w:val="9"/>
                <w:szCs w:val="9"/>
                <w:color w:val="auto"/>
              </w:rPr>
            </w:pPr>
          </w:p>
        </w:tc>
      </w:tr>
      <w:tr>
        <w:trPr>
          <w:trHeight w:val="115"/>
        </w:trPr>
        <w:tc>
          <w:tcPr>
            <w:tcW w:w="45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20" w:type="dxa"/>
            <w:vAlign w:val="bottom"/>
          </w:tcPr>
          <w:p>
            <w:pPr>
              <w:spacing w:after="0"/>
              <w:rPr>
                <w:sz w:val="10"/>
                <w:szCs w:val="10"/>
                <w:color w:val="auto"/>
              </w:rPr>
            </w:pPr>
          </w:p>
        </w:tc>
        <w:tc>
          <w:tcPr>
            <w:tcW w:w="920" w:type="dxa"/>
            <w:vAlign w:val="bottom"/>
            <w:gridSpan w:val="2"/>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2023</w:t>
            </w:r>
          </w:p>
        </w:tc>
        <w:tc>
          <w:tcPr>
            <w:tcW w:w="360" w:type="dxa"/>
            <w:vAlign w:val="bottom"/>
          </w:tcPr>
          <w:p>
            <w:pPr>
              <w:spacing w:after="0"/>
              <w:rPr>
                <w:sz w:val="10"/>
                <w:szCs w:val="10"/>
                <w:color w:val="auto"/>
              </w:rPr>
            </w:pPr>
          </w:p>
        </w:tc>
        <w:tc>
          <w:tcPr>
            <w:tcW w:w="900" w:type="dxa"/>
            <w:vAlign w:val="bottom"/>
            <w:gridSpan w:val="2"/>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jc w:val="right"/>
              <w:ind w:right="554"/>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31"/>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Revenues</w:t>
            </w:r>
          </w:p>
        </w:tc>
        <w:tc>
          <w:tcPr>
            <w:tcW w:w="6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53,399</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46,764</w:t>
            </w: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6,635</w:t>
            </w:r>
          </w:p>
        </w:tc>
        <w:tc>
          <w:tcPr>
            <w:tcW w:w="4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14 %</w:t>
            </w:r>
          </w:p>
        </w:tc>
      </w:tr>
      <w:tr>
        <w:trPr>
          <w:trHeight w:val="130"/>
        </w:trPr>
        <w:tc>
          <w:tcPr>
            <w:tcW w:w="4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Total revenues</w:t>
            </w:r>
          </w:p>
        </w:tc>
        <w:tc>
          <w:tcPr>
            <w:tcW w:w="6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53,399</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46,764</w:t>
            </w:r>
          </w:p>
        </w:tc>
        <w:tc>
          <w:tcPr>
            <w:tcW w:w="220" w:type="dxa"/>
            <w:vAlign w:val="bottom"/>
          </w:tcPr>
          <w:p>
            <w:pPr>
              <w:spacing w:after="0"/>
              <w:rPr>
                <w:sz w:val="11"/>
                <w:szCs w:val="11"/>
                <w:color w:val="auto"/>
              </w:rPr>
            </w:pPr>
          </w:p>
        </w:tc>
        <w:tc>
          <w:tcPr>
            <w:tcW w:w="6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6,635</w:t>
            </w:r>
          </w:p>
        </w:tc>
        <w:tc>
          <w:tcPr>
            <w:tcW w:w="4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$0.047 million for the six months ended June 30, 2023 as compared to $0.053 million for the six months ended June 30, 2024 is attributable to increased ticketing revenue from Spain.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six months ended June 30, 2024, as compared to the six months ended June 30, 2023:</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4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45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tcPr>
          <w:p>
            <w:pPr>
              <w:spacing w:after="0"/>
              <w:rPr>
                <w:sz w:val="10"/>
                <w:szCs w:val="10"/>
                <w:color w:val="auto"/>
              </w:rPr>
            </w:pPr>
          </w:p>
        </w:tc>
        <w:tc>
          <w:tcPr>
            <w:tcW w:w="900" w:type="dxa"/>
            <w:vAlign w:val="bottom"/>
          </w:tcPr>
          <w:p>
            <w:pPr>
              <w:jc w:val="right"/>
              <w:ind w:right="552"/>
              <w:spacing w:after="0"/>
              <w:rPr>
                <w:sz w:val="20"/>
                <w:szCs w:val="20"/>
                <w:color w:val="auto"/>
              </w:rPr>
            </w:pPr>
            <w:r>
              <w:rPr>
                <w:rFonts w:ascii="Times New Roman" w:cs="Times New Roman" w:eastAsia="Times New Roman" w:hAnsi="Times New Roman"/>
                <w:sz w:val="8"/>
                <w:szCs w:val="8"/>
                <w:b w:val="1"/>
                <w:bCs w:val="1"/>
                <w:color w:val="auto"/>
              </w:rPr>
              <w:t>%</w:t>
            </w:r>
          </w:p>
        </w:tc>
        <w:tc>
          <w:tcPr>
            <w:tcW w:w="20" w:type="dxa"/>
            <w:vAlign w:val="bottom"/>
          </w:tcPr>
          <w:p>
            <w:pPr>
              <w:spacing w:after="0"/>
              <w:rPr>
                <w:sz w:val="10"/>
                <w:szCs w:val="10"/>
                <w:color w:val="auto"/>
              </w:rPr>
            </w:pPr>
          </w:p>
        </w:tc>
      </w:tr>
      <w:tr>
        <w:trPr>
          <w:trHeight w:val="131"/>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Operating expenses</w:t>
            </w:r>
          </w:p>
        </w:tc>
        <w:tc>
          <w:tcPr>
            <w:tcW w:w="6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26"/>
        </w:trPr>
        <w:tc>
          <w:tcPr>
            <w:tcW w:w="4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Cost of revenue</w:t>
            </w:r>
          </w:p>
        </w:tc>
        <w:tc>
          <w:tcPr>
            <w:tcW w:w="640" w:type="dxa"/>
            <w:vAlign w:val="bottom"/>
          </w:tcPr>
          <w:p>
            <w:pPr>
              <w:jc w:val="right"/>
              <w:ind w:right="534"/>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16,177</w:t>
            </w:r>
          </w:p>
        </w:tc>
        <w:tc>
          <w:tcPr>
            <w:tcW w:w="620" w:type="dxa"/>
            <w:vAlign w:val="bottom"/>
            <w:gridSpan w:val="2"/>
          </w:tcPr>
          <w:p>
            <w:pPr>
              <w:jc w:val="right"/>
              <w:ind w:right="29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16,111</w:t>
            </w:r>
          </w:p>
        </w:tc>
        <w:tc>
          <w:tcPr>
            <w:tcW w:w="500" w:type="dxa"/>
            <w:vAlign w:val="bottom"/>
            <w:gridSpan w:val="2"/>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4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20" w:type="dxa"/>
            <w:vAlign w:val="bottom"/>
          </w:tcPr>
          <w:p>
            <w:pPr>
              <w:spacing w:after="0"/>
              <w:rPr>
                <w:sz w:val="10"/>
                <w:szCs w:val="10"/>
                <w:color w:val="auto"/>
              </w:rPr>
            </w:pPr>
          </w:p>
        </w:tc>
      </w:tr>
      <w:tr>
        <w:trPr>
          <w:trHeight w:val="128"/>
        </w:trPr>
        <w:tc>
          <w:tcPr>
            <w:tcW w:w="4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6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1,431,430</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4,710,174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(3,278,744 )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(70 )%</w:t>
            </w:r>
          </w:p>
        </w:tc>
      </w:tr>
      <w:tr>
        <w:trPr>
          <w:trHeight w:val="128"/>
        </w:trPr>
        <w:tc>
          <w:tcPr>
            <w:tcW w:w="4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6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8,066,209</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8,743,377</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(677,168 )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(8 )%</w:t>
            </w:r>
          </w:p>
        </w:tc>
      </w:tr>
      <w:tr>
        <w:trPr>
          <w:trHeight w:val="128"/>
        </w:trPr>
        <w:tc>
          <w:tcPr>
            <w:tcW w:w="4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Other operating expenses</w:t>
            </w:r>
          </w:p>
        </w:tc>
        <w:tc>
          <w:tcPr>
            <w:tcW w:w="6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84,500</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785,000</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(700,500 )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(89 )%</w:t>
            </w:r>
          </w:p>
        </w:tc>
      </w:tr>
      <w:tr>
        <w:trPr>
          <w:trHeight w:val="128"/>
        </w:trPr>
        <w:tc>
          <w:tcPr>
            <w:tcW w:w="4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Depreciation and amortization expenses</w:t>
            </w:r>
          </w:p>
        </w:tc>
        <w:tc>
          <w:tcPr>
            <w:tcW w:w="6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120,841</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121,571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(730 )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(1 )%</w:t>
            </w:r>
          </w:p>
        </w:tc>
      </w:tr>
      <w:tr>
        <w:trPr>
          <w:trHeight w:val="129"/>
        </w:trPr>
        <w:tc>
          <w:tcPr>
            <w:tcW w:w="4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Total operating expenses</w:t>
            </w:r>
          </w:p>
        </w:tc>
        <w:tc>
          <w:tcPr>
            <w:tcW w:w="640" w:type="dxa"/>
            <w:vAlign w:val="bottom"/>
          </w:tcPr>
          <w:p>
            <w:pPr>
              <w:jc w:val="right"/>
              <w:ind w:right="534"/>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9,719,157</w:t>
            </w:r>
          </w:p>
        </w:tc>
        <w:tc>
          <w:tcPr>
            <w:tcW w:w="220" w:type="dxa"/>
            <w:vAlign w:val="bottom"/>
          </w:tcPr>
          <w:p>
            <w:pPr>
              <w:spacing w:after="0"/>
              <w:rPr>
                <w:sz w:val="11"/>
                <w:szCs w:val="11"/>
                <w:color w:val="auto"/>
              </w:rPr>
            </w:pPr>
          </w:p>
        </w:tc>
        <w:tc>
          <w:tcPr>
            <w:tcW w:w="40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14,376,233</w:t>
            </w:r>
          </w:p>
        </w:tc>
        <w:tc>
          <w:tcPr>
            <w:tcW w:w="22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gridSpan w:val="2"/>
          </w:tcPr>
          <w:p>
            <w:pPr>
              <w:jc w:val="right"/>
              <w:ind w:right="440"/>
              <w:spacing w:after="0" w:line="130" w:lineRule="exact"/>
              <w:rPr>
                <w:sz w:val="20"/>
                <w:szCs w:val="20"/>
                <w:color w:val="auto"/>
              </w:rPr>
            </w:pPr>
            <w:r>
              <w:rPr>
                <w:rFonts w:ascii="Times New Roman" w:cs="Times New Roman" w:eastAsia="Times New Roman" w:hAnsi="Times New Roman"/>
                <w:sz w:val="8"/>
                <w:szCs w:val="8"/>
                <w:color w:val="auto"/>
              </w:rPr>
              <w:t xml:space="preserve">(4,657,076 </w:t>
            </w:r>
            <w:r>
              <w:rPr>
                <w:rFonts w:ascii="Times New Roman" w:cs="Times New Roman" w:eastAsia="Times New Roman" w:hAnsi="Times New Roman"/>
                <w:sz w:val="15"/>
                <w:szCs w:val="15"/>
                <w:color w:val="auto"/>
                <w:vertAlign w:val="subscript"/>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(32 )%</w:t>
            </w:r>
          </w:p>
        </w:tc>
      </w:tr>
      <w:tr>
        <w:trPr>
          <w:trHeight w:val="23"/>
        </w:trPr>
        <w:tc>
          <w:tcPr>
            <w:tcW w:w="4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-418465</wp:posOffset>
            </wp:positionV>
            <wp:extent cx="6076950" cy="812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6950" cy="81280"/>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-256540</wp:posOffset>
            </wp:positionV>
            <wp:extent cx="6076950" cy="812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6950" cy="81280"/>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-94615</wp:posOffset>
            </wp:positionV>
            <wp:extent cx="6076950" cy="95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6950" cy="95250"/>
                    </a:xfrm>
                    <a:prstGeom prst="rect">
                      <a:avLst/>
                    </a:prstGeom>
                    <a:noFill/>
                  </pic:spPr>
                </pic:pic>
              </a:graphicData>
            </a:graphic>
          </wp:anchor>
        </w:drawing>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remained unchanged at $0.02 million, for the six months ended June 30, 2024 compared to the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decreased by $3.3 million, for the six months ended June 30, 2024, compared to the six months ended June 30, 2023. This was primarily due decrease in share-based payments of $2.8 million and a reduction in salary costs of $0.5 million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$0.7 million, for the six months ended June 30, 2024, compared to the six months ended June 30, 2023. Share- based payments to employees increased by $2.0 million, professional fees increased by $0.4 million related to listing costs, general and administrative other expenses increased by $0.2 million, offset by a reduction in Business Development costs of $0.6 million and a reduction of $2.9 million staff and consulting costs due to lower headcount and level of IT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decreased by $0.8 million due to an impairment of a loan receivables to Swipeby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$0.1 million, for the six months ended June 30, 2024, compared to the six months ended June 30,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six months ended June 30, 2024, as compared to the six months ended June 30, 2023:</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4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45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right"/>
              <w:ind w:right="456"/>
              <w:spacing w:after="0"/>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tcPr>
          <w:p>
            <w:pPr>
              <w:spacing w:after="0"/>
              <w:rPr>
                <w:sz w:val="10"/>
                <w:szCs w:val="10"/>
                <w:color w:val="auto"/>
              </w:rPr>
            </w:pPr>
          </w:p>
        </w:tc>
        <w:tc>
          <w:tcPr>
            <w:tcW w:w="900" w:type="dxa"/>
            <w:vAlign w:val="bottom"/>
          </w:tcPr>
          <w:p>
            <w:pPr>
              <w:jc w:val="right"/>
              <w:ind w:right="553"/>
              <w:spacing w:after="0"/>
              <w:rPr>
                <w:sz w:val="20"/>
                <w:szCs w:val="20"/>
                <w:color w:val="auto"/>
              </w:rPr>
            </w:pPr>
            <w:r>
              <w:rPr>
                <w:rFonts w:ascii="Times New Roman" w:cs="Times New Roman" w:eastAsia="Times New Roman" w:hAnsi="Times New Roman"/>
                <w:sz w:val="8"/>
                <w:szCs w:val="8"/>
                <w:b w:val="1"/>
                <w:bCs w:val="1"/>
                <w:color w:val="auto"/>
              </w:rPr>
              <w:t>%</w:t>
            </w:r>
          </w:p>
        </w:tc>
        <w:tc>
          <w:tcPr>
            <w:tcW w:w="20" w:type="dxa"/>
            <w:vAlign w:val="bottom"/>
          </w:tcPr>
          <w:p>
            <w:pPr>
              <w:spacing w:after="0"/>
              <w:rPr>
                <w:sz w:val="10"/>
                <w:szCs w:val="10"/>
                <w:color w:val="auto"/>
              </w:rPr>
            </w:pPr>
          </w:p>
        </w:tc>
      </w:tr>
      <w:tr>
        <w:trPr>
          <w:trHeight w:val="131"/>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Other expenses</w:t>
            </w:r>
          </w:p>
        </w:tc>
        <w:tc>
          <w:tcPr>
            <w:tcW w:w="6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26"/>
        </w:trPr>
        <w:tc>
          <w:tcPr>
            <w:tcW w:w="4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tcPr>
          <w:p>
            <w:pPr>
              <w:jc w:val="right"/>
              <w:ind w:right="53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w w:val="89"/>
              </w:rPr>
              <w:t>(3,009,002 )</w:t>
            </w:r>
          </w:p>
        </w:tc>
        <w:tc>
          <w:tcPr>
            <w:tcW w:w="40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(3,054,946 )</w:t>
            </w:r>
          </w:p>
        </w:tc>
        <w:tc>
          <w:tcPr>
            <w:tcW w:w="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45,944</w:t>
            </w:r>
          </w:p>
        </w:tc>
        <w:tc>
          <w:tcPr>
            <w:tcW w:w="480" w:type="dxa"/>
            <w:vAlign w:val="bottom"/>
          </w:tcPr>
          <w:p>
            <w:pPr>
              <w:spacing w:after="0"/>
              <w:rPr>
                <w:sz w:val="10"/>
                <w:szCs w:val="1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(2 )%</w:t>
            </w:r>
          </w:p>
        </w:tc>
      </w:tr>
      <w:tr>
        <w:trPr>
          <w:trHeight w:val="128"/>
        </w:trPr>
        <w:tc>
          <w:tcPr>
            <w:tcW w:w="4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64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(107,816 )</w:t>
            </w:r>
          </w:p>
        </w:tc>
        <w:tc>
          <w:tcPr>
            <w:tcW w:w="4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171,751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(279,567 )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(163 )%</w:t>
            </w:r>
          </w:p>
        </w:tc>
      </w:tr>
      <w:tr>
        <w:trPr>
          <w:trHeight w:val="129"/>
        </w:trPr>
        <w:tc>
          <w:tcPr>
            <w:tcW w:w="4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other expense, net</w:t>
            </w:r>
          </w:p>
        </w:tc>
        <w:tc>
          <w:tcPr>
            <w:tcW w:w="640" w:type="dxa"/>
            <w:vAlign w:val="bottom"/>
          </w:tcPr>
          <w:p>
            <w:pPr>
              <w:jc w:val="right"/>
              <w:ind w:right="53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8"/>
                <w:szCs w:val="8"/>
                <w:color w:val="auto"/>
              </w:rPr>
              <w:t xml:space="preserve">(3,116,818 </w:t>
            </w:r>
            <w:r>
              <w:rPr>
                <w:rFonts w:ascii="Times New Roman" w:cs="Times New Roman" w:eastAsia="Times New Roman" w:hAnsi="Times New Roman"/>
                <w:sz w:val="15"/>
                <w:szCs w:val="15"/>
                <w:color w:val="auto"/>
                <w:vertAlign w:val="subscript"/>
              </w:rPr>
              <w:t>)</w:t>
            </w:r>
          </w:p>
        </w:tc>
        <w:tc>
          <w:tcPr>
            <w:tcW w:w="40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8"/>
                <w:szCs w:val="8"/>
                <w:color w:val="auto"/>
              </w:rPr>
              <w:t xml:space="preserve">(2,883,195 </w:t>
            </w:r>
            <w:r>
              <w:rPr>
                <w:rFonts w:ascii="Times New Roman" w:cs="Times New Roman" w:eastAsia="Times New Roman" w:hAnsi="Times New Roman"/>
                <w:sz w:val="15"/>
                <w:szCs w:val="15"/>
                <w:color w:val="auto"/>
                <w:vertAlign w:val="subscript"/>
              </w:rPr>
              <w:t>)</w:t>
            </w:r>
          </w:p>
        </w:tc>
        <w:tc>
          <w:tcPr>
            <w:tcW w:w="280" w:type="dxa"/>
            <w:vAlign w:val="bottom"/>
          </w:tcPr>
          <w:p>
            <w:pPr>
              <w:spacing w:after="0"/>
              <w:rPr>
                <w:sz w:val="11"/>
                <w:szCs w:val="11"/>
                <w:color w:val="auto"/>
              </w:rPr>
            </w:pPr>
          </w:p>
        </w:tc>
        <w:tc>
          <w:tcPr>
            <w:tcW w:w="1240" w:type="dxa"/>
            <w:vAlign w:val="bottom"/>
            <w:gridSpan w:val="2"/>
          </w:tcPr>
          <w:p>
            <w:pPr>
              <w:jc w:val="right"/>
              <w:ind w:right="440"/>
              <w:spacing w:after="0" w:line="130" w:lineRule="exact"/>
              <w:rPr>
                <w:sz w:val="20"/>
                <w:szCs w:val="20"/>
                <w:color w:val="auto"/>
              </w:rPr>
            </w:pPr>
            <w:r>
              <w:rPr>
                <w:rFonts w:ascii="Times New Roman" w:cs="Times New Roman" w:eastAsia="Times New Roman" w:hAnsi="Times New Roman"/>
                <w:sz w:val="8"/>
                <w:szCs w:val="8"/>
                <w:color w:val="auto"/>
              </w:rPr>
              <w:t xml:space="preserve">(233,623 </w:t>
            </w:r>
            <w:r>
              <w:rPr>
                <w:rFonts w:ascii="Times New Roman" w:cs="Times New Roman" w:eastAsia="Times New Roman" w:hAnsi="Times New Roman"/>
                <w:sz w:val="15"/>
                <w:szCs w:val="15"/>
                <w:color w:val="auto"/>
                <w:vertAlign w:val="subscript"/>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20" w:type="dxa"/>
            <w:vAlign w:val="bottom"/>
          </w:tcPr>
          <w:p>
            <w:pPr>
              <w:spacing w:after="0"/>
              <w:rPr>
                <w:sz w:val="11"/>
                <w:szCs w:val="11"/>
                <w:color w:val="auto"/>
              </w:rPr>
            </w:pPr>
          </w:p>
        </w:tc>
      </w:tr>
      <w:tr>
        <w:trPr>
          <w:trHeight w:val="23"/>
        </w:trPr>
        <w:tc>
          <w:tcPr>
            <w:tcW w:w="4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-175895</wp:posOffset>
            </wp:positionV>
            <wp:extent cx="6076950" cy="812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6950" cy="81280"/>
                    </a:xfrm>
                    <a:prstGeom prst="rect">
                      <a:avLst/>
                    </a:prstGeom>
                    <a:noFill/>
                  </pic:spPr>
                </pic:pic>
              </a:graphicData>
            </a:graphic>
          </wp:anchor>
        </w:drawing>
      </w:r>
    </w:p>
    <w:p>
      <w:pPr>
        <w:spacing w:after="0" w:line="116"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Interest expense remained unchanged at $3.0 million for the six months ended June 30, 2024 as compared to the six months ended June 2023. The increase in interest related to the promissory notes has been offset by the lower effective interest rate on the convertible secured loan.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decreased by $0.3 million for the six months ended June 30, 2024 as compared to the six year ended June 30, 2023, this is due to an increase in foreign exchange losses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$14.3 million for the six months ended June 30, 2023 million to $9.7 million for the six months ended June 31, 2024. This was due to a decrease in Operating expenses from $14.4m million for the six months ended June 30, 2023 to $9.7 million for the six months ended June 30, 2024.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77" w:name="page78"/>
    <w:bookmarkEnd w:id="77"/>
    <w:p>
      <w:pPr>
        <w:ind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20" w:type="dxa"/>
            <w:vAlign w:val="bottom"/>
          </w:tcPr>
          <w:p>
            <w:pPr>
              <w:spacing w:after="0"/>
              <w:rPr>
                <w:sz w:val="9"/>
                <w:szCs w:val="9"/>
                <w:color w:val="auto"/>
              </w:rPr>
            </w:pPr>
          </w:p>
        </w:tc>
      </w:tr>
      <w:tr>
        <w:trPr>
          <w:trHeight w:val="115"/>
        </w:trPr>
        <w:tc>
          <w:tcPr>
            <w:tcW w:w="3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500" w:type="dxa"/>
            <w:vAlign w:val="bottom"/>
          </w:tcPr>
          <w:p>
            <w:pPr>
              <w:spacing w:after="0"/>
              <w:rPr>
                <w:sz w:val="10"/>
                <w:szCs w:val="10"/>
                <w:color w:val="auto"/>
              </w:rPr>
            </w:pPr>
          </w:p>
        </w:tc>
        <w:tc>
          <w:tcPr>
            <w:tcW w:w="72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31"/>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18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(12,842,446 )</w:t>
            </w: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(17,276,072 )</w:t>
            </w:r>
          </w:p>
        </w:tc>
      </w:tr>
      <w:tr>
        <w:trPr>
          <w:trHeight w:val="127"/>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Add (subtract)</w:t>
            </w:r>
          </w:p>
        </w:tc>
        <w:tc>
          <w:tcPr>
            <w:tcW w:w="1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Interest expense</w:t>
            </w:r>
          </w:p>
        </w:tc>
        <w:tc>
          <w:tcPr>
            <w:tcW w:w="186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3,009,002</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3,054,946</w:t>
            </w:r>
          </w:p>
        </w:tc>
      </w:tr>
      <w:tr>
        <w:trPr>
          <w:trHeight w:val="127"/>
        </w:trPr>
        <w:tc>
          <w:tcPr>
            <w:tcW w:w="34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Provision for income tax expense (benefit)</w:t>
            </w:r>
          </w:p>
        </w:tc>
        <w:tc>
          <w:tcPr>
            <w:tcW w:w="1860" w:type="dxa"/>
            <w:vAlign w:val="bottom"/>
          </w:tcPr>
          <w:p>
            <w:pPr>
              <w:spacing w:after="0"/>
              <w:rPr>
                <w:sz w:val="11"/>
                <w:szCs w:val="11"/>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59,870</w:t>
            </w:r>
          </w:p>
        </w:tc>
        <w:tc>
          <w:tcPr>
            <w:tcW w:w="500" w:type="dxa"/>
            <w:vAlign w:val="bottom"/>
          </w:tcPr>
          <w:p>
            <w:pPr>
              <w:spacing w:after="0"/>
              <w:rPr>
                <w:sz w:val="11"/>
                <w:szCs w:val="1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63,408</w:t>
            </w:r>
          </w:p>
        </w:tc>
      </w:tr>
      <w:tr>
        <w:trPr>
          <w:trHeight w:val="128"/>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186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0"/>
                <w:szCs w:val="10"/>
                <w:color w:val="auto"/>
              </w:rPr>
              <w:t>120,841</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121,571</w:t>
            </w:r>
          </w:p>
        </w:tc>
      </w:tr>
      <w:tr>
        <w:trPr>
          <w:trHeight w:val="126"/>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(9,652,733 )</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(14,036,147 )</w:t>
            </w:r>
          </w:p>
        </w:tc>
      </w:tr>
    </w:tbl>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booked transaction-related costs in each of the six months ended June 30, 2024 and June 30, 2023. PCAOB audit and U.S. legal counsel costs for the periods under review have been accrued as incurred in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4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78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78" w:name="page79"/>
    <w:bookmarkEnd w:id="78"/>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90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2023 and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20" w:type="dxa"/>
            <w:vAlign w:val="bottom"/>
          </w:tcPr>
          <w:p>
            <w:pPr>
              <w:spacing w:after="0"/>
              <w:rPr>
                <w:sz w:val="9"/>
                <w:szCs w:val="9"/>
                <w:color w:val="auto"/>
              </w:rPr>
            </w:pPr>
          </w:p>
        </w:tc>
      </w:tr>
      <w:tr>
        <w:trPr>
          <w:trHeight w:val="115"/>
        </w:trPr>
        <w:tc>
          <w:tcPr>
            <w:tcW w:w="35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500" w:type="dxa"/>
            <w:vAlign w:val="bottom"/>
          </w:tcPr>
          <w:p>
            <w:pPr>
              <w:spacing w:after="0"/>
              <w:rPr>
                <w:sz w:val="10"/>
                <w:szCs w:val="10"/>
                <w:color w:val="auto"/>
              </w:rPr>
            </w:pPr>
          </w:p>
        </w:tc>
        <w:tc>
          <w:tcPr>
            <w:tcW w:w="72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31"/>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16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(12,842,446 )</w:t>
            </w: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(17,276,072 )</w:t>
            </w:r>
          </w:p>
        </w:tc>
      </w:tr>
      <w:tr>
        <w:trPr>
          <w:trHeight w:val="127"/>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Interest expense</w:t>
            </w:r>
          </w:p>
        </w:tc>
        <w:tc>
          <w:tcPr>
            <w:tcW w:w="16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3,009,002</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3,054,946</w:t>
            </w:r>
          </w:p>
        </w:tc>
      </w:tr>
      <w:tr>
        <w:trPr>
          <w:trHeight w:val="127"/>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Provision for income tax expense (benefit)</w:t>
            </w:r>
          </w:p>
        </w:tc>
        <w:tc>
          <w:tcPr>
            <w:tcW w:w="1680" w:type="dxa"/>
            <w:vAlign w:val="bottom"/>
          </w:tcPr>
          <w:p>
            <w:pPr>
              <w:spacing w:after="0"/>
              <w:rPr>
                <w:sz w:val="11"/>
                <w:szCs w:val="11"/>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59,870</w:t>
            </w:r>
          </w:p>
        </w:tc>
        <w:tc>
          <w:tcPr>
            <w:tcW w:w="500" w:type="dxa"/>
            <w:vAlign w:val="bottom"/>
          </w:tcPr>
          <w:p>
            <w:pPr>
              <w:spacing w:after="0"/>
              <w:rPr>
                <w:sz w:val="11"/>
                <w:szCs w:val="1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63,408</w:t>
            </w:r>
          </w:p>
        </w:tc>
      </w:tr>
      <w:tr>
        <w:trPr>
          <w:trHeight w:val="128"/>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16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0"/>
                <w:szCs w:val="10"/>
                <w:color w:val="auto"/>
              </w:rPr>
              <w:t>120,841</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121,571</w:t>
            </w:r>
          </w:p>
        </w:tc>
      </w:tr>
      <w:tr>
        <w:trPr>
          <w:trHeight w:val="127"/>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16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(9,652,733 )</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(14,036,147 )</w:t>
            </w:r>
          </w:p>
        </w:tc>
      </w:tr>
      <w:tr>
        <w:trPr>
          <w:trHeight w:val="128"/>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27"/>
        </w:trPr>
        <w:tc>
          <w:tcPr>
            <w:tcW w:w="35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Unrealized foreign exchange (gain) loss</w:t>
            </w:r>
          </w:p>
        </w:tc>
        <w:tc>
          <w:tcPr>
            <w:tcW w:w="1680" w:type="dxa"/>
            <w:vAlign w:val="bottom"/>
          </w:tcPr>
          <w:p>
            <w:pPr>
              <w:spacing w:after="0"/>
              <w:rPr>
                <w:sz w:val="11"/>
                <w:szCs w:val="11"/>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108,224</w:t>
            </w:r>
          </w:p>
        </w:tc>
        <w:tc>
          <w:tcPr>
            <w:tcW w:w="500" w:type="dxa"/>
            <w:vAlign w:val="bottom"/>
          </w:tcPr>
          <w:p>
            <w:pPr>
              <w:spacing w:after="0"/>
              <w:rPr>
                <w:sz w:val="11"/>
                <w:szCs w:val="1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327,383</w:t>
            </w:r>
          </w:p>
        </w:tc>
      </w:tr>
      <w:tr>
        <w:trPr>
          <w:trHeight w:val="128"/>
        </w:trPr>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16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785,000</w:t>
            </w:r>
          </w:p>
        </w:tc>
      </w:tr>
      <w:tr>
        <w:trPr>
          <w:trHeight w:val="127"/>
        </w:trPr>
        <w:tc>
          <w:tcPr>
            <w:tcW w:w="35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Business development expenses</w:t>
            </w:r>
          </w:p>
        </w:tc>
        <w:tc>
          <w:tcPr>
            <w:tcW w:w="1680" w:type="dxa"/>
            <w:vAlign w:val="bottom"/>
          </w:tcPr>
          <w:p>
            <w:pPr>
              <w:spacing w:after="0"/>
              <w:rPr>
                <w:sz w:val="11"/>
                <w:szCs w:val="11"/>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1"/>
                <w:szCs w:val="1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570,731</w:t>
            </w:r>
          </w:p>
        </w:tc>
      </w:tr>
      <w:tr>
        <w:trPr>
          <w:trHeight w:val="128"/>
        </w:trPr>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Employee and Other Share-based compensation</w:t>
            </w:r>
          </w:p>
        </w:tc>
        <w:tc>
          <w:tcPr>
            <w:tcW w:w="16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4,043,184</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4,880,389</w:t>
            </w:r>
          </w:p>
        </w:tc>
      </w:tr>
      <w:tr>
        <w:trPr>
          <w:trHeight w:val="126"/>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Adjusted EBITDA .</w:t>
            </w:r>
          </w:p>
        </w:tc>
        <w:tc>
          <w:tcPr>
            <w:tcW w:w="16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(5,501,325 )</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(7,472,644 )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 payment expense to have been recognized immediately for the grant of 58,315,800 employee shares to be $13,995,792. This estimate uses a fair value per employee share of $.24 based on a recent funding of the Company at $.24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June 30, 2024 and June 30,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80" w:type="dxa"/>
            <w:vAlign w:val="bottom"/>
          </w:tcPr>
          <w:p>
            <w:pPr>
              <w:spacing w:after="0"/>
              <w:rPr>
                <w:sz w:val="9"/>
                <w:szCs w:val="9"/>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2024</w:t>
            </w:r>
          </w:p>
        </w:tc>
        <w:tc>
          <w:tcPr>
            <w:tcW w:w="280" w:type="dxa"/>
            <w:vAlign w:val="bottom"/>
          </w:tcPr>
          <w:p>
            <w:pPr>
              <w:spacing w:after="0"/>
              <w:rPr>
                <w:sz w:val="10"/>
                <w:szCs w:val="10"/>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10"/>
                <w:szCs w:val="10"/>
                <w:color w:val="auto"/>
              </w:rPr>
            </w:pPr>
          </w:p>
        </w:tc>
      </w:tr>
      <w:tr>
        <w:trPr>
          <w:trHeight w:val="130"/>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Unrestricted cash and cash equivalents</w:t>
            </w:r>
          </w:p>
        </w:tc>
        <w:tc>
          <w:tcPr>
            <w:tcW w:w="26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0"/>
                <w:szCs w:val="10"/>
                <w:color w:val="auto"/>
              </w:rPr>
              <w:t>60,298</w:t>
            </w:r>
          </w:p>
        </w:tc>
        <w:tc>
          <w:tcPr>
            <w:tcW w:w="2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11"/>
                <w:szCs w:val="11"/>
                <w:color w:val="auto"/>
              </w:rPr>
            </w:pPr>
          </w:p>
        </w:tc>
      </w:tr>
      <w:tr>
        <w:trPr>
          <w:trHeight w:val="125"/>
        </w:trPr>
        <w:tc>
          <w:tcPr>
            <w:tcW w:w="1580" w:type="dxa"/>
            <w:vAlign w:val="bottom"/>
          </w:tcPr>
          <w:p>
            <w:pPr>
              <w:spacing w:after="0"/>
              <w:rPr>
                <w:sz w:val="10"/>
                <w:szCs w:val="10"/>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Available liquidity</w:t>
            </w:r>
          </w:p>
        </w:tc>
        <w:tc>
          <w:tcPr>
            <w:tcW w:w="26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60,298</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10"/>
                <w:szCs w:val="10"/>
                <w:color w:val="auto"/>
              </w:rPr>
            </w:pPr>
          </w:p>
        </w:tc>
      </w:tr>
      <w:tr>
        <w:trPr>
          <w:trHeight w:val="353"/>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40" w:type="dxa"/>
            <w:vAlign w:val="bottom"/>
          </w:tcPr>
          <w:p>
            <w:pPr>
              <w:jc w:val="right"/>
              <w:ind w:right="1411"/>
              <w:spacing w:after="0"/>
              <w:rPr>
                <w:sz w:val="20"/>
                <w:szCs w:val="20"/>
                <w:color w:val="auto"/>
              </w:rPr>
            </w:pPr>
            <w:r>
              <w:rPr>
                <w:rFonts w:ascii="Times New Roman" w:cs="Times New Roman" w:eastAsia="Times New Roman" w:hAnsi="Times New Roman"/>
                <w:sz w:val="10"/>
                <w:szCs w:val="10"/>
                <w:color w:val="auto"/>
              </w:rPr>
              <w:t>69</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5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20" w:type="dxa"/>
            <w:vAlign w:val="bottom"/>
          </w:tcPr>
          <w:p>
            <w:pPr>
              <w:spacing w:after="0"/>
              <w:rPr>
                <w:sz w:val="9"/>
                <w:szCs w:val="9"/>
                <w:color w:val="auto"/>
              </w:rPr>
            </w:pPr>
          </w:p>
        </w:tc>
      </w:tr>
      <w:tr>
        <w:trPr>
          <w:trHeight w:val="115"/>
        </w:trPr>
        <w:tc>
          <w:tcPr>
            <w:tcW w:w="3540" w:type="dxa"/>
            <w:vAlign w:val="bottom"/>
          </w:tcPr>
          <w:p>
            <w:pPr>
              <w:spacing w:after="0"/>
              <w:rPr>
                <w:sz w:val="10"/>
                <w:szCs w:val="1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31"/>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 cash used in operating activities</w:t>
            </w:r>
          </w:p>
        </w:tc>
        <w:tc>
          <w:tcPr>
            <w:tcW w:w="21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w w:val="93"/>
              </w:rPr>
              <w:t>(4,898,451 )</w:t>
            </w: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(8,818,307 )</w:t>
            </w:r>
          </w:p>
        </w:tc>
      </w:tr>
      <w:tr>
        <w:trPr>
          <w:trHeight w:val="127"/>
        </w:trPr>
        <w:tc>
          <w:tcPr>
            <w:tcW w:w="3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cash used in investing activities</w:t>
            </w:r>
          </w:p>
        </w:tc>
        <w:tc>
          <w:tcPr>
            <w:tcW w:w="2120" w:type="dxa"/>
            <w:vAlign w:val="bottom"/>
          </w:tcPr>
          <w:p>
            <w:pPr>
              <w:spacing w:after="0"/>
              <w:rPr>
                <w:sz w:val="11"/>
                <w:szCs w:val="11"/>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w w:val="93"/>
              </w:rPr>
              <w:t>(1,364,375 )</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(112,666 )</w:t>
            </w:r>
          </w:p>
        </w:tc>
      </w:tr>
      <w:tr>
        <w:trPr>
          <w:trHeight w:val="12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 cash provided by financing activities</w:t>
            </w:r>
          </w:p>
        </w:tc>
        <w:tc>
          <w:tcPr>
            <w:tcW w:w="2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w w:val="99"/>
              </w:rPr>
              <w:t>6,274,161</w:t>
            </w: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9,171,912</w:t>
            </w:r>
          </w:p>
        </w:tc>
      </w:tr>
      <w:tr>
        <w:trPr>
          <w:trHeight w:val="113"/>
        </w:trPr>
        <w:tc>
          <w:tcPr>
            <w:tcW w:w="354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26"/>
        </w:trPr>
        <w:tc>
          <w:tcPr>
            <w:tcW w:w="3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120" w:type="dxa"/>
            <w:vAlign w:val="bottom"/>
          </w:tcPr>
          <w:p>
            <w:pPr>
              <w:spacing w:after="0"/>
              <w:rPr>
                <w:sz w:val="10"/>
                <w:szCs w:val="10"/>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38,522</w:t>
            </w:r>
          </w:p>
        </w:tc>
        <w:tc>
          <w:tcPr>
            <w:tcW w:w="5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(159,230 )</w:t>
            </w:r>
          </w:p>
        </w:tc>
      </w:tr>
      <w:tr>
        <w:trPr>
          <w:trHeight w:val="12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1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49,857</w:t>
            </w: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81,709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$4.9 million for the six months ended June 30, 2024, which resulted from a net loss of $12.8 million from operating activities, adjusted for non-cash items such as share based compensation of $4.0 million, interest expense of $3.0 million, unrealized foreign exchange losses of $0.1m and of changes in working capital of $0.7 million primarily due to an increase in trade and other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$6.3 million for the six months ended June 30, 2024 was due to proceeds from rights issues of $1.4 million, $0.4 million of short term loans and $4.3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DBLP Sea Cow Ltd of $860,778 consists of $ 447,067 loan repayable on demand and DBLP Sea Cow Ltd is owed $413,711 for amounts to be re-imbursed for expenses incurred on behalf of Rezolve at June 30, 2024 (December 31, 2023, $191,405). DBLP is a company incorporated in the Seychelles and is wholly legally owned by Daniel Wagner and beneficially owned by John Wagner, there are no formal loan documents in place and no interest is payable.</w:t>
      </w:r>
    </w:p>
    <w:p>
      <w:pPr>
        <w:spacing w:after="0" w:line="101" w:lineRule="exact"/>
        <w:rPr>
          <w:sz w:val="20"/>
          <w:szCs w:val="20"/>
          <w:color w:val="auto"/>
        </w:rPr>
      </w:pPr>
    </w:p>
    <w:p>
      <w:pPr>
        <w:ind w:firstLine="480"/>
        <w:spacing w:after="0" w:line="292" w:lineRule="auto"/>
        <w:rPr>
          <w:sz w:val="20"/>
          <w:szCs w:val="20"/>
          <w:color w:val="auto"/>
        </w:rPr>
      </w:pPr>
      <w:r>
        <w:rPr>
          <w:rFonts w:ascii="Times New Roman" w:cs="Times New Roman" w:eastAsia="Times New Roman" w:hAnsi="Times New Roman"/>
          <w:sz w:val="10"/>
          <w:szCs w:val="10"/>
          <w:color w:val="auto"/>
        </w:rPr>
        <w:t>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 As at June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2024, $37,956 of borrowing fees have been recognized.</w:t>
      </w:r>
    </w:p>
    <w:p>
      <w:pPr>
        <w:spacing w:after="0" w:line="3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As at June 30, 2024 the Company had Convertible Loans of $38,473,892, plus a Convertible promissory notes of $5,395,702, comprising of a Convertible promissory note of $2,508,685and a Promissory loan note of $2,887,017.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3" w:right="680" w:bottom="1440" w:gutter="0" w:footer="0" w:header="0"/>
        </w:sectPr>
      </w:pPr>
    </w:p>
    <w:bookmarkStart w:id="80" w:name="page81"/>
    <w:bookmarkEnd w:id="80"/>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right="120"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09"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2.6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 and the other loans are either convertible or have a fixed interest rate. The Convertible secured loan notes are reported as debt under troubled debt restructuring.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3" w:right="66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six months ended June 30, 2024 and 2023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2024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108"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212529"/>
        </w:rPr>
        <w:t xml:space="preserve">On September 6, 2024, YA and Rezolve executed the Second A&amp;R YA Agreement </w:t>
      </w:r>
      <w:r>
        <w:rPr>
          <w:rFonts w:ascii="Times New Roman" w:cs="Times New Roman" w:eastAsia="Times New Roman" w:hAnsi="Times New Roman"/>
          <w:sz w:val="9"/>
          <w:szCs w:val="9"/>
          <w:color w:val="000000"/>
        </w:rPr>
        <w:t>to incorporate an additional prepaid advance arrangement pursuant to which YA committed to provide Rezolve with prepaid advances in an aggregate original principal amount</w:t>
      </w:r>
      <w:r>
        <w:rPr>
          <w:rFonts w:ascii="Times New Roman" w:cs="Times New Roman" w:eastAsia="Times New Roman" w:hAnsi="Times New Roman"/>
          <w:sz w:val="9"/>
          <w:szCs w:val="9"/>
          <w:color w:val="212529"/>
        </w:rPr>
        <w:t xml:space="preserve"> </w:t>
      </w:r>
      <w:r>
        <w:rPr>
          <w:rFonts w:ascii="Times New Roman" w:cs="Times New Roman" w:eastAsia="Times New Roman" w:hAnsi="Times New Roman"/>
          <w:sz w:val="9"/>
          <w:szCs w:val="9"/>
          <w:color w:val="000000"/>
        </w:rPr>
        <w:t>of an additional Seven Million Five Hundred Thousand Dollars ($7,500,000), which will be in three tranches, with the first tranche in an original principal amount of Two Million Five Hundred Thousand Dollars ($2,500,000) funded in connection with the Additional YA Note, the second tranche in an original principal amount of Two Million Five Hundred Thousand Dollars ($2,500,000) funded in connection with the Additional YA Note, and the third tranche in an original principal amount of Two Million Five Hundred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0"/>
          <w:szCs w:val="10"/>
          <w:color w:val="auto"/>
        </w:rPr>
        <w:t>Thousand Dollars ($2,500,000) to be funded upon the effectiveness of this Registration Statement. The Second A&amp;R YA Agreement superseded the YA Agreement.</w:t>
      </w:r>
    </w:p>
    <w:p>
      <w:pPr>
        <w:spacing w:after="0" w:line="116" w:lineRule="exact"/>
        <w:rPr>
          <w:sz w:val="20"/>
          <w:szCs w:val="20"/>
          <w:color w:val="auto"/>
        </w:rPr>
      </w:pPr>
    </w:p>
    <w:p>
      <w:pPr>
        <w:jc w:val="both"/>
        <w:ind w:right="200" w:firstLine="480"/>
        <w:spacing w:after="0" w:line="247"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auto"/>
        </w:rPr>
        <w:t>YA Note Amendment</w:t>
      </w:r>
      <w:r>
        <w:rPr>
          <w:rFonts w:ascii="Times New Roman" w:cs="Times New Roman" w:eastAsia="Times New Roman" w:hAnsi="Times New Roman"/>
          <w:sz w:val="10"/>
          <w:szCs w:val="10"/>
          <w:color w:val="auto"/>
        </w:rPr>
        <w:t>” and the YA Note, as amended by the YA Note Amendment, the “</w:t>
      </w:r>
      <w:r>
        <w:rPr>
          <w:rFonts w:ascii="Times New Roman" w:cs="Times New Roman" w:eastAsia="Times New Roman" w:hAnsi="Times New Roman"/>
          <w:sz w:val="10"/>
          <w:szCs w:val="10"/>
          <w:b w:val="1"/>
          <w:bCs w:val="1"/>
          <w:i w:val="1"/>
          <w:iCs w:val="1"/>
          <w:color w:val="auto"/>
        </w:rPr>
        <w:t>Amended YA Note</w:t>
      </w:r>
      <w:r>
        <w:rPr>
          <w:rFonts w:ascii="Times New Roman" w:cs="Times New Roman" w:eastAsia="Times New Roman" w:hAnsi="Times New Roman"/>
          <w:sz w:val="10"/>
          <w:szCs w:val="10"/>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104"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Also in connection with the Second A&amp;R YA Agreement, on September 9, 2024, Rezolve issued the Additional YA Note to YA in the principal amount of $5,000,000 reflecting the first and second tranche of the prepaid advances. The Additional YA Note was issued at a 5% issue discount. Upon the funding of the third tranche of the prepaid advance, Rezolve will issue YA a promissory note in the principal amount of $ 2,500,000 with the same terms as the Additional YA Note. The Additional YA Note bears interest at an annual rate of 10% of the outstanding principal balance of the Note, which such rate will increase to 18% in the Event of Default (as defined in the Additional YA Note) and matures on September 11, 2025. If, at any time after September 9, 2024, and from time to time thereafter, a Trigger Event (as defined in the Additional YA Note) occurs, then Rezolve shall make monthly payments by the 7th trading day after the Trigger Date (as defined in the Additional YA Note) and continuing on the same day of each successive month. Each monthly payment shall be in an amount equal to the sum of (i) $1,875,000 of the principal amount outstanding in the aggregate among the Additional YA Note and any other notes outstanding (or the outstanding principal of the Note if less than such amount) (the “</w:t>
      </w:r>
      <w:r>
        <w:rPr>
          <w:rFonts w:ascii="Times New Roman" w:cs="Times New Roman" w:eastAsia="Times New Roman" w:hAnsi="Times New Roman"/>
          <w:sz w:val="10"/>
          <w:szCs w:val="10"/>
          <w:b w:val="1"/>
          <w:bCs w:val="1"/>
          <w:i w:val="1"/>
          <w:iCs w:val="1"/>
          <w:color w:val="auto"/>
        </w:rPr>
        <w:t>Triggered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Principal Amount</w:t>
      </w:r>
      <w:r>
        <w:rPr>
          <w:rFonts w:ascii="Times New Roman" w:cs="Times New Roman" w:eastAsia="Times New Roman" w:hAnsi="Times New Roman"/>
          <w:sz w:val="10"/>
          <w:szCs w:val="10"/>
          <w:color w:val="auto"/>
        </w:rPr>
        <w:t>”), plus (ii) 10% of the premium amount being paid in respect of such Triggered Principal Amount, plus (iii) accrued and unpaid interest under the Additional YA Note as of each payment date.</w:t>
      </w:r>
    </w:p>
    <w:p>
      <w:pPr>
        <w:spacing w:after="0" w:line="106"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Amended YA Note and Additional YA Note (together, the “</w:t>
      </w:r>
      <w:r>
        <w:rPr>
          <w:rFonts w:ascii="Times New Roman" w:cs="Times New Roman" w:eastAsia="Times New Roman" w:hAnsi="Times New Roman"/>
          <w:sz w:val="10"/>
          <w:szCs w:val="10"/>
          <w:b w:val="1"/>
          <w:bCs w:val="1"/>
          <w:i w:val="1"/>
          <w:iCs w:val="1"/>
          <w:color w:val="auto"/>
        </w:rPr>
        <w:t>YA Notes</w:t>
      </w:r>
      <w:r>
        <w:rPr>
          <w:rFonts w:ascii="Times New Roman" w:cs="Times New Roman" w:eastAsia="Times New Roman" w:hAnsi="Times New Roman"/>
          <w:sz w:val="10"/>
          <w:szCs w:val="10"/>
          <w:color w:val="auto"/>
        </w:rPr>
        <w:t>”) are convertible into Ordinary Shares. The noteholder may elect to convert all or part of the YA Notes into ordinary shares in Rezolve AI Limited at the “</w:t>
      </w:r>
      <w:r>
        <w:rPr>
          <w:rFonts w:ascii="Times New Roman" w:cs="Times New Roman" w:eastAsia="Times New Roman" w:hAnsi="Times New Roman"/>
          <w:sz w:val="10"/>
          <w:szCs w:val="10"/>
          <w:b w:val="1"/>
          <w:bCs w:val="1"/>
          <w:i w:val="1"/>
          <w:iCs w:val="1"/>
          <w:color w:val="auto"/>
        </w:rPr>
        <w:t>Conversion Price</w:t>
      </w:r>
      <w:r>
        <w:rPr>
          <w:rFonts w:ascii="Times New Roman" w:cs="Times New Roman" w:eastAsia="Times New Roman" w:hAnsi="Times New Roman"/>
          <w:sz w:val="10"/>
          <w:szCs w:val="10"/>
          <w:color w:val="auto"/>
        </w:rPr>
        <w:t>” (being the lower of (i) $10 per share (the “</w:t>
      </w:r>
      <w:r>
        <w:rPr>
          <w:rFonts w:ascii="Times New Roman" w:cs="Times New Roman" w:eastAsia="Times New Roman" w:hAnsi="Times New Roman"/>
          <w:sz w:val="10"/>
          <w:szCs w:val="10"/>
          <w:b w:val="1"/>
          <w:bCs w:val="1"/>
          <w:i w:val="1"/>
          <w:iCs w:val="1"/>
          <w:color w:val="auto"/>
        </w:rPr>
        <w:t>Fixed Price</w:t>
      </w:r>
      <w:r>
        <w:rPr>
          <w:rFonts w:ascii="Times New Roman" w:cs="Times New Roman" w:eastAsia="Times New Roman" w:hAnsi="Times New Roman"/>
          <w:sz w:val="10"/>
          <w:szCs w:val="10"/>
          <w:color w:val="auto"/>
        </w:rPr>
        <w:t>”) or (ii) 90% of the lowest daily VWAP during the ten (10) consecutive trading days immediately preceding the conversion date or other later date of determination (the “</w:t>
      </w:r>
      <w:r>
        <w:rPr>
          <w:rFonts w:ascii="Times New Roman" w:cs="Times New Roman" w:eastAsia="Times New Roman" w:hAnsi="Times New Roman"/>
          <w:sz w:val="10"/>
          <w:szCs w:val="10"/>
          <w:b w:val="1"/>
          <w:bCs w:val="1"/>
          <w:i w:val="1"/>
          <w:iCs w:val="1"/>
          <w:color w:val="auto"/>
        </w:rPr>
        <w:t>YA Variable Price</w:t>
      </w:r>
      <w:r>
        <w:rPr>
          <w:rFonts w:ascii="Times New Roman" w:cs="Times New Roman" w:eastAsia="Times New Roman" w:hAnsi="Times New Roman"/>
          <w:sz w:val="10"/>
          <w:szCs w:val="10"/>
          <w:color w:val="auto"/>
        </w:rPr>
        <w:t>”) but which YA Variable Price shall not be lower than the “</w:t>
      </w:r>
      <w:r>
        <w:rPr>
          <w:rFonts w:ascii="Times New Roman" w:cs="Times New Roman" w:eastAsia="Times New Roman" w:hAnsi="Times New Roman"/>
          <w:sz w:val="10"/>
          <w:szCs w:val="10"/>
          <w:b w:val="1"/>
          <w:bCs w:val="1"/>
          <w:i w:val="1"/>
          <w:iCs w:val="1"/>
          <w:color w:val="auto"/>
        </w:rPr>
        <w:t>YA Floor Price</w:t>
      </w:r>
      <w:r>
        <w:rPr>
          <w:rFonts w:ascii="Times New Roman" w:cs="Times New Roman" w:eastAsia="Times New Roman" w:hAnsi="Times New Roman"/>
          <w:sz w:val="10"/>
          <w:szCs w:val="10"/>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10"/>
          <w:szCs w:val="10"/>
          <w:b w:val="1"/>
          <w:bCs w:val="1"/>
          <w:i w:val="1"/>
          <w:iCs w:val="1"/>
          <w:color w:val="auto"/>
        </w:rPr>
        <w:t>YA Exchange Cap</w:t>
      </w:r>
      <w:r>
        <w:rPr>
          <w:rFonts w:ascii="Times New Roman" w:cs="Times New Roman" w:eastAsia="Times New Roman" w:hAnsi="Times New Roman"/>
          <w:sz w:val="10"/>
          <w:szCs w:val="10"/>
          <w:color w:val="auto"/>
        </w:rPr>
        <w:t>”) (unless Rezolve AI Limited shareholders have approved such issuances, or if Rezolve AI Limited is permitted to follow (and has elected to do so) its home country practices instead of the stockholder approval requirements of Nasdaq Rule 5635).</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If a “</w:t>
      </w:r>
      <w:r>
        <w:rPr>
          <w:rFonts w:ascii="Times New Roman" w:cs="Times New Roman" w:eastAsia="Times New Roman" w:hAnsi="Times New Roman"/>
          <w:sz w:val="10"/>
          <w:szCs w:val="10"/>
          <w:b w:val="1"/>
          <w:bCs w:val="1"/>
          <w:i w:val="1"/>
          <w:iCs w:val="1"/>
          <w:color w:val="auto"/>
        </w:rPr>
        <w:t>YA Trigger Event</w:t>
      </w:r>
      <w:r>
        <w:rPr>
          <w:rFonts w:ascii="Times New Roman" w:cs="Times New Roman" w:eastAsia="Times New Roman" w:hAnsi="Times New Roman"/>
          <w:sz w:val="10"/>
          <w:szCs w:val="10"/>
          <w:color w:val="auto"/>
        </w:rPr>
        <w:t>” occurs (being where (i) the daily VWAP is less than the YA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YA Floor Price Trigger</w:t>
      </w:r>
      <w:r>
        <w:rPr>
          <w:rFonts w:ascii="Times New Roman" w:cs="Times New Roman" w:eastAsia="Times New Roman" w:hAnsi="Times New Roman"/>
          <w:sz w:val="10"/>
          <w:szCs w:val="10"/>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YA Exchange Cap Trigger</w:t>
      </w:r>
      <w:r>
        <w:rPr>
          <w:rFonts w:ascii="Times New Roman" w:cs="Times New Roman" w:eastAsia="Times New Roman" w:hAnsi="Times New Roman"/>
          <w:sz w:val="10"/>
          <w:szCs w:val="10"/>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 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The YA Notes have certain rights and obligations under an Intercreditor Agreement entered into between Rezolve Limited, Rezolve AI Limited, YA, Apeiron Investment Group Ltd, and GLAS Trust Corporation Limited as security trustee for Apeiron</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83" w:name="page84"/>
    <w:bookmarkEnd w:id="83"/>
    <w:p>
      <w:pPr>
        <w:ind w:right="60"/>
        <w:spacing w:after="0" w:line="247" w:lineRule="auto"/>
        <w:rPr>
          <w:sz w:val="20"/>
          <w:szCs w:val="20"/>
          <w:color w:val="auto"/>
        </w:rPr>
      </w:pPr>
      <w:r>
        <w:rPr>
          <w:rFonts w:ascii="Times New Roman" w:cs="Times New Roman" w:eastAsia="Times New Roman" w:hAnsi="Times New Roman"/>
          <w:sz w:val="10"/>
          <w:szCs w:val="10"/>
          <w:color w:val="auto"/>
        </w:rPr>
        <w:t>Investment Group Ltd (“</w:t>
      </w:r>
      <w:r>
        <w:rPr>
          <w:rFonts w:ascii="Times New Roman" w:cs="Times New Roman" w:eastAsia="Times New Roman" w:hAnsi="Times New Roman"/>
          <w:sz w:val="10"/>
          <w:szCs w:val="10"/>
          <w:b w:val="1"/>
          <w:bCs w:val="1"/>
          <w:i w:val="1"/>
          <w:iCs w:val="1"/>
          <w:color w:val="auto"/>
        </w:rPr>
        <w:t>Intercreditor Agreement</w:t>
      </w:r>
      <w:r>
        <w:rPr>
          <w:rFonts w:ascii="Times New Roman" w:cs="Times New Roman" w:eastAsia="Times New Roman" w:hAnsi="Times New Roman"/>
          <w:sz w:val="10"/>
          <w:szCs w:val="10"/>
          <w:color w:val="auto"/>
        </w:rPr>
        <w: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13" w:lineRule="exact"/>
        <w:rPr>
          <w:sz w:val="20"/>
          <w:szCs w:val="20"/>
          <w:color w:val="auto"/>
        </w:rPr>
      </w:pPr>
    </w:p>
    <w:p>
      <w:pPr>
        <w:ind w:firstLine="480"/>
        <w:spacing w:after="0" w:line="231" w:lineRule="auto"/>
        <w:rPr>
          <w:sz w:val="20"/>
          <w:szCs w:val="20"/>
          <w:color w:val="auto"/>
        </w:rPr>
      </w:pPr>
      <w:r>
        <w:rPr>
          <w:rFonts w:ascii="Times New Roman" w:cs="Times New Roman" w:eastAsia="Times New Roman" w:hAnsi="Times New Roman"/>
          <w:sz w:val="10"/>
          <w:szCs w:val="10"/>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0"/>
          <w:szCs w:val="10"/>
          <w:b w:val="1"/>
          <w:bCs w:val="1"/>
          <w:i w:val="1"/>
          <w:iCs w:val="1"/>
          <w:color w:val="auto"/>
        </w:rPr>
        <w:t>Commitment Fee</w:t>
      </w:r>
      <w:r>
        <w:rPr>
          <w:rFonts w:ascii="Times New Roman" w:cs="Times New Roman" w:eastAsia="Times New Roman" w:hAnsi="Times New Roman"/>
          <w:sz w:val="10"/>
          <w:szCs w:val="10"/>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11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0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As of the date hereof, Rezolve is in respect of an aggregate amount of $49,892,080 Convertible Notes,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1805305" cy="5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3" w:right="620" w:bottom="1440" w:gutter="0" w:footer="0" w:header="0"/>
        </w:sectPr>
      </w:pPr>
    </w:p>
    <w:bookmarkStart w:id="84" w:name="page85"/>
    <w:bookmarkEnd w:id="84"/>
    <w:p>
      <w:pPr>
        <w:ind w:left="480"/>
        <w:spacing w:after="0"/>
        <w:rPr>
          <w:sz w:val="20"/>
          <w:szCs w:val="20"/>
          <w:color w:val="auto"/>
        </w:rPr>
      </w:pPr>
      <w:r>
        <w:rPr>
          <w:rFonts w:ascii="Times New Roman" w:cs="Times New Roman" w:eastAsia="Times New Roman" w:hAnsi="Times New Roman"/>
          <w:sz w:val="10"/>
          <w:szCs w:val="10"/>
          <w:color w:val="auto"/>
        </w:rPr>
        <w:t>The Convertible Notes are redeemable by the noteholders in certain events, including, without limitation, the failure of Rezolve to pay any amount due thereunder when due.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Rezolve has agreed that, within forty five (45) days from the date of listing on Nasdaq (the “</w:t>
      </w:r>
      <w:r>
        <w:rPr>
          <w:rFonts w:ascii="Times New Roman" w:cs="Times New Roman" w:eastAsia="Times New Roman" w:hAnsi="Times New Roman"/>
          <w:sz w:val="10"/>
          <w:szCs w:val="10"/>
          <w:b w:val="1"/>
          <w:bCs w:val="1"/>
          <w:i w:val="1"/>
          <w:iCs w:val="1"/>
          <w:color w:val="auto"/>
        </w:rPr>
        <w:t>Registration Deadline</w:t>
      </w:r>
      <w:r>
        <w:rPr>
          <w:rFonts w:ascii="Times New Roman" w:cs="Times New Roman" w:eastAsia="Times New Roman" w:hAnsi="Times New Roman"/>
          <w:sz w:val="10"/>
          <w:szCs w:val="10"/>
          <w:color w:val="auto"/>
        </w:rPr>
        <w:t>”), it will file with the SEC a registration statement (the “</w:t>
      </w:r>
      <w:r>
        <w:rPr>
          <w:rFonts w:ascii="Times New Roman" w:cs="Times New Roman" w:eastAsia="Times New Roman" w:hAnsi="Times New Roman"/>
          <w:sz w:val="10"/>
          <w:szCs w:val="10"/>
          <w:b w:val="1"/>
          <w:bCs w:val="1"/>
          <w:i w:val="1"/>
          <w:iCs w:val="1"/>
          <w:color w:val="auto"/>
        </w:rPr>
        <w:t>Registration Statement</w:t>
      </w:r>
      <w:r>
        <w:rPr>
          <w:rFonts w:ascii="Times New Roman" w:cs="Times New Roman" w:eastAsia="Times New Roman" w:hAnsi="Times New Roman"/>
          <w:sz w:val="10"/>
          <w:szCs w:val="10"/>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04"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0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If the SEC prevents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9"/>
          <w:szCs w:val="9"/>
          <w:b w:val="1"/>
          <w:bCs w:val="1"/>
          <w:i w:val="1"/>
          <w:iCs w:val="1"/>
          <w:color w:val="auto"/>
        </w:rPr>
        <w:t>Major Investor</w:t>
      </w:r>
      <w:r>
        <w:rPr>
          <w:rFonts w:ascii="Times New Roman" w:cs="Times New Roman" w:eastAsia="Times New Roman" w:hAnsi="Times New Roman"/>
          <w:sz w:val="9"/>
          <w:szCs w:val="9"/>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0"/>
          <w:szCs w:val="10"/>
          <w:color w:val="auto"/>
        </w:rPr>
        <w:t>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61" w:lineRule="exact"/>
        <w:rPr>
          <w:sz w:val="20"/>
          <w:szCs w:val="20"/>
          <w:color w:val="auto"/>
        </w:rPr>
      </w:pPr>
    </w:p>
    <w:tbl>
      <w:tblPr>
        <w:tblLayout w:type="fixed"/>
        <w:tblInd w:w="1060" w:type="dxa"/>
        <w:tblCellMar>
          <w:top w:w="0" w:type="dxa"/>
          <w:left w:w="0" w:type="dxa"/>
          <w:bottom w:w="0" w:type="dxa"/>
          <w:right w:w="0" w:type="dxa"/>
        </w:tblCellMar>
      </w:tblPr>
      <w:tr>
        <w:trPr>
          <w:trHeight w:val="111"/>
        </w:trPr>
        <w:tc>
          <w:tcPr>
            <w:tcW w:w="33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60" w:type="dxa"/>
            <w:vAlign w:val="bottom"/>
          </w:tcPr>
          <w:p>
            <w:pPr>
              <w:ind w:left="202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020" w:type="dxa"/>
            <w:vAlign w:val="bottom"/>
          </w:tcPr>
          <w:p>
            <w:pPr>
              <w:ind w:left="2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31"/>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June 30, 2024</w:t>
            </w:r>
          </w:p>
        </w:tc>
        <w:tc>
          <w:tcPr>
            <w:tcW w:w="29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r>
      <w:tr>
        <w:trPr>
          <w:trHeight w:val="127"/>
        </w:trPr>
        <w:tc>
          <w:tcPr>
            <w:tcW w:w="334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8"/>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shd w:val="clear" w:color="auto" w:fill="CFF0FC"/>
          </w:tcPr>
          <w:p>
            <w:pPr>
              <w:ind w:left="25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0"/>
                <w:szCs w:val="10"/>
                <w:color w:val="auto"/>
              </w:rPr>
              <w:t>1,383,298</w:t>
            </w:r>
          </w:p>
        </w:tc>
      </w:tr>
      <w:tr>
        <w:trPr>
          <w:trHeight w:val="127"/>
        </w:trPr>
        <w:tc>
          <w:tcPr>
            <w:tcW w:w="3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8"/>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r>
      <w:tr>
        <w:trPr>
          <w:trHeight w:val="126"/>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tcPr>
          <w:p>
            <w:pPr>
              <w:ind w:left="25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6" w:name="page87"/>
    <w:bookmarkEnd w:id="86"/>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7" w:name="page88"/>
    <w:bookmarkEnd w:id="87"/>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BUSINESS OF REZOLVE</w:t>
      </w:r>
    </w:p>
    <w:p>
      <w:pPr>
        <w:spacing w:after="0" w:line="95" w:lineRule="exact"/>
        <w:rPr>
          <w:sz w:val="20"/>
          <w:szCs w:val="20"/>
          <w:color w:val="auto"/>
        </w:rPr>
      </w:pPr>
    </w:p>
    <w:p>
      <w:pPr>
        <w:ind w:left="1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Limited and its subsidiaries following the Pre-Closing Demerger, unless the context clearly indicates otherwise.</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20" w:firstLine="480"/>
        <w:spacing w:after="0" w:line="241" w:lineRule="auto"/>
        <w:rPr>
          <w:sz w:val="20"/>
          <w:szCs w:val="20"/>
          <w:color w:val="auto"/>
        </w:rPr>
      </w:pPr>
      <w:r>
        <w:rPr>
          <w:rFonts w:ascii="Times New Roman" w:cs="Times New Roman" w:eastAsia="Times New Roman" w:hAnsi="Times New Roman"/>
          <w:sz w:val="10"/>
          <w:szCs w:val="10"/>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08"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105" w:lineRule="exact"/>
        <w:rPr>
          <w:sz w:val="20"/>
          <w:szCs w:val="20"/>
          <w:color w:val="auto"/>
        </w:rPr>
      </w:pPr>
    </w:p>
    <w:p>
      <w:pPr>
        <w:ind w:left="1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1352550" cy="5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52550" cy="5080"/>
                    </a:xfrm>
                    <a:prstGeom prst="rect">
                      <a:avLst/>
                    </a:prstGeom>
                    <a:noFill/>
                  </pic:spPr>
                </pic:pic>
              </a:graphicData>
            </a:graphic>
          </wp:anchor>
        </w:drawing>
      </w:r>
    </w:p>
    <w:p>
      <w:pPr>
        <w:spacing w:after="0" w:line="148" w:lineRule="exact"/>
        <w:rPr>
          <w:sz w:val="20"/>
          <w:szCs w:val="20"/>
          <w:color w:val="auto"/>
        </w:rPr>
      </w:pPr>
    </w:p>
    <w:p>
      <w:pPr>
        <w:ind w:left="5270" w:right="4420" w:hanging="5270"/>
        <w:spacing w:after="0" w:line="644" w:lineRule="auto"/>
        <w:tabs>
          <w:tab w:leader="none" w:pos="63"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Please see Rezolve Press Release dated July 25, 2023, available at </w:t>
      </w:r>
      <w:r>
        <w:rPr>
          <w:rFonts w:ascii="Times New Roman" w:cs="Times New Roman" w:eastAsia="Times New Roman" w:hAnsi="Times New Roman"/>
          <w:sz w:val="10"/>
          <w:szCs w:val="10"/>
          <w:u w:val="single" w:color="auto"/>
          <w:color w:val="auto"/>
        </w:rPr>
        <w:t>https://www.rezolve.com/investors/britainsbrain-heralds-new-era-of-commerce-enabled-ai/</w:t>
      </w:r>
      <w:r>
        <w:rPr>
          <w:rFonts w:ascii="Times New Roman" w:cs="Times New Roman" w:eastAsia="Times New Roman" w:hAnsi="Times New Roman"/>
          <w:sz w:val="10"/>
          <w:szCs w:val="10"/>
          <w:color w:val="auto"/>
        </w:rPr>
        <w:t xml:space="preserv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677862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88" w:name="page89"/>
    <w:bookmarkEnd w:id="88"/>
    <w:p>
      <w:pPr>
        <w:ind w:left="1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338"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Our total revenues were $0.1 million and $0.1 million, for the years ended December 31, 2022 and 2023, respectively. We had net losses of $110.7 million and $31.7 million inclusive of non-cash items representing $10.2m and $28.6m, respectively for the years ended December 31, 2022 and 2023, respectively. We currently generate our revenue from Transaction fees based on sales of ticketing for La Liga football events in Spain.</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Recent Developments</w:t>
      </w:r>
    </w:p>
    <w:p>
      <w:pPr>
        <w:spacing w:after="0" w:line="60"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25, 2023, Rezolve announced the introduction of two new offerings: (1) myBrain, Rezolve’s offering to individual users; and (2) Brain, Rezolve’s offering to businesses using AI and GPT technologies, with Brain offered in the following geographies:</w:t>
      </w:r>
    </w:p>
    <w:p>
      <w:pPr>
        <w:spacing w:after="0" w:line="19" w:lineRule="exact"/>
        <w:rPr>
          <w:sz w:val="20"/>
          <w:szCs w:val="20"/>
          <w:color w:val="auto"/>
        </w:rPr>
      </w:pPr>
    </w:p>
    <w:p>
      <w:pPr>
        <w:jc w:val="both"/>
        <w:ind w:left="10" w:right="200" w:hanging="10"/>
        <w:spacing w:after="0" w:line="236" w:lineRule="auto"/>
        <w:tabs>
          <w:tab w:leader="none" w:pos="143"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w:t>
      </w:r>
      <w:r>
        <w:rPr>
          <w:rFonts w:ascii="Times New Roman" w:cs="Times New Roman" w:eastAsia="Times New Roman" w:hAnsi="Times New Roman"/>
          <w:sz w:val="10"/>
          <w:szCs w:val="10"/>
          <w:i w:val="1"/>
          <w:iCs w:val="1"/>
          <w:color w:val="auto"/>
        </w:rPr>
        <w:t>Business of Rezolve Limited</w:t>
      </w: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87630</wp:posOffset>
            </wp:positionV>
            <wp:extent cx="2872105" cy="14763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72105" cy="147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Industry Overview and Trends</w:t>
      </w:r>
    </w:p>
    <w:p>
      <w:pPr>
        <w:spacing w:after="0" w:line="60"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05" w:lineRule="exact"/>
        <w:rPr>
          <w:sz w:val="20"/>
          <w:szCs w:val="20"/>
          <w:color w:val="auto"/>
        </w:rPr>
      </w:pPr>
    </w:p>
    <w:p>
      <w:pPr>
        <w:jc w:val="both"/>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w:t>
      </w:r>
    </w:p>
    <w:p>
      <w:pPr>
        <w:spacing w:after="0" w:line="78"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70"/>
          </w:cols>
          <w:pgMar w:left="630" w:top="1155" w:right="70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0"/>
          <w:szCs w:val="10"/>
          <w:color w:val="auto"/>
        </w:rPr>
        <w:t>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Are Increasingly Engaging Through Digital Channels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05"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While the growth in digital consumption has increasingly become mainstream for shopping, it has not completely replaced traditional offline purchasing. Consumers have adopted an “Online to Offline,” or O2O model which lends itself to mobile applications.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38% of U.S shoppers start their journey on a smartphone and finish their purchase offline, according to an April 2019 report by RetailMeNot.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have Lost Connectivity to the End Consumer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0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Expect a Seamless Interaction Between Offline and Online Channels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Are Struggling to Differentiate</w:t>
      </w:r>
    </w:p>
    <w:p>
      <w:pPr>
        <w:spacing w:after="0" w:line="60" w:lineRule="exact"/>
        <w:rPr>
          <w:sz w:val="20"/>
          <w:szCs w:val="20"/>
          <w:color w:val="auto"/>
        </w:rPr>
      </w:pPr>
    </w:p>
    <w:p>
      <w:pPr>
        <w:ind w:right="220" w:firstLine="480"/>
        <w:spacing w:after="0" w:line="310" w:lineRule="auto"/>
        <w:rPr>
          <w:sz w:val="20"/>
          <w:szCs w:val="20"/>
          <w:color w:val="auto"/>
        </w:rPr>
      </w:pPr>
      <w:r>
        <w:rPr>
          <w:rFonts w:ascii="Times New Roman" w:cs="Times New Roman" w:eastAsia="Times New Roman" w:hAnsi="Times New Roman"/>
          <w:sz w:val="9"/>
          <w:szCs w:val="9"/>
          <w:color w:val="auto"/>
        </w:rPr>
        <w:t>In a world where consumers have more choices than ever, differentiating a merchant’s brand takes on increased importance. A merchant needs to stand out from the crowd. If a consumer searches a third-party marketplace or e- 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0" w:name="page91"/>
    <w:bookmarkEnd w:id="90"/>
    <w:p>
      <w:pPr>
        <w:ind w:right="160"/>
        <w:spacing w:after="0" w:line="255" w:lineRule="auto"/>
        <w:rPr>
          <w:sz w:val="20"/>
          <w:szCs w:val="20"/>
          <w:color w:val="auto"/>
        </w:rPr>
      </w:pPr>
      <w:r>
        <w:rPr>
          <w:rFonts w:ascii="Times New Roman" w:cs="Times New Roman" w:eastAsia="Times New Roman" w:hAnsi="Times New Roman"/>
          <w:sz w:val="10"/>
          <w:szCs w:val="10"/>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Complicated Experiences Result in Lost Opportunities with Consumers</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Solution</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provide a AI- and cloud -based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merchants:</w:t>
      </w:r>
    </w:p>
    <w:p>
      <w:pPr>
        <w:spacing w:after="0" w:line="56"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eCommerce-Specific AI Platform and Suite—Brain.</w:t>
      </w:r>
      <w:r>
        <w:rPr>
          <w:rFonts w:ascii="Times New Roman" w:cs="Times New Roman" w:eastAsia="Times New Roman" w:hAnsi="Times New Roman"/>
          <w:sz w:val="10"/>
          <w:szCs w:val="10"/>
          <w:color w:val="auto"/>
        </w:rPr>
        <w:t xml:space="preserve"> Rezolve’s Brain allows customers, either online or instore, to ask, via voice or text and 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37" w:lineRule="exact"/>
        <w:rPr>
          <w:sz w:val="20"/>
          <w:szCs w:val="20"/>
          <w:color w:val="auto"/>
        </w:rPr>
      </w:pPr>
    </w:p>
    <w:p>
      <w:pPr>
        <w:ind w:left="480" w:right="12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Rezolve’s Instant Checkout allows websites to convert passive browsers into actors or buyers with one click directly 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45" w:lineRule="exact"/>
        <w:rPr>
          <w:sz w:val="20"/>
          <w:szCs w:val="20"/>
          <w:color w:val="auto"/>
        </w:rPr>
      </w:pPr>
    </w:p>
    <w:p>
      <w:pPr>
        <w:jc w:val="both"/>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Our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42"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Omnichannel Interactions.</w:t>
      </w:r>
      <w:r>
        <w:rPr>
          <w:rFonts w:ascii="Times New Roman" w:cs="Times New Roman" w:eastAsia="Times New Roman" w:hAnsi="Times New Roman"/>
          <w:sz w:val="10"/>
          <w:szCs w:val="10"/>
          <w:color w:val="auto"/>
        </w:rPr>
        <w:t xml:space="preserve"> 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91" w:name="page92"/>
    <w:bookmarkEnd w:id="91"/>
    <w:p>
      <w:pPr>
        <w:ind w:right="2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Brand Engagement</w:t>
      </w:r>
      <w:r>
        <w:rPr>
          <w:rFonts w:ascii="Times New Roman" w:cs="Times New Roman" w:eastAsia="Times New Roman" w:hAnsi="Times New Roman"/>
          <w:sz w:val="10"/>
          <w:szCs w:val="10"/>
          <w:color w:val="auto"/>
        </w:rPr>
        <w:t>.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3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Seamless Integration with Existing Applications.</w:t>
      </w:r>
      <w:r>
        <w:rPr>
          <w:rFonts w:ascii="Times New Roman" w:cs="Times New Roman" w:eastAsia="Times New Roman" w:hAnsi="Times New Roman"/>
          <w:sz w:val="10"/>
          <w:szCs w:val="10"/>
          <w:color w:val="auto"/>
        </w:rPr>
        <w:t xml:space="preserve"> 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0"/>
          <w:szCs w:val="10"/>
          <w:i w:val="1"/>
          <w:iCs w:val="1"/>
          <w:color w:val="auto"/>
        </w:rPr>
        <w:t>Shop Beautiful</w:t>
      </w:r>
      <w:r>
        <w:rPr>
          <w:rFonts w:ascii="Times New Roman" w:cs="Times New Roman" w:eastAsia="Times New Roman" w:hAnsi="Times New Roman"/>
          <w:sz w:val="10"/>
          <w:szCs w:val="10"/>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4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Actionable Analytics and Insights</w:t>
      </w:r>
      <w:r>
        <w:rPr>
          <w:rFonts w:ascii="Times New Roman" w:cs="Times New Roman" w:eastAsia="Times New Roman" w:hAnsi="Times New Roman"/>
          <w:sz w:val="10"/>
          <w:szCs w:val="10"/>
          <w:color w:val="auto"/>
        </w:rPr>
        <w:t>. With our platform, we expect merchants will be able to receive direct insights into consumer behavior that are often not shared by third-party intermediaries. For example, when consumers use a third-party service for food delivery, the third- 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 Frictionless Consumer Experience</w:t>
      </w:r>
      <w:r>
        <w:rPr>
          <w:rFonts w:ascii="Times New Roman" w:cs="Times New Roman" w:eastAsia="Times New Roman" w:hAnsi="Times New Roman"/>
          <w:sz w:val="10"/>
          <w:szCs w:val="10"/>
          <w:color w:val="auto"/>
        </w:rPr>
        <w:t>. 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85090</wp:posOffset>
            </wp:positionV>
            <wp:extent cx="2609850" cy="151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09850" cy="151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9"/>
          <w:szCs w:val="9"/>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1120" w:top="1093" w:right="680" w:bottom="1440" w:gutter="0" w:footer="0" w:header="0"/>
        </w:sectPr>
      </w:pPr>
    </w:p>
    <w:bookmarkStart w:id="92" w:name="page93"/>
    <w:bookmarkEnd w:id="92"/>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these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93345</wp:posOffset>
            </wp:positionV>
            <wp:extent cx="2881630" cy="17291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8163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Opportunity</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16"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We initially entered the Chinese market in 2016 in order to trial the Rezolve platform on a large scale. This was done with support from China Union Pay (“</w:t>
      </w:r>
      <w:r>
        <w:rPr>
          <w:rFonts w:ascii="Times New Roman" w:cs="Times New Roman" w:eastAsia="Times New Roman" w:hAnsi="Times New Roman"/>
          <w:sz w:val="10"/>
          <w:szCs w:val="10"/>
          <w:b w:val="1"/>
          <w:bCs w:val="1"/>
          <w:i w:val="1"/>
          <w:iCs w:val="1"/>
          <w:color w:val="auto"/>
        </w:rPr>
        <w:t>CUP</w:t>
      </w:r>
      <w:r>
        <w:rPr>
          <w:rFonts w:ascii="Times New Roman" w:cs="Times New Roman" w:eastAsia="Times New Roman" w:hAnsi="Times New Roman"/>
          <w:sz w:val="10"/>
          <w:szCs w:val="10"/>
          <w:color w:val="auto"/>
        </w:rPr>
        <w:t>”) and Allinpay (“</w:t>
      </w:r>
      <w:r>
        <w:rPr>
          <w:rFonts w:ascii="Times New Roman" w:cs="Times New Roman" w:eastAsia="Times New Roman" w:hAnsi="Times New Roman"/>
          <w:sz w:val="10"/>
          <w:szCs w:val="10"/>
          <w:b w:val="1"/>
          <w:bCs w:val="1"/>
          <w:i w:val="1"/>
          <w:iCs w:val="1"/>
          <w:color w:val="auto"/>
        </w:rPr>
        <w:t>AP</w:t>
      </w:r>
      <w:r>
        <w:rPr>
          <w:rFonts w:ascii="Times New Roman" w:cs="Times New Roman" w:eastAsia="Times New Roman" w:hAnsi="Times New Roman"/>
          <w:sz w:val="10"/>
          <w:szCs w:val="10"/>
          <w:color w:val="auto"/>
        </w:rPr>
        <w:t>”) . Rezolve’s former subsidiary, Rezolve Information Technology (Shanghai) Limited (“</w:t>
      </w:r>
      <w:r>
        <w:rPr>
          <w:rFonts w:ascii="Times New Roman" w:cs="Times New Roman" w:eastAsia="Times New Roman" w:hAnsi="Times New Roman"/>
          <w:sz w:val="10"/>
          <w:szCs w:val="10"/>
          <w:b w:val="1"/>
          <w:bCs w:val="1"/>
          <w:i w:val="1"/>
          <w:iCs w:val="1"/>
          <w:color w:val="auto"/>
        </w:rPr>
        <w:t>Rezolve Shanghai</w:t>
      </w:r>
      <w:r>
        <w:rPr>
          <w:rFonts w:ascii="Times New Roman" w:cs="Times New Roman" w:eastAsia="Times New Roman" w:hAnsi="Times New Roman"/>
          <w:sz w:val="10"/>
          <w:szCs w:val="10"/>
          <w:color w:val="auto"/>
        </w:rPr>
        <w:t>”) is a Wholly owned Foreign Entity (“</w:t>
      </w:r>
      <w:r>
        <w:rPr>
          <w:rFonts w:ascii="Times New Roman" w:cs="Times New Roman" w:eastAsia="Times New Roman" w:hAnsi="Times New Roman"/>
          <w:sz w:val="10"/>
          <w:szCs w:val="10"/>
          <w:b w:val="1"/>
          <w:bCs w:val="1"/>
          <w:i w:val="1"/>
          <w:iCs w:val="1"/>
          <w:color w:val="auto"/>
        </w:rPr>
        <w:t>WoFE</w:t>
      </w:r>
      <w:r>
        <w:rPr>
          <w:rFonts w:ascii="Times New Roman" w:cs="Times New Roman" w:eastAsia="Times New Roman" w:hAnsi="Times New Roman"/>
          <w:sz w:val="10"/>
          <w:szCs w:val="10"/>
          <w:color w:val="auto"/>
        </w:rPr>
        <w:t>”), which limits its influence locally in China. A WoFE in China must generally contract with a local third-party company if it wants to do business with a state-owned enterprise (“</w:t>
      </w:r>
      <w:r>
        <w:rPr>
          <w:rFonts w:ascii="Times New Roman" w:cs="Times New Roman" w:eastAsia="Times New Roman" w:hAnsi="Times New Roman"/>
          <w:sz w:val="10"/>
          <w:szCs w:val="10"/>
          <w:b w:val="1"/>
          <w:bCs w:val="1"/>
          <w:i w:val="1"/>
          <w:iCs w:val="1"/>
          <w:color w:val="auto"/>
        </w:rPr>
        <w:t>SOE</w:t>
      </w:r>
      <w:r>
        <w:rPr>
          <w:rFonts w:ascii="Times New Roman" w:cs="Times New Roman" w:eastAsia="Times New Roman" w:hAnsi="Times New Roman"/>
          <w:sz w:val="10"/>
          <w:szCs w:val="10"/>
          <w:color w:val="auto"/>
        </w:rPr>
        <w:t>”),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9"/>
          <w:szCs w:val="9"/>
          <w:color w:val="auto"/>
        </w:rPr>
        <w:t>If in the future, a new Rezolve entity can be accredited to operate directly with CUP and AP, the board will consider re-entering the China market. However, the current focus is on rolling out our technologies with partners in other markets around the world.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3" w:name="page94"/>
    <w:bookmarkEnd w:id="93"/>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01" w:lineRule="exact"/>
        <w:rPr>
          <w:sz w:val="20"/>
          <w:szCs w:val="20"/>
          <w:color w:val="auto"/>
        </w:rPr>
      </w:pPr>
    </w:p>
    <w:p>
      <w:pPr>
        <w:ind w:right="340" w:firstLine="480"/>
        <w:spacing w:after="0" w:line="310" w:lineRule="auto"/>
        <w:rPr>
          <w:sz w:val="20"/>
          <w:szCs w:val="20"/>
          <w:color w:val="auto"/>
        </w:rPr>
      </w:pPr>
      <w:r>
        <w:rPr>
          <w:rFonts w:ascii="Times New Roman" w:cs="Times New Roman" w:eastAsia="Times New Roman" w:hAnsi="Times New Roman"/>
          <w:sz w:val="9"/>
          <w:szCs w:val="9"/>
          <w:color w:val="auto"/>
        </w:rPr>
        <w:t>Location-based advertising allows organizations to target consumers at a granular, consumer level with online or offline messaging based on their physical location. Location -based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7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01" w:lineRule="exact"/>
        <w:rPr>
          <w:sz w:val="20"/>
          <w:szCs w:val="20"/>
          <w:color w:val="auto"/>
        </w:rPr>
      </w:pPr>
    </w:p>
    <w:p>
      <w:pPr>
        <w:jc w:val="both"/>
        <w:ind w:right="280" w:firstLine="480"/>
        <w:spacing w:after="0" w:line="310" w:lineRule="auto"/>
        <w:rPr>
          <w:sz w:val="20"/>
          <w:szCs w:val="20"/>
          <w:color w:val="auto"/>
        </w:rPr>
      </w:pPr>
      <w:r>
        <w:rPr>
          <w:rFonts w:ascii="Times New Roman" w:cs="Times New Roman" w:eastAsia="Times New Roman" w:hAnsi="Times New Roman"/>
          <w:sz w:val="9"/>
          <w:szCs w:val="9"/>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web search statistics: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•98% of consumers use the Internet to find a local business in 2022.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•76% of consumers “always” or “regularly” read online reviews for local businesses.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•29% of consumers search for local businesses at least every week. (BrightLocal survey)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Growth Strategy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elements of our strategy include:</w:t>
      </w:r>
    </w:p>
    <w:p>
      <w:pPr>
        <w:spacing w:after="0" w:line="56"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Scaling Existing Channels.</w:t>
      </w:r>
      <w:r>
        <w:rPr>
          <w:rFonts w:ascii="Times New Roman" w:cs="Times New Roman" w:eastAsia="Times New Roman" w:hAnsi="Times New Roman"/>
          <w:sz w:val="10"/>
          <w:szCs w:val="10"/>
          <w:color w:val="auto"/>
        </w:rPr>
        <w:t xml:space="preserve"> 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w:t>
      </w:r>
    </w:p>
    <w:p>
      <w:pPr>
        <w:spacing w:after="0" w:line="37"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Win New Channels</w:t>
      </w:r>
      <w:r>
        <w:rPr>
          <w:rFonts w:ascii="Times New Roman" w:cs="Times New Roman" w:eastAsia="Times New Roman" w:hAnsi="Times New Roman"/>
          <w:sz w:val="10"/>
          <w:szCs w:val="10"/>
          <w:color w:val="auto"/>
        </w:rPr>
        <w:t>.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New Offering Features</w:t>
      </w:r>
      <w:r>
        <w:rPr>
          <w:rFonts w:ascii="Times New Roman" w:cs="Times New Roman" w:eastAsia="Times New Roman" w:hAnsi="Times New Roman"/>
          <w:sz w:val="10"/>
          <w:szCs w:val="10"/>
          <w:color w:val="auto"/>
        </w:rPr>
        <w:t>. We plan to add to and expand our platform with further functionality including live event notifications, dynamic coupons, more personalization and personal experiences as well as provided artificial intelligence layers to enable more convenient and segmented merchandizing.</w:t>
      </w:r>
    </w:p>
    <w:p>
      <w:pPr>
        <w:spacing w:after="0" w:line="37"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Upsell/Cross Sell</w:t>
      </w:r>
      <w:r>
        <w:rPr>
          <w:rFonts w:ascii="Times New Roman" w:cs="Times New Roman" w:eastAsia="Times New Roman" w:hAnsi="Times New Roman"/>
          <w:sz w:val="10"/>
          <w:szCs w:val="10"/>
          <w:color w:val="auto"/>
        </w:rPr>
        <w:t>. We expect to further penetrate our customer base. We intend to expand direct and indirect sales capabilities, drive 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Enter New Geographies</w:t>
      </w:r>
      <w:r>
        <w:rPr>
          <w:rFonts w:ascii="Times New Roman" w:cs="Times New Roman" w:eastAsia="Times New Roman" w:hAnsi="Times New Roman"/>
          <w:sz w:val="10"/>
          <w:szCs w:val="10"/>
          <w:color w:val="auto"/>
        </w:rPr>
        <w:t>. We intend to capitalize on our global growth momentum in India, the U.S., Latin America, East Asia, broader Europe, Australia, Canada and Brazil.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4" w:name="page95"/>
    <w:bookmarkEnd w:id="94"/>
    <w:p>
      <w:pPr>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Strategic Acquisitions</w:t>
      </w:r>
      <w:r>
        <w:rPr>
          <w:rFonts w:ascii="Times New Roman" w:cs="Times New Roman" w:eastAsia="Times New Roman" w:hAnsi="Times New Roman"/>
          <w:sz w:val="10"/>
          <w:szCs w:val="10"/>
          <w:color w:val="auto"/>
        </w:rPr>
        <w:t>.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Rezolve Platform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cloud-based Rezolve AI platform integrates the features and functionalities that merchants need to seamlessly transact across different Channels. Capabilities include:</w:t>
      </w:r>
    </w:p>
    <w:p>
      <w:pPr>
        <w:spacing w:after="0" w:line="58" w:lineRule="exact"/>
        <w:rPr>
          <w:sz w:val="20"/>
          <w:szCs w:val="20"/>
          <w:color w:val="auto"/>
        </w:rPr>
      </w:pPr>
    </w:p>
    <w:p>
      <w:pPr>
        <w:ind w:left="480" w:right="20"/>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9"/>
          <w:szCs w:val="9"/>
          <w:i w:val="1"/>
          <w:iCs w:val="1"/>
          <w:color w:val="auto"/>
        </w:rPr>
        <w:t>Ecommerce Chat and Search.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Rezolve’s Brain allows customers, either online or instore, to ask, via voice or text and in any language, any question of a merchant’s product catalogue and customer support knowledge base using conversational prompts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immediately be recommended the most appropriate products and answers. They will also be able to see product comparisons, reviews, and pricing information all in one place. Our UI and frontend is fully responsive with a multi -tenant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78105</wp:posOffset>
            </wp:positionV>
            <wp:extent cx="2776855" cy="10052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76855" cy="100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Customer Loyalty Programs.</w:t>
      </w:r>
      <w:r>
        <w:rPr>
          <w:rFonts w:ascii="Times New Roman" w:cs="Times New Roman" w:eastAsia="Times New Roman" w:hAnsi="Times New Roman"/>
          <w:sz w:val="10"/>
          <w:szCs w:val="10"/>
          <w:color w:val="auto"/>
        </w:rPr>
        <w:t xml:space="preserve"> 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Customer Insights</w:t>
      </w:r>
      <w:r>
        <w:rPr>
          <w:rFonts w:ascii="Times New Roman" w:cs="Times New Roman" w:eastAsia="Times New Roman" w:hAnsi="Times New Roman"/>
          <w:sz w:val="10"/>
          <w:szCs w:val="10"/>
          <w:color w:val="auto"/>
        </w:rPr>
        <w:t>. We expect our platform to provide merchants with direct access to their customers and their key information about shopping preferences, which they can use to drive further consumer engagement. For brands that typically sell their products through third-party intermediaries, these insights are useful for building brand affinity and loyalty.</w:t>
      </w:r>
    </w:p>
    <w:p>
      <w:pPr>
        <w:spacing w:after="0" w:line="37"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Vouchering</w:t>
      </w:r>
      <w:r>
        <w:rPr>
          <w:rFonts w:ascii="Times New Roman" w:cs="Times New Roman" w:eastAsia="Times New Roman" w:hAnsi="Times New Roman"/>
          <w:sz w:val="10"/>
          <w:szCs w:val="10"/>
          <w:color w:val="auto"/>
        </w:rPr>
        <w:t>. We expect to enable merchants to be more flexible in their offerings to consumers. With the Rezolve platform integrated into merchants’ apps, consumers are able to scan products and buy them through the app, eliminating the need to wait online in retail stores.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Retailer Point-of-Sale / Back office.</w:t>
      </w:r>
      <w:r>
        <w:rPr>
          <w:rFonts w:ascii="Times New Roman" w:cs="Times New Roman" w:eastAsia="Times New Roman" w:hAnsi="Times New Roman"/>
          <w:sz w:val="10"/>
          <w:szCs w:val="10"/>
          <w:color w:val="auto"/>
        </w:rPr>
        <w:t xml:space="preserve"> We expect to provide merchants with a self-service portal, featuring an accessible dashboard to manage shoppable campaigns and to track consumers’ shopping trends.</w:t>
      </w:r>
    </w:p>
    <w:p>
      <w:pPr>
        <w:spacing w:after="0" w:line="58" w:lineRule="exact"/>
        <w:rPr>
          <w:sz w:val="20"/>
          <w:szCs w:val="20"/>
          <w:color w:val="auto"/>
        </w:rPr>
      </w:pPr>
    </w:p>
    <w:p>
      <w:pPr>
        <w:ind w:left="480" w:right="3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Payments.</w:t>
      </w:r>
      <w:r>
        <w:rPr>
          <w:rFonts w:ascii="Times New Roman" w:cs="Times New Roman" w:eastAsia="Times New Roman" w:hAnsi="Times New Roman"/>
          <w:sz w:val="10"/>
          <w:szCs w:val="10"/>
          <w:color w:val="auto"/>
        </w:rPr>
        <w:t xml:space="preserve"> We expect to enhance merchants’ platforms by making the checkout process frictionless. Consumers only need a mobile device to use the Rezolve platform to instantly buy products that are featured in advertisements or scan and buy products in retail stores.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Ability to Pay Online or Offline.</w:t>
      </w:r>
      <w:r>
        <w:rPr>
          <w:rFonts w:ascii="Times New Roman" w:cs="Times New Roman" w:eastAsia="Times New Roman" w:hAnsi="Times New Roman"/>
          <w:sz w:val="10"/>
          <w:szCs w:val="10"/>
          <w:color w:val="auto"/>
        </w:rPr>
        <w:t xml:space="preserve"> 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3" w:right="62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0"/>
          <w:szCs w:val="10"/>
          <w:b w:val="1"/>
          <w:bCs w:val="1"/>
          <w:i w:val="1"/>
          <w:iCs w:val="1"/>
          <w:color w:val="auto"/>
        </w:rPr>
        <w:t>Engagement Opportunities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expect our platform to integrate with and address the following engagement opportunities: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Chat and Search</w:t>
      </w:r>
      <w:r>
        <w:rPr>
          <w:rFonts w:ascii="Times New Roman" w:cs="Times New Roman" w:eastAsia="Times New Roman" w:hAnsi="Times New Roman"/>
          <w:sz w:val="10"/>
          <w:szCs w:val="10"/>
          <w:color w:val="auto"/>
        </w:rPr>
        <w:t>. Merchants can interact naturally with customers via Rezolve Brain.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GeoZones.</w:t>
      </w:r>
      <w:r>
        <w:rPr>
          <w:rFonts w:ascii="Times New Roman" w:cs="Times New Roman" w:eastAsia="Times New Roman" w:hAnsi="Times New Roman"/>
          <w:sz w:val="10"/>
          <w:szCs w:val="10"/>
          <w:color w:val="auto"/>
        </w:rPr>
        <w:t xml:space="preserve"> Merchants can interact with consumers based on proximity to certain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Media with Audio.</w:t>
      </w:r>
      <w:r>
        <w:rPr>
          <w:rFonts w:ascii="Times New Roman" w:cs="Times New Roman" w:eastAsia="Times New Roman" w:hAnsi="Times New Roman"/>
          <w:sz w:val="10"/>
          <w:szCs w:val="10"/>
          <w:color w:val="auto"/>
        </w:rPr>
        <w:t xml:space="preserve"> Merchants can integrate watermarks in broadcast and streaming media.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Visual Events.</w:t>
      </w:r>
      <w:r>
        <w:rPr>
          <w:rFonts w:ascii="Times New Roman" w:cs="Times New Roman" w:eastAsia="Times New Roman" w:hAnsi="Times New Roman"/>
          <w:sz w:val="10"/>
          <w:szCs w:val="10"/>
          <w:color w:val="auto"/>
        </w:rPr>
        <w:t xml:space="preserve"> Merchants can integrate watermarks in posters, advertising, product labels and merchandise.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Beacons</w:t>
      </w:r>
      <w:r>
        <w:rPr>
          <w:rFonts w:ascii="Times New Roman" w:cs="Times New Roman" w:eastAsia="Times New Roman" w:hAnsi="Times New Roman"/>
          <w:sz w:val="10"/>
          <w:szCs w:val="10"/>
          <w:color w:val="auto"/>
        </w:rPr>
        <w:t>. Merchants can establish near-proximity beacons which allow near-field proximity engagements (3 inches to 36 inches plus) in both indoor and outdoor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SmartLinks.</w:t>
      </w:r>
      <w:r>
        <w:rPr>
          <w:rFonts w:ascii="Times New Roman" w:cs="Times New Roman" w:eastAsia="Times New Roman" w:hAnsi="Times New Roman"/>
          <w:sz w:val="10"/>
          <w:szCs w:val="10"/>
          <w:color w:val="auto"/>
        </w:rPr>
        <w:t xml:space="preserve"> Merchants can embed URL links into social media posts and email communications (amongst others) which trigger Instant Checkout and Instant Act engagements.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SmartCodes.</w:t>
      </w:r>
      <w:r>
        <w:rPr>
          <w:rFonts w:ascii="Times New Roman" w:cs="Times New Roman" w:eastAsia="Times New Roman" w:hAnsi="Times New Roman"/>
          <w:sz w:val="10"/>
          <w:szCs w:val="10"/>
          <w:color w:val="auto"/>
        </w:rPr>
        <w:t xml:space="preserve"> Merchants can establish QR codes integrated with their media with a richer engagement experience for the consumer.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Merchants can embed Buy Now and Act Now buttons on their websites and advertisements for instant engagement and conversion.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Transaction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Using the Rezolve dashboard, we expect that merchants can link a trigger from one of the above Channel opportunities with the following types of events or actions as examples of use cases: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Fast Checkout:</w:t>
      </w:r>
      <w:r>
        <w:rPr>
          <w:rFonts w:ascii="Times New Roman" w:cs="Times New Roman" w:eastAsia="Times New Roman" w:hAnsi="Times New Roman"/>
          <w:sz w:val="10"/>
          <w:szCs w:val="10"/>
          <w:color w:val="auto"/>
        </w:rPr>
        <w:t xml:space="preserve"> Consumers can scan products, bag and exit the store without waiting in line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Expanding Walls:</w:t>
      </w:r>
      <w:r>
        <w:rPr>
          <w:rFonts w:ascii="Times New Roman" w:cs="Times New Roman" w:eastAsia="Times New Roman" w:hAnsi="Times New Roman"/>
          <w:sz w:val="10"/>
          <w:szCs w:val="10"/>
          <w:color w:val="auto"/>
        </w:rPr>
        <w:t xml:space="preserve"> Consumers can view a broader selection of products than available in a store (e.g., furniture and clothing) that can be sold from a display wall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Stay at Table or Reserve:</w:t>
      </w:r>
      <w:r>
        <w:rPr>
          <w:rFonts w:ascii="Times New Roman" w:cs="Times New Roman" w:eastAsia="Times New Roman" w:hAnsi="Times New Roman"/>
          <w:sz w:val="10"/>
          <w:szCs w:val="10"/>
          <w:color w:val="auto"/>
        </w:rPr>
        <w:t xml:space="preserve"> Consumers can scan advertisement or menu, order items, pay and either pick up at counter or have delivered to table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Buy and Fly:</w:t>
      </w:r>
      <w:r>
        <w:rPr>
          <w:rFonts w:ascii="Times New Roman" w:cs="Times New Roman" w:eastAsia="Times New Roman" w:hAnsi="Times New Roman"/>
          <w:sz w:val="10"/>
          <w:szCs w:val="10"/>
          <w:color w:val="auto"/>
        </w:rPr>
        <w:t xml:space="preserve"> Consumers can pick up items, scan, buy, bag, leave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e-Ticketing and Access Control:</w:t>
      </w:r>
      <w:r>
        <w:rPr>
          <w:rFonts w:ascii="Times New Roman" w:cs="Times New Roman" w:eastAsia="Times New Roman" w:hAnsi="Times New Roman"/>
          <w:sz w:val="10"/>
          <w:szCs w:val="10"/>
          <w:color w:val="auto"/>
        </w:rPr>
        <w:t xml:space="preserve"> Tickets are electronically delivered to their handset to enable secure and streamlined access control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Pre-Order Queue-Busting:</w:t>
      </w:r>
      <w:r>
        <w:rPr>
          <w:rFonts w:ascii="Times New Roman" w:cs="Times New Roman" w:eastAsia="Times New Roman" w:hAnsi="Times New Roman"/>
          <w:sz w:val="10"/>
          <w:szCs w:val="10"/>
          <w:color w:val="auto"/>
        </w:rPr>
        <w:t xml:space="preserve"> Enable supporters to pre-order food, beverage and merchandise from their seat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Location sensitive:</w:t>
      </w:r>
      <w:r>
        <w:rPr>
          <w:rFonts w:ascii="Times New Roman" w:cs="Times New Roman" w:eastAsia="Times New Roman" w:hAnsi="Times New Roman"/>
          <w:sz w:val="10"/>
          <w:szCs w:val="10"/>
          <w:color w:val="auto"/>
        </w:rPr>
        <w:t xml:space="preserve"> Offers and promotions nearby, navigate to the location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engagement:</w:t>
      </w:r>
      <w:r>
        <w:rPr>
          <w:rFonts w:ascii="Times New Roman" w:cs="Times New Roman" w:eastAsia="Times New Roman" w:hAnsi="Times New Roman"/>
          <w:sz w:val="10"/>
          <w:szCs w:val="10"/>
          <w:color w:val="auto"/>
        </w:rPr>
        <w:t xml:space="preserve"> Buy or get more information directly from any form of advertising or directly from posters in shop windows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Technology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Rezolve platform is a multi-tenant cloud-based system that is engineered for high scalability, reliability and performance.</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39" w:lineRule="exact"/>
        <w:rPr>
          <w:sz w:val="20"/>
          <w:szCs w:val="20"/>
          <w:color w:val="auto"/>
        </w:rPr>
      </w:pPr>
    </w:p>
    <w:p>
      <w:pPr>
        <w:ind w:left="48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Artificial Intelligence.</w:t>
      </w:r>
      <w:r>
        <w:rPr>
          <w:rFonts w:ascii="Times New Roman" w:cs="Times New Roman" w:eastAsia="Times New Roman" w:hAnsi="Times New Roman"/>
          <w:sz w:val="10"/>
          <w:szCs w:val="10"/>
          <w:color w:val="auto"/>
        </w:rPr>
        <w:t xml:space="preserve"> Our Large Language Model (“</w:t>
      </w:r>
      <w:r>
        <w:rPr>
          <w:rFonts w:ascii="Times New Roman" w:cs="Times New Roman" w:eastAsia="Times New Roman" w:hAnsi="Times New Roman"/>
          <w:sz w:val="10"/>
          <w:szCs w:val="10"/>
          <w:b w:val="1"/>
          <w:bCs w:val="1"/>
          <w:i w:val="1"/>
          <w:iCs w:val="1"/>
          <w:color w:val="auto"/>
        </w:rPr>
        <w:t>LLM</w:t>
      </w:r>
      <w:r>
        <w:rPr>
          <w:rFonts w:ascii="Times New Roman" w:cs="Times New Roman" w:eastAsia="Times New Roman" w:hAnsi="Times New Roman"/>
          <w:sz w:val="10"/>
          <w:szCs w:val="10"/>
          <w:color w:val="auto"/>
        </w:rPr>
        <w:t>”) uses proprietary AI to interrogate presales, sales and post-sales content as well 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96" w:name="page97"/>
    <w:bookmarkEnd w:id="96"/>
    <w:p>
      <w:pPr>
        <w:ind w:right="140"/>
        <w:spacing w:after="0" w:line="310" w:lineRule="auto"/>
        <w:rPr>
          <w:sz w:val="20"/>
          <w:szCs w:val="20"/>
          <w:color w:val="auto"/>
        </w:rPr>
      </w:pPr>
      <w:r>
        <w:rPr>
          <w:rFonts w:ascii="Times New Roman" w:cs="Times New Roman" w:eastAsia="Times New Roman" w:hAnsi="Times New Roman"/>
          <w:sz w:val="9"/>
          <w:szCs w:val="9"/>
          <w:color w:val="auto"/>
        </w:rPr>
        <w:t>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67945</wp:posOffset>
            </wp:positionV>
            <wp:extent cx="2400300" cy="1414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0030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Security.</w:t>
      </w:r>
      <w:r>
        <w:rPr>
          <w:rFonts w:ascii="Times New Roman" w:cs="Times New Roman" w:eastAsia="Times New Roman" w:hAnsi="Times New Roman"/>
          <w:sz w:val="10"/>
          <w:szCs w:val="10"/>
          <w:color w:val="auto"/>
        </w:rPr>
        <w:t xml:space="preserve"> Our proprietary AI-Platform keeps both merchant and customer confidential and PII data secure and is regulated by the strict GDPR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Encryption.</w:t>
      </w:r>
      <w:r>
        <w:rPr>
          <w:rFonts w:ascii="Times New Roman" w:cs="Times New Roman" w:eastAsia="Times New Roman" w:hAnsi="Times New Roman"/>
          <w:sz w:val="10"/>
          <w:szCs w:val="10"/>
          <w:color w:val="auto"/>
        </w:rPr>
        <w:t xml:space="preserve"> All data is encrypted at rest (AES-256) and in transit.</w:t>
      </w:r>
    </w:p>
    <w:p>
      <w:pPr>
        <w:spacing w:after="0" w:line="5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Data usage.</w:t>
      </w:r>
      <w:r>
        <w:rPr>
          <w:rFonts w:ascii="Times New Roman" w:cs="Times New Roman" w:eastAsia="Times New Roman" w:hAnsi="Times New Roman"/>
          <w:sz w:val="10"/>
          <w:szCs w:val="10"/>
          <w:color w:val="auto"/>
        </w:rPr>
        <w:t xml:space="preserve"> All uploaded content such as support documentation, manuals, knowledge base and product catalogue is stored in isolated 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Rezolve’s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4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Scalability.</w:t>
      </w:r>
      <w:r>
        <w:rPr>
          <w:rFonts w:ascii="Times New Roman" w:cs="Times New Roman" w:eastAsia="Times New Roman" w:hAnsi="Times New Roman"/>
          <w:sz w:val="10"/>
          <w:szCs w:val="10"/>
          <w:color w:val="auto"/>
        </w:rPr>
        <w:t xml:space="preserve"> 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w:t>
      </w:r>
    </w:p>
    <w:p>
      <w:pPr>
        <w:spacing w:after="0" w:line="3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Resilience.</w:t>
      </w:r>
      <w:r>
        <w:rPr>
          <w:rFonts w:ascii="Times New Roman" w:cs="Times New Roman" w:eastAsia="Times New Roman" w:hAnsi="Times New Roman"/>
          <w:sz w:val="10"/>
          <w:szCs w:val="10"/>
          <w:color w:val="auto"/>
        </w:rPr>
        <w:t xml:space="preserve"> 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Embedded Connectivity.</w:t>
      </w:r>
      <w:r>
        <w:rPr>
          <w:rFonts w:ascii="Times New Roman" w:cs="Times New Roman" w:eastAsia="Times New Roman" w:hAnsi="Times New Roman"/>
          <w:sz w:val="10"/>
          <w:szCs w:val="10"/>
          <w:color w:val="auto"/>
        </w:rPr>
        <w:t xml:space="preserve"> Rezolve’s mobile SDK provides a quick and easy solution to embed and enable Rezolve platform functionality in any Android and iOS app. The accompanying SDK sample app and documents allow third-party developers to quickly leverage the power of our solution.</w:t>
      </w:r>
    </w:p>
    <w:p>
      <w:pPr>
        <w:spacing w:after="0" w:line="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080"/>
          </w:cols>
          <w:pgMar w:left="1120" w:top="1095" w:right="700" w:bottom="1440" w:gutter="0" w:footer="0" w:header="0"/>
        </w:sectPr>
      </w:pPr>
    </w:p>
    <w:bookmarkStart w:id="97" w:name="page98"/>
    <w:bookmarkEnd w:id="97"/>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Central Management.</w:t>
      </w:r>
      <w:r>
        <w:rPr>
          <w:rFonts w:ascii="Times New Roman" w:cs="Times New Roman" w:eastAsia="Times New Roman" w:hAnsi="Times New Roman"/>
          <w:sz w:val="10"/>
          <w:szCs w:val="10"/>
          <w:color w:val="auto"/>
        </w:rPr>
        <w:t xml:space="preserve"> Rezolve maintains a central management and configuration tool that allows it to quickly setup partners, merchants, payments, apps and index content from its merchants so it’s available via the SDK.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Analytics &amp; Reporting.</w:t>
      </w:r>
      <w:r>
        <w:rPr>
          <w:rFonts w:ascii="Times New Roman" w:cs="Times New Roman" w:eastAsia="Times New Roman" w:hAnsi="Times New Roman"/>
          <w:sz w:val="10"/>
          <w:szCs w:val="10"/>
          <w:color w:val="auto"/>
        </w:rPr>
        <w:t xml:space="preserve"> Rezolve SDK and Backend Data Ingestor Service gathers metrics on usage, transactions, interactions and feeds it to the Analytics Engine to churn out smart Dashboards and Reports.</w:t>
      </w:r>
    </w:p>
    <w:p>
      <w:pPr>
        <w:spacing w:after="0" w:line="58"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Snap-on Integrations.</w:t>
      </w:r>
      <w:r>
        <w:rPr>
          <w:rFonts w:ascii="Times New Roman" w:cs="Times New Roman" w:eastAsia="Times New Roman" w:hAnsi="Times New Roman"/>
          <w:sz w:val="10"/>
          <w:szCs w:val="10"/>
          <w:color w:val="auto"/>
        </w:rPr>
        <w:t xml:space="preserve"> 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Mass Onboarding.</w:t>
      </w:r>
      <w:r>
        <w:rPr>
          <w:rFonts w:ascii="Times New Roman" w:cs="Times New Roman" w:eastAsia="Times New Roman" w:hAnsi="Times New Roman"/>
          <w:sz w:val="10"/>
          <w:szCs w:val="10"/>
          <w:color w:val="auto"/>
        </w:rPr>
        <w:t xml:space="preserve"> Bulk Onboarding of Merchants is a new and unique offering of our platform that allows us to set up and configure more than 10,000 merchants. Admin portal provides an easy to operate tool for operations teams to quickly add a large merchant base in any market on demand.</w:t>
      </w:r>
    </w:p>
    <w:p>
      <w:pPr>
        <w:spacing w:after="0" w:line="37"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 Triggers.</w:t>
      </w:r>
      <w:r>
        <w:rPr>
          <w:rFonts w:ascii="Times New Roman" w:cs="Times New Roman" w:eastAsia="Times New Roman" w:hAnsi="Times New Roman"/>
          <w:sz w:val="10"/>
          <w:szCs w:val="10"/>
          <w:color w:val="auto"/>
        </w:rPr>
        <w:t xml:space="preserve"> Rezolve’s implementation of GeoZones, Beacons and Watermarking are important elements of its platform. The creation of these triggers via Rezolve’s Experience Platform when combined with its SDK delivers a powerful tool to Merchants to deliver non spamming targeted engagements.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Developer Friendly.</w:t>
      </w:r>
      <w:r>
        <w:rPr>
          <w:rFonts w:ascii="Times New Roman" w:cs="Times New Roman" w:eastAsia="Times New Roman" w:hAnsi="Times New Roman"/>
          <w:sz w:val="10"/>
          <w:szCs w:val="10"/>
          <w:color w:val="auto"/>
        </w:rPr>
        <w:t xml:space="preserve"> Rezolve’s REST API provides another integration point for any partner or client not using native mobile apps. We can easily support progressive web applications, hybrid applications, web-based services and other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Channels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Competition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market is transforming, competitive and highly fragmented, and we expect competition to increase in the future. We believe the principal competitive factors in our market are: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•proprietary actionable AI-engineered products and solutions focused on commerce;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•simplicity and ease of use;;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•integration of multiple Channels;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•breadth and depth of functionality;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•pace of innovation;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•ability to scale;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•security and reliability;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•support for brand development;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•brand recognition and reputation.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respect to each of these factors, we believe that we provide a number of favorable offerings.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98" w:name="page99"/>
    <w:bookmarkEnd w:id="98"/>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 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Partner Agreements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Adobe</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Adobe, Inc. (“</w:t>
      </w:r>
      <w:r>
        <w:rPr>
          <w:rFonts w:ascii="Times New Roman" w:cs="Times New Roman" w:eastAsia="Times New Roman" w:hAnsi="Times New Roman"/>
          <w:sz w:val="10"/>
          <w:szCs w:val="10"/>
          <w:b w:val="1"/>
          <w:bCs w:val="1"/>
          <w:i w:val="1"/>
          <w:iCs w:val="1"/>
          <w:color w:val="auto"/>
        </w:rPr>
        <w:t>Adobe</w:t>
      </w:r>
      <w:r>
        <w:rPr>
          <w:rFonts w:ascii="Times New Roman" w:cs="Times New Roman" w:eastAsia="Times New Roman" w:hAnsi="Times New Roman"/>
          <w:sz w:val="10"/>
          <w:szCs w:val="10"/>
          <w:color w:val="auto"/>
        </w:rPr>
        <w:t>”),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ACI Worldwide</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 xml:space="preserve">On March 31, 2022, Rezolve entered into an agreement with ACI Worldwide (EMEA) Limited (“ </w:t>
      </w:r>
      <w:r>
        <w:rPr>
          <w:rFonts w:ascii="Times New Roman" w:cs="Times New Roman" w:eastAsia="Times New Roman" w:hAnsi="Times New Roman"/>
          <w:sz w:val="10"/>
          <w:szCs w:val="10"/>
          <w:b w:val="1"/>
          <w:bCs w:val="1"/>
          <w:i w:val="1"/>
          <w:iCs w:val="1"/>
          <w:color w:val="auto"/>
        </w:rPr>
        <w:t>ACI</w:t>
      </w:r>
      <w:r>
        <w:rPr>
          <w:rFonts w:ascii="Times New Roman" w:cs="Times New Roman" w:eastAsia="Times New Roman" w:hAnsi="Times New Roman"/>
          <w:sz w:val="10"/>
          <w:szCs w:val="10"/>
          <w:color w:val="auto"/>
        </w:rPr>
        <w:t>”), pursuant to which, among other things, Rezolve granted ACI a non -sublicensable,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Haendlerbund</w:t>
      </w:r>
    </w:p>
    <w:p>
      <w:pPr>
        <w:spacing w:after="0" w:line="58"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On November 20, 2023, Rezolve entered into an agreement with HB Marketplace GmbH (“</w:t>
      </w:r>
      <w:r>
        <w:rPr>
          <w:rFonts w:ascii="Times New Roman" w:cs="Times New Roman" w:eastAsia="Times New Roman" w:hAnsi="Times New Roman"/>
          <w:sz w:val="10"/>
          <w:szCs w:val="10"/>
          <w:b w:val="1"/>
          <w:bCs w:val="1"/>
          <w:i w:val="1"/>
          <w:iCs w:val="1"/>
          <w:color w:val="auto"/>
        </w:rPr>
        <w:t>Haendlerbund</w:t>
      </w:r>
      <w:r>
        <w:rPr>
          <w:rFonts w:ascii="Times New Roman" w:cs="Times New Roman" w:eastAsia="Times New Roman" w:hAnsi="Times New Roman"/>
          <w:sz w:val="10"/>
          <w:szCs w:val="10"/>
          <w:color w:val="auto"/>
        </w:rPr>
        <w:t>”), pursuant to which, among other things, Rezolve granted Haendlerbund a non- exclusive distribution and marketing license of the Brain in exchange for Handlerbund selling and marketing Brain on its digital marketplace to online retailers. Under the agreement, Handlerbund will receives 25% of the net sales actually 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Epages</w:t>
      </w:r>
    </w:p>
    <w:p>
      <w:pPr>
        <w:spacing w:after="0" w:line="58" w:lineRule="exact"/>
        <w:rPr>
          <w:sz w:val="20"/>
          <w:szCs w:val="20"/>
          <w:color w:val="auto"/>
        </w:rPr>
      </w:pPr>
    </w:p>
    <w:p>
      <w:pPr>
        <w:ind w:right="120" w:firstLine="480"/>
        <w:spacing w:after="0" w:line="315" w:lineRule="auto"/>
        <w:rPr>
          <w:sz w:val="20"/>
          <w:szCs w:val="20"/>
          <w:color w:val="auto"/>
        </w:rPr>
      </w:pPr>
      <w:r>
        <w:rPr>
          <w:rFonts w:ascii="Times New Roman" w:cs="Times New Roman" w:eastAsia="Times New Roman" w:hAnsi="Times New Roman"/>
          <w:sz w:val="9"/>
          <w:szCs w:val="9"/>
          <w:color w:val="auto"/>
        </w:rPr>
        <w:t>On January 22, 2024, Rezolve entered into an agreement with Epages GMBH (“</w:t>
      </w:r>
      <w:r>
        <w:rPr>
          <w:rFonts w:ascii="Times New Roman" w:cs="Times New Roman" w:eastAsia="Times New Roman" w:hAnsi="Times New Roman"/>
          <w:sz w:val="9"/>
          <w:szCs w:val="9"/>
          <w:b w:val="1"/>
          <w:bCs w:val="1"/>
          <w:i w:val="1"/>
          <w:iCs w:val="1"/>
          <w:color w:val="auto"/>
        </w:rPr>
        <w:t>Epages</w:t>
      </w:r>
      <w:r>
        <w:rPr>
          <w:rFonts w:ascii="Times New Roman" w:cs="Times New Roman" w:eastAsia="Times New Roman" w:hAnsi="Times New Roman"/>
          <w:sz w:val="9"/>
          <w:szCs w:val="9"/>
          <w:color w:val="auto"/>
        </w:rPr>
        <w:t>”),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JTL</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JTL Software GmbH (“</w:t>
      </w:r>
      <w:r>
        <w:rPr>
          <w:rFonts w:ascii="Times New Roman" w:cs="Times New Roman" w:eastAsia="Times New Roman" w:hAnsi="Times New Roman"/>
          <w:sz w:val="10"/>
          <w:szCs w:val="10"/>
          <w:b w:val="1"/>
          <w:bCs w:val="1"/>
          <w:i w:val="1"/>
          <w:iCs w:val="1"/>
          <w:color w:val="auto"/>
        </w:rPr>
        <w:t>JTL</w:t>
      </w:r>
      <w:r>
        <w:rPr>
          <w:rFonts w:ascii="Times New Roman" w:cs="Times New Roman" w:eastAsia="Times New Roman" w:hAnsi="Times New Roman"/>
          <w:sz w:val="10"/>
          <w:szCs w:val="10"/>
          <w:color w:val="auto"/>
        </w:rPr>
        <w:t>”),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0"/>
          <w:szCs w:val="10"/>
          <w:i w:val="1"/>
          <w:iCs w:val="1"/>
          <w:color w:val="auto"/>
        </w:rPr>
        <w:t>Oxid</w:t>
      </w:r>
    </w:p>
    <w:p>
      <w:pPr>
        <w:spacing w:after="0" w:line="58" w:lineRule="exact"/>
        <w:rPr>
          <w:sz w:val="20"/>
          <w:szCs w:val="20"/>
          <w:color w:val="auto"/>
        </w:rPr>
      </w:pPr>
    </w:p>
    <w:p>
      <w:pPr>
        <w:ind w:right="200" w:firstLine="480"/>
        <w:spacing w:after="0" w:line="247" w:lineRule="auto"/>
        <w:rPr>
          <w:sz w:val="20"/>
          <w:szCs w:val="20"/>
          <w:color w:val="auto"/>
        </w:rPr>
      </w:pPr>
      <w:r>
        <w:rPr>
          <w:rFonts w:ascii="Times New Roman" w:cs="Times New Roman" w:eastAsia="Times New Roman" w:hAnsi="Times New Roman"/>
          <w:sz w:val="10"/>
          <w:szCs w:val="10"/>
          <w:color w:val="auto"/>
        </w:rPr>
        <w:t>On March 22, 2024, Rezolve entered into an agreement with OXID eSales AG (“</w:t>
      </w:r>
      <w:r>
        <w:rPr>
          <w:rFonts w:ascii="Times New Roman" w:cs="Times New Roman" w:eastAsia="Times New Roman" w:hAnsi="Times New Roman"/>
          <w:sz w:val="10"/>
          <w:szCs w:val="10"/>
          <w:b w:val="1"/>
          <w:bCs w:val="1"/>
          <w:i w:val="1"/>
          <w:iCs w:val="1"/>
          <w:color w:val="auto"/>
        </w:rPr>
        <w:t>OXID</w:t>
      </w:r>
      <w:r>
        <w:rPr>
          <w:rFonts w:ascii="Times New Roman" w:cs="Times New Roman" w:eastAsia="Times New Roman" w:hAnsi="Times New Roman"/>
          <w:sz w:val="10"/>
          <w:szCs w:val="10"/>
          <w:color w:val="auto"/>
        </w:rPr>
        <w:t>”),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Chatwerk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Rezolve entered into a non-binding offer with Chatwerk by Inbox Solutions GmbH (“</w:t>
      </w:r>
      <w:r>
        <w:rPr>
          <w:rFonts w:ascii="Times New Roman" w:cs="Times New Roman" w:eastAsia="Times New Roman" w:hAnsi="Times New Roman"/>
          <w:sz w:val="10"/>
          <w:szCs w:val="10"/>
          <w:b w:val="1"/>
          <w:bCs w:val="1"/>
          <w:i w:val="1"/>
          <w:iCs w:val="1"/>
          <w:color w:val="auto"/>
        </w:rPr>
        <w:t>Chatwerk</w:t>
      </w:r>
      <w:r>
        <w:rPr>
          <w:rFonts w:ascii="Times New Roman" w:cs="Times New Roman" w:eastAsia="Times New Roman" w:hAnsi="Times New Roman"/>
          <w:sz w:val="10"/>
          <w:szCs w:val="10"/>
          <w:color w:val="auto"/>
        </w:rPr>
        <w:t>”) to purchase Rezolve’s products. Under the agreement, Chatwerk will receive 20% on all Rezolve services-based revenues generated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Chatwerk.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Current Operations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Intellectual Property</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0"/>
          <w:szCs w:val="10"/>
          <w:i w:val="1"/>
          <w:iCs w:val="1"/>
          <w:color w:val="auto"/>
        </w:rPr>
        <w:t>Risk Factors—Risks Related to our Business and Industry</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Employees</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Facilities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are headquartered in London, England, United Kingdom. We do not own any real property. All of our employees based in the United Kingdom work remotely.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Government Regulation</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100" w:name="page101"/>
    <w:bookmarkEnd w:id="100"/>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05"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08" w:lineRule="exact"/>
        <w:rPr>
          <w:sz w:val="20"/>
          <w:szCs w:val="20"/>
          <w:color w:val="auto"/>
        </w:rPr>
      </w:pPr>
    </w:p>
    <w:p>
      <w:pPr>
        <w:ind w:right="60" w:firstLine="480"/>
        <w:spacing w:after="0" w:line="238" w:lineRule="auto"/>
        <w:rPr>
          <w:sz w:val="20"/>
          <w:szCs w:val="20"/>
          <w:color w:val="auto"/>
        </w:rPr>
      </w:pPr>
      <w:r>
        <w:rPr>
          <w:rFonts w:ascii="Times New Roman" w:cs="Times New Roman" w:eastAsia="Times New Roman" w:hAnsi="Times New Roman"/>
          <w:sz w:val="10"/>
          <w:szCs w:val="10"/>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Legal Proceedings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MANAGEMENT AND COMPENSATION</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following sets forth the names, business addresses and functions of the Company’s directors and senior management as of August 30, 2024. The Company’s Amended and Restated Memorandum and Articles of Association provide that the Company Board of Directors (the “</w:t>
      </w:r>
      <w:r>
        <w:rPr>
          <w:rFonts w:ascii="Times New Roman" w:cs="Times New Roman" w:eastAsia="Times New Roman" w:hAnsi="Times New Roman"/>
          <w:sz w:val="10"/>
          <w:szCs w:val="10"/>
          <w:b w:val="1"/>
          <w:bCs w:val="1"/>
          <w:i w:val="1"/>
          <w:iCs w:val="1"/>
          <w:color w:val="auto"/>
        </w:rPr>
        <w:t>Company Board</w:t>
      </w:r>
      <w:r>
        <w:rPr>
          <w:rFonts w:ascii="Times New Roman" w:cs="Times New Roman" w:eastAsia="Times New Roman" w:hAnsi="Times New Roman"/>
          <w:sz w:val="10"/>
          <w:szCs w:val="10"/>
          <w:color w:val="auto"/>
        </w:rPr>
        <w:t>”) has three classes of directors with the directors of each class serving staggered three-year terms. Class I directors shall serve a term expiring at the Company’s 2025 annual meeting of shareholders, Class II directors shall serve a term expiring at the Company’s 2026 annual meeting of shareholders, and Class III directors shall serve a term expiring at the Company’s 2027 annual meeting of shareholders.</w:t>
      </w:r>
    </w:p>
    <w:p>
      <w:pPr>
        <w:spacing w:after="0" w:line="149" w:lineRule="exact"/>
        <w:rPr>
          <w:sz w:val="20"/>
          <w:szCs w:val="20"/>
          <w:color w:val="auto"/>
        </w:rPr>
      </w:pPr>
    </w:p>
    <w:tbl>
      <w:tblPr>
        <w:tblLayout w:type="fixed"/>
        <w:tblInd w:w="1060" w:type="dxa"/>
        <w:tblCellMar>
          <w:top w:w="0" w:type="dxa"/>
          <w:left w:w="0" w:type="dxa"/>
          <w:bottom w:w="0" w:type="dxa"/>
          <w:right w:w="0" w:type="dxa"/>
        </w:tblCellMar>
      </w:tblPr>
      <w:tr>
        <w:trPr>
          <w:trHeight w:val="108"/>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Name</w:t>
            </w:r>
          </w:p>
        </w:tc>
        <w:tc>
          <w:tcPr>
            <w:tcW w:w="18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Age</w:t>
            </w:r>
          </w:p>
        </w:tc>
        <w:tc>
          <w:tcPr>
            <w:tcW w:w="4840" w:type="dxa"/>
            <w:vAlign w:val="bottom"/>
          </w:tcPr>
          <w:p>
            <w:pPr>
              <w:ind w:left="2460"/>
              <w:spacing w:after="0"/>
              <w:rPr>
                <w:sz w:val="20"/>
                <w:szCs w:val="20"/>
                <w:color w:val="auto"/>
              </w:rPr>
            </w:pPr>
            <w:r>
              <w:rPr>
                <w:rFonts w:ascii="Times New Roman" w:cs="Times New Roman" w:eastAsia="Times New Roman" w:hAnsi="Times New Roman"/>
                <w:sz w:val="8"/>
                <w:szCs w:val="8"/>
                <w:b w:val="1"/>
                <w:bCs w:val="1"/>
                <w:color w:val="auto"/>
              </w:rPr>
              <w:t>Position</w:t>
            </w:r>
          </w:p>
        </w:tc>
      </w:tr>
      <w:tr>
        <w:trPr>
          <w:trHeight w:val="133"/>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w:t>
            </w:r>
          </w:p>
        </w:tc>
        <w:tc>
          <w:tcPr>
            <w:tcW w:w="1800" w:type="dxa"/>
            <w:vAlign w:val="bottom"/>
          </w:tcPr>
          <w:p>
            <w:pPr>
              <w:spacing w:after="0"/>
              <w:rPr>
                <w:sz w:val="11"/>
                <w:szCs w:val="11"/>
                <w:color w:val="auto"/>
              </w:rPr>
            </w:pPr>
          </w:p>
        </w:tc>
        <w:tc>
          <w:tcPr>
            <w:tcW w:w="4840" w:type="dxa"/>
            <w:vAlign w:val="bottom"/>
          </w:tcPr>
          <w:p>
            <w:pPr>
              <w:spacing w:after="0"/>
              <w:rPr>
                <w:sz w:val="11"/>
                <w:szCs w:val="11"/>
                <w:color w:val="auto"/>
              </w:rPr>
            </w:pPr>
          </w:p>
        </w:tc>
      </w:tr>
      <w:tr>
        <w:trPr>
          <w:trHeight w:val="128"/>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0"/>
                <w:szCs w:val="10"/>
                <w:color w:val="auto"/>
              </w:rPr>
              <w:t>Class III Director</w:t>
            </w:r>
          </w:p>
        </w:tc>
      </w:tr>
      <w:tr>
        <w:trPr>
          <w:trHeight w:val="127"/>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John Wagner</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91</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Class III Director</w:t>
            </w:r>
          </w:p>
        </w:tc>
      </w:tr>
      <w:tr>
        <w:trPr>
          <w:trHeight w:val="128"/>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Anthony Sharp</w:t>
            </w:r>
          </w:p>
        </w:tc>
        <w:tc>
          <w:tcPr>
            <w:tcW w:w="180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0"/>
                <w:szCs w:val="10"/>
                <w:color w:val="auto"/>
              </w:rPr>
              <w:t>Class II Director</w:t>
            </w:r>
          </w:p>
        </w:tc>
      </w:tr>
      <w:tr>
        <w:trPr>
          <w:trHeight w:val="127"/>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Sir David Wright</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80</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Class II Director</w:t>
            </w:r>
          </w:p>
        </w:tc>
      </w:tr>
      <w:tr>
        <w:trPr>
          <w:trHeight w:val="128"/>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Stephen Perry</w:t>
            </w:r>
          </w:p>
        </w:tc>
        <w:tc>
          <w:tcPr>
            <w:tcW w:w="180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0"/>
                <w:szCs w:val="10"/>
                <w:color w:val="auto"/>
              </w:rPr>
              <w:t>64</w:t>
            </w:r>
          </w:p>
        </w:tc>
        <w:tc>
          <w:tcPr>
            <w:tcW w:w="4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0"/>
                <w:szCs w:val="10"/>
                <w:color w:val="auto"/>
              </w:rPr>
              <w:t>Class II Director</w:t>
            </w:r>
          </w:p>
        </w:tc>
      </w:tr>
      <w:tr>
        <w:trPr>
          <w:trHeight w:val="126"/>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Derek Smith</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78</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Class II Director</w:t>
            </w:r>
          </w:p>
        </w:tc>
      </w:tr>
      <w:tr>
        <w:trPr>
          <w:trHeight w:val="128"/>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Stephen Herbert</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62</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Class I Director</w:t>
            </w:r>
          </w:p>
        </w:tc>
      </w:tr>
      <w:tr>
        <w:trPr>
          <w:trHeight w:val="241"/>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tc>
        <w:tc>
          <w:tcPr>
            <w:tcW w:w="180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128"/>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0"/>
                <w:szCs w:val="10"/>
                <w:color w:val="auto"/>
              </w:rPr>
              <w:t>Chief Executive Officer and Director</w:t>
            </w:r>
          </w:p>
        </w:tc>
      </w:tr>
      <w:tr>
        <w:trPr>
          <w:trHeight w:val="127"/>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Richard Burchill</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52</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Chief Financial Officer</w:t>
            </w:r>
          </w:p>
        </w:tc>
      </w:tr>
      <w:tr>
        <w:trPr>
          <w:trHeight w:val="128"/>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Peter Vesco</w:t>
            </w:r>
          </w:p>
        </w:tc>
        <w:tc>
          <w:tcPr>
            <w:tcW w:w="180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0"/>
                <w:szCs w:val="10"/>
                <w:color w:val="auto"/>
              </w:rPr>
              <w:t>Chief Commercial Officer and General Manager (EMEA)</w:t>
            </w:r>
          </w:p>
        </w:tc>
      </w:tr>
      <w:tr>
        <w:trPr>
          <w:trHeight w:val="127"/>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Sauvik Banerjjee</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49</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CEO Products, Technology, and Digital Services</w:t>
            </w:r>
          </w:p>
        </w:tc>
      </w:tr>
      <w:tr>
        <w:trPr>
          <w:trHeight w:val="128"/>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Salman Ahmad</w:t>
            </w:r>
          </w:p>
        </w:tc>
        <w:tc>
          <w:tcPr>
            <w:tcW w:w="180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0"/>
                <w:szCs w:val="10"/>
                <w:color w:val="auto"/>
              </w:rPr>
              <w:t>51</w:t>
            </w:r>
          </w:p>
        </w:tc>
        <w:tc>
          <w:tcPr>
            <w:tcW w:w="4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0"/>
                <w:szCs w:val="10"/>
                <w:color w:val="auto"/>
              </w:rPr>
              <w:t>Chief Technology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Director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Daniel Wagner</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Non-Executive 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Perry.</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Dr. Perry served on the board of directors of Rezolve as a non -executive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 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Derek Smith.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Dr. Smith has served on the board of directors of Rezolve since January 2022. He has also served as chairman of Rhinegold Publishing Ltd from 2007 to 2019. He also served on the board of Opinion Research Corporation from 1997 to 2003. Dr Smith has a</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0"/>
          <w:szCs w:val="10"/>
          <w:color w:val="auto"/>
        </w:rPr>
        <w:t>BA in Economics from the University of Nottingham and a PhD in Economics from the University of Nottingham. Rezolve believes Dr. Smith is qualified to serve on the board because of his history of holding leadership roles in various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John Wagner.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Mr. Wagner has served as a director on the board of directors of Rezolve since February 2016. Prior to joining Rezolve, he was a non -executive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Anthony Sharp.</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Mr. Sharp has served as a director on the board of directors of Rezolve since August 2016. Prior to joining Rezolve, he has been an early- 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Sir David Wright.</w:t>
      </w:r>
    </w:p>
    <w:p>
      <w:pPr>
        <w:spacing w:after="0" w:line="60"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Herbert.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Mr. Herbert has served as a director on the board of directors of Rezolve since August 2024.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Peter Vesco.</w:t>
      </w:r>
    </w:p>
    <w:p>
      <w:pPr>
        <w:spacing w:after="0" w:line="60"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Richard Burchill.</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0"/>
          <w:szCs w:val="10"/>
          <w:color w:val="auto"/>
        </w:rPr>
        <w:t>Group Ltd. He also served as director of card services at Arcadia Group Ltd from 2006 to 2021. He holds a degree in Accounting and Finance from Middlesex University and is a member of the Chartered Institute of Management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Sauvik Banerjjee.</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Salman Ahmad.</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Dr. Ahmad has served as the Chief Technology Officer of Rezolve since October 2017. Prior to joining Rezolve, he was the CTO and co- 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Family Relationships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for Daniel Wagner, CEO and director, being the son of John Wagner, a non-executive director on the board of directors, there are no family relationships between any of the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 Exemption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•Exemption from filing quarterly reports on Form 10-Q containing unaudited financial and other specified information or current reports on Form 8-K upon the occurrence of specified significant events;</w:t>
      </w:r>
    </w:p>
    <w:p>
      <w:pPr>
        <w:spacing w:after="0" w:line="58" w:lineRule="exact"/>
        <w:rPr>
          <w:sz w:val="20"/>
          <w:szCs w:val="20"/>
          <w:color w:val="auto"/>
        </w:rPr>
      </w:pPr>
    </w:p>
    <w:p>
      <w:pPr>
        <w:ind w:left="480" w:right="960"/>
        <w:spacing w:after="0" w:line="360" w:lineRule="auto"/>
        <w:rPr>
          <w:sz w:val="20"/>
          <w:szCs w:val="20"/>
          <w:color w:val="auto"/>
        </w:rPr>
      </w:pPr>
      <w:r>
        <w:rPr>
          <w:rFonts w:ascii="Times New Roman" w:cs="Times New Roman" w:eastAsia="Times New Roman" w:hAnsi="Times New Roman"/>
          <w:sz w:val="10"/>
          <w:szCs w:val="10"/>
          <w:color w:val="auto"/>
        </w:rPr>
        <w:t>•Exemption from Section 16 under the Exchange Act, which requires insiders to file public reports of their securities ownership and trading activities and provides for liability for insiders who profit from trades in a short period of time; •Exemption from the Nasdaq rules applicable to domestic issuers requiring disclosure within four business days of any determination to grant a waiver of the code of business conduct and ethics to directors and officers; •Exemption from the requirement to obtain shareholder approval for certain issuances of securities, including shareholder approval of share option plans;</w:t>
      </w:r>
    </w:p>
    <w:p>
      <w:pPr>
        <w:ind w:left="480"/>
        <w:spacing w:after="0"/>
        <w:rPr>
          <w:sz w:val="20"/>
          <w:szCs w:val="20"/>
          <w:color w:val="auto"/>
        </w:rPr>
      </w:pPr>
      <w:r>
        <w:rPr>
          <w:rFonts w:ascii="Times New Roman" w:cs="Times New Roman" w:eastAsia="Times New Roman" w:hAnsi="Times New Roman"/>
          <w:sz w:val="10"/>
          <w:szCs w:val="10"/>
          <w:color w:val="auto"/>
        </w:rPr>
        <w:t>•Exemption from the requirement that our board have a compensation committee that is composed entirely of independent directors with a written charter addressing the committee’s purpose and responsibilities; and</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0"/>
          <w:szCs w:val="10"/>
          <w:b w:val="1"/>
          <w:bCs w:val="1"/>
          <w:i w:val="1"/>
          <w:iCs w:val="1"/>
          <w:color w:val="auto"/>
        </w:rPr>
        <w:t>Controlled Company Exemption</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the requirement that a majority of the board of directors consist of independent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requirement that we have a compensation committee that is composed entirely of independent directors with a written charter addressing the committee’s purpose and responsibilities;</w:t>
      </w:r>
    </w:p>
    <w:p>
      <w:pPr>
        <w:spacing w:after="0" w:line="58" w:lineRule="exact"/>
        <w:rPr>
          <w:sz w:val="20"/>
          <w:szCs w:val="20"/>
          <w:color w:val="auto"/>
        </w:rPr>
      </w:pPr>
    </w:p>
    <w:p>
      <w:pPr>
        <w:ind w:left="480" w:right="1780"/>
        <w:spacing w:after="0" w:line="380" w:lineRule="auto"/>
        <w:rPr>
          <w:sz w:val="20"/>
          <w:szCs w:val="20"/>
          <w:color w:val="auto"/>
        </w:rPr>
      </w:pPr>
      <w:r>
        <w:rPr>
          <w:rFonts w:ascii="Times New Roman" w:cs="Times New Roman" w:eastAsia="Times New Roman" w:hAnsi="Times New Roman"/>
          <w:sz w:val="10"/>
          <w:szCs w:val="10"/>
          <w:color w:val="auto"/>
        </w:rPr>
        <w:t>•the requirement that we have a nominating and corporate governance committee that is composed entirely of independent directors with a written charter addressing the committee’s purpose and responsibilities; and •the requirement for an annual performance evaluation of the nominating and corporate governance and compensation committees.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event that we cease to be a “controlled company” and our shares continue to be listed on the Nasdaq, we will be required to comply with these provisions within the applicable transition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Governance</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we are an “emerging growth company” as defined in the JOBS Act and have elected to comply with certain reduced public company reporting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Independence of Directors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Board of Directors Composition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board of directors is comprised of eight directors (provided that Daniel Wagner has the right to appoint an additional director to the Board from time to time), five of whom qualify as independent directors as defined in the Nasdaq listing requirements.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Daniel Wagner serves as the Chairman of the board of directors and Anthony Sharp serves as deputy Chairman.</w:t>
      </w:r>
    </w:p>
    <w:p>
      <w:pPr>
        <w:spacing w:after="0" w:line="108"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05"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Our board is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0"/>
          <w:szCs w:val="10"/>
          <w:color w:val="auto"/>
        </w:rPr>
        <w:t>directors and will serve until our annual meeting in 2026. Messrs. Dan Wagner and John Wagner are Class III directors and will serve until our annual meeting in 2027.</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Role of Rezolve Board of Directors in Risk Oversight</w:t>
      </w:r>
    </w:p>
    <w:p>
      <w:pPr>
        <w:spacing w:after="0" w:line="60"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Committees of the Rezolve Board of Directors</w:t>
      </w:r>
    </w:p>
    <w:p>
      <w:pPr>
        <w:spacing w:after="0" w:line="118" w:lineRule="exact"/>
        <w:rPr>
          <w:sz w:val="20"/>
          <w:szCs w:val="20"/>
          <w:color w:val="auto"/>
        </w:rPr>
      </w:pPr>
    </w:p>
    <w:p>
      <w:pPr>
        <w:ind w:right="80" w:firstLine="480"/>
        <w:spacing w:after="0" w:line="259" w:lineRule="auto"/>
        <w:rPr>
          <w:sz w:val="20"/>
          <w:szCs w:val="20"/>
          <w:color w:val="auto"/>
        </w:rPr>
      </w:pPr>
      <w:r>
        <w:rPr>
          <w:rFonts w:ascii="Times New Roman" w:cs="Times New Roman" w:eastAsia="Times New Roman" w:hAnsi="Times New Roman"/>
          <w:sz w:val="10"/>
          <w:szCs w:val="10"/>
          <w:color w:val="auto"/>
        </w:rPr>
        <w:t>Following the Closing, the board of directors established three standing committees: (i) an audit committee (the "</w:t>
      </w:r>
      <w:r>
        <w:rPr>
          <w:rFonts w:ascii="Times New Roman" w:cs="Times New Roman" w:eastAsia="Times New Roman" w:hAnsi="Times New Roman"/>
          <w:sz w:val="10"/>
          <w:szCs w:val="10"/>
          <w:b w:val="1"/>
          <w:bCs w:val="1"/>
          <w:i w:val="1"/>
          <w:iCs w:val="1"/>
          <w:color w:val="auto"/>
        </w:rPr>
        <w:t>Audit Committee</w:t>
      </w:r>
      <w:r>
        <w:rPr>
          <w:rFonts w:ascii="Times New Roman" w:cs="Times New Roman" w:eastAsia="Times New Roman" w:hAnsi="Times New Roman"/>
          <w:sz w:val="10"/>
          <w:szCs w:val="10"/>
          <w:color w:val="auto"/>
        </w:rPr>
        <w:t xml:space="preserve">"), (ii) a remuneration committee (the " </w:t>
      </w:r>
      <w:r>
        <w:rPr>
          <w:rFonts w:ascii="Times New Roman" w:cs="Times New Roman" w:eastAsia="Times New Roman" w:hAnsi="Times New Roman"/>
          <w:sz w:val="10"/>
          <w:szCs w:val="10"/>
          <w:b w:val="1"/>
          <w:bCs w:val="1"/>
          <w:i w:val="1"/>
          <w:iCs w:val="1"/>
          <w:color w:val="auto"/>
        </w:rPr>
        <w:t>Remuneration Committee</w:t>
      </w:r>
      <w:r>
        <w:rPr>
          <w:rFonts w:ascii="Times New Roman" w:cs="Times New Roman" w:eastAsia="Times New Roman" w:hAnsi="Times New Roman"/>
          <w:sz w:val="10"/>
          <w:szCs w:val="10"/>
          <w:color w:val="auto"/>
        </w:rPr>
        <w:t>"), and (iii) a nominating and corporate governance committee (the "</w:t>
      </w:r>
      <w:r>
        <w:rPr>
          <w:rFonts w:ascii="Times New Roman" w:cs="Times New Roman" w:eastAsia="Times New Roman" w:hAnsi="Times New Roman"/>
          <w:sz w:val="10"/>
          <w:szCs w:val="10"/>
          <w:b w:val="1"/>
          <w:bCs w:val="1"/>
          <w:i w:val="1"/>
          <w:iCs w:val="1"/>
          <w:color w:val="auto"/>
        </w:rPr>
        <w:t>Nominating and Corporate Governance Committee</w:t>
      </w:r>
      <w:r>
        <w:rPr>
          <w:rFonts w:ascii="Times New Roman" w:cs="Times New Roman" w:eastAsia="Times New Roman" w:hAnsi="Times New Roman"/>
          <w:sz w:val="10"/>
          <w:szCs w:val="10"/>
          <w:color w:val="auto"/>
        </w:rPr>
        <w:t>"). In addition, from time to time, special committees may be established under the direction of our board of directors when necessary to address specific issues.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Audit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Audit Committee is responsible for, among other things:</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•meeting with our independent registered accounting firm regarding, among other issues, audits, and adequacy of our accounting and control systems; •monitoring the independence of the independent registered public accounting firm;</w:t>
      </w:r>
    </w:p>
    <w:p>
      <w:pPr>
        <w:ind w:left="480" w:right="3000"/>
        <w:spacing w:after="0" w:line="360" w:lineRule="auto"/>
        <w:rPr>
          <w:sz w:val="20"/>
          <w:szCs w:val="20"/>
          <w:color w:val="auto"/>
        </w:rPr>
      </w:pPr>
      <w:r>
        <w:rPr>
          <w:rFonts w:ascii="Times New Roman" w:cs="Times New Roman" w:eastAsia="Times New Roman" w:hAnsi="Times New Roman"/>
          <w:sz w:val="10"/>
          <w:szCs w:val="10"/>
          <w:color w:val="auto"/>
        </w:rPr>
        <w:t>•verifying the rotation of the lead (or coordinating) audit partner having primary responsibility for the audit and the audit partner responsible for reviewing the audit as required by law; •inquiring and discussing with management our compliance with applicable laws and regulations;</w:t>
      </w:r>
    </w:p>
    <w:p>
      <w:pPr>
        <w:ind w:left="480" w:right="2440"/>
        <w:spacing w:after="0" w:line="360" w:lineRule="auto"/>
        <w:rPr>
          <w:sz w:val="20"/>
          <w:szCs w:val="20"/>
          <w:color w:val="auto"/>
        </w:rPr>
      </w:pPr>
      <w:r>
        <w:rPr>
          <w:rFonts w:ascii="Times New Roman" w:cs="Times New Roman" w:eastAsia="Times New Roman" w:hAnsi="Times New Roman"/>
          <w:sz w:val="10"/>
          <w:szCs w:val="10"/>
          <w:color w:val="auto"/>
        </w:rPr>
        <w:t>•pre-approving all audit services and permitted non-audit services to be performed by our independent registered public accounting firm, including the fees and terms of the services to be performed; •appointing or replacing the independent registered public accounting firm;</w:t>
      </w:r>
    </w:p>
    <w:p>
      <w:pPr>
        <w:ind w:left="480" w:right="160"/>
        <w:spacing w:after="0" w:line="255" w:lineRule="auto"/>
        <w:rPr>
          <w:sz w:val="20"/>
          <w:szCs w:val="20"/>
          <w:color w:val="auto"/>
        </w:rPr>
      </w:pPr>
      <w:r>
        <w:rPr>
          <w:rFonts w:ascii="Times New Roman" w:cs="Times New Roman" w:eastAsia="Times New Roman" w:hAnsi="Times New Roman"/>
          <w:sz w:val="10"/>
          <w:szCs w:val="10"/>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policies on risk assessment and risk management;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related person transactions.</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0"/>
          <w:szCs w:val="10"/>
          <w:b w:val="1"/>
          <w:bCs w:val="1"/>
          <w:i w:val="1"/>
          <w:iCs w:val="1"/>
          <w:color w:val="auto"/>
        </w:rPr>
        <w:t>Remuneration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Remuneration Committee is responsible for, among other things:</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and approving the compensation of all of our other executive officers;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executive compensation policies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•implementing and administering our incentive compensation equity-based remuneration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•assisting management in complying with any disclosure requirements;</w:t>
      </w:r>
    </w:p>
    <w:p>
      <w:pPr>
        <w:spacing w:after="0" w:line="58" w:lineRule="exact"/>
        <w:rPr>
          <w:sz w:val="20"/>
          <w:szCs w:val="20"/>
          <w:color w:val="auto"/>
        </w:rPr>
      </w:pPr>
    </w:p>
    <w:p>
      <w:pPr>
        <w:ind w:left="480" w:right="4420"/>
        <w:spacing w:after="0" w:line="370" w:lineRule="auto"/>
        <w:rPr>
          <w:sz w:val="20"/>
          <w:szCs w:val="20"/>
          <w:color w:val="auto"/>
        </w:rPr>
      </w:pPr>
      <w:r>
        <w:rPr>
          <w:rFonts w:ascii="Times New Roman" w:cs="Times New Roman" w:eastAsia="Times New Roman" w:hAnsi="Times New Roman"/>
          <w:sz w:val="10"/>
          <w:szCs w:val="10"/>
          <w:color w:val="auto"/>
        </w:rPr>
        <w:t>•approving all special perquisites, special cash payments and other special compensation and benefit arrangements for our officers and employees; •reviewing, evaluating and recommending changes, if appropriate, to the remuneration for directors.; and •retaining and overseeing any compensation consultants.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Remuneration Committee consists of Anthony Sharp and Steve Perry, with Steve Perry serving as the chair of the committee. Our board of directors has adopted a written terms of reference for the Remuneration Committee, which is available on our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website.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Nominating and Corporate Governance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Nominating and Corporate Governance Committee is responsible for, among other things: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individuals qualified to become members of our board of directors;</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•recommending to our board of directors the persons to be nominated for election as directors and to each of the committees of our board of directors; •reviewing and making recommendations to our board of directors with respect to our board leadership structure; •reviewing and making recommendations to our board of directors with respect to management succession planning; and</w:t>
      </w:r>
    </w:p>
    <w:p>
      <w:pPr>
        <w:ind w:left="480"/>
        <w:spacing w:after="0"/>
        <w:rPr>
          <w:sz w:val="20"/>
          <w:szCs w:val="20"/>
          <w:color w:val="auto"/>
        </w:rPr>
      </w:pPr>
      <w:r>
        <w:rPr>
          <w:rFonts w:ascii="Times New Roman" w:cs="Times New Roman" w:eastAsia="Times New Roman" w:hAnsi="Times New Roman"/>
          <w:sz w:val="10"/>
          <w:szCs w:val="10"/>
          <w:color w:val="auto"/>
        </w:rPr>
        <w:t>•developing and recommending to our board of directors corporate governance principles.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Code of Ethics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Limitation on Liability and Indemnification of Officers and Directors</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has also purchased a policy of directors’ and officers’ liability insurance effective upon completion of the Business Combination that insures our officers and directors against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0"/>
          <w:szCs w:val="10"/>
          <w:color w:val="auto"/>
        </w:rPr>
        <w:t>cost of defense, settlement or payment of a judgment in some circumstances and insures us against our obligations to indemnify our officers and directors.</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that these provisions, the insurance and the indemnity agreements are necessary to attract and retain talented and experienced officers and directors.</w:t>
      </w:r>
    </w:p>
    <w:p>
      <w:pPr>
        <w:spacing w:after="0" w:line="116" w:lineRule="exact"/>
        <w:rPr>
          <w:sz w:val="20"/>
          <w:szCs w:val="20"/>
          <w:color w:val="auto"/>
        </w:rPr>
      </w:pPr>
    </w:p>
    <w:p>
      <w:pPr>
        <w:ind w:right="200" w:firstLine="480"/>
        <w:spacing w:after="0" w:line="259" w:lineRule="auto"/>
        <w:rPr>
          <w:sz w:val="20"/>
          <w:szCs w:val="20"/>
          <w:color w:val="auto"/>
        </w:rPr>
      </w:pPr>
      <w:r>
        <w:rPr>
          <w:rFonts w:ascii="Times New Roman" w:cs="Times New Roman" w:eastAsia="Times New Roman" w:hAnsi="Times New Roman"/>
          <w:sz w:val="10"/>
          <w:szCs w:val="10"/>
          <w:color w:val="auto"/>
        </w:rPr>
        <w:t>For further details on the indemnity provisions referred to in our articles of association, see the section entitled “</w:t>
      </w:r>
      <w:r>
        <w:rPr>
          <w:rFonts w:ascii="Times New Roman" w:cs="Times New Roman" w:eastAsia="Times New Roman" w:hAnsi="Times New Roman"/>
          <w:sz w:val="10"/>
          <w:szCs w:val="10"/>
          <w:i w:val="1"/>
          <w:iCs w:val="1"/>
          <w:color w:val="auto"/>
        </w:rPr>
        <w:t>Description of Ordinary Shares and Articles of Association</w:t>
      </w:r>
      <w:r>
        <w:rPr>
          <w:rFonts w:ascii="Times New Roman" w:cs="Times New Roman" w:eastAsia="Times New Roman" w:hAnsi="Times New Roman"/>
          <w:sz w:val="10"/>
          <w:szCs w:val="10"/>
          <w:color w:val="auto"/>
        </w:rPr>
        <w:t>” of this prospectus, and for a summary of the indemnification agreement, see the section entitled “</w:t>
      </w:r>
      <w:r>
        <w:rPr>
          <w:rFonts w:ascii="Times New Roman" w:cs="Times New Roman" w:eastAsia="Times New Roman" w:hAnsi="Times New Roman"/>
          <w:sz w:val="10"/>
          <w:szCs w:val="10"/>
          <w:i w:val="1"/>
          <w:iCs w:val="1"/>
          <w:color w:val="auto"/>
        </w:rPr>
        <w:t>Indemnification Agreements with Officers and Directors</w:t>
      </w:r>
      <w:r>
        <w:rPr>
          <w:rFonts w:ascii="Times New Roman" w:cs="Times New Roman" w:eastAsia="Times New Roman" w:hAnsi="Times New Roman"/>
          <w:sz w:val="10"/>
          <w:szCs w:val="10"/>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Executive Officer and Director Compensation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cash compensation paid by Rezolve and its subsidiaries to its executive officers and directors for the year ended December 31, 2022 was $2,213,626.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Executive Officer and Director Compensation Following Completion of the Proposed Transactions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95" w:right="72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Daniel Wagner</w:t>
      </w:r>
    </w:p>
    <w:p>
      <w:pPr>
        <w:spacing w:after="0" w:line="60" w:lineRule="exact"/>
        <w:rPr>
          <w:sz w:val="20"/>
          <w:szCs w:val="20"/>
          <w:color w:val="auto"/>
        </w:rPr>
      </w:pPr>
    </w:p>
    <w:p>
      <w:pPr>
        <w:jc w:val="both"/>
        <w:ind w:right="280" w:firstLine="480"/>
        <w:spacing w:after="0" w:line="255" w:lineRule="auto"/>
        <w:rPr>
          <w:sz w:val="20"/>
          <w:szCs w:val="20"/>
          <w:color w:val="auto"/>
        </w:rPr>
      </w:pPr>
      <w:r>
        <w:rPr>
          <w:rFonts w:ascii="Times New Roman" w:cs="Times New Roman" w:eastAsia="Times New Roman" w:hAnsi="Times New Roman"/>
          <w:sz w:val="10"/>
          <w:szCs w:val="10"/>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01" w:lineRule="exact"/>
        <w:rPr>
          <w:sz w:val="20"/>
          <w:szCs w:val="20"/>
          <w:color w:val="auto"/>
        </w:rPr>
      </w:pPr>
    </w:p>
    <w:p>
      <w:pPr>
        <w:jc w:val="both"/>
        <w:ind w:right="260" w:firstLine="480"/>
        <w:spacing w:after="0" w:line="245" w:lineRule="auto"/>
        <w:rPr>
          <w:sz w:val="20"/>
          <w:szCs w:val="20"/>
          <w:color w:val="auto"/>
        </w:rPr>
      </w:pPr>
      <w:r>
        <w:rPr>
          <w:rFonts w:ascii="Times New Roman" w:cs="Times New Roman" w:eastAsia="Times New Roman" w:hAnsi="Times New Roman"/>
          <w:sz w:val="10"/>
          <w:szCs w:val="10"/>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Richard Burchill</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Non-executive Director Letters of Appointment (John Wagner, Anthony Sharp, Sir David Wright, Derek Smith, Stephen Perry, and Stephen Herbert)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(John Wagner, Anthony Sharp, Sir David Wright, Derek Smith, and Stephen Perry)</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01"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(d Stephen Herbert)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CERTAIN RELATIONSHIPS AND RELATED PARTY TRANSACTIONS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Relationship with Daniel Wagner</w:t>
      </w:r>
    </w:p>
    <w:p>
      <w:pPr>
        <w:spacing w:after="0" w:line="58" w:lineRule="exact"/>
        <w:rPr>
          <w:sz w:val="20"/>
          <w:szCs w:val="20"/>
          <w:color w:val="auto"/>
        </w:rPr>
      </w:pPr>
    </w:p>
    <w:p>
      <w:pPr>
        <w:ind w:right="20" w:firstLine="480"/>
        <w:spacing w:after="0" w:line="315" w:lineRule="auto"/>
        <w:rPr>
          <w:sz w:val="20"/>
          <w:szCs w:val="20"/>
          <w:color w:val="auto"/>
        </w:rPr>
      </w:pPr>
      <w:r>
        <w:rPr>
          <w:rFonts w:ascii="Times New Roman" w:cs="Times New Roman" w:eastAsia="Times New Roman" w:hAnsi="Times New Roman"/>
          <w:sz w:val="9"/>
          <w:szCs w:val="9"/>
          <w:color w:val="auto"/>
        </w:rPr>
        <w:t>We have debt outstanding to DBLP Sea Cow Limited (a company incorporated in the Seychelles) (“</w:t>
      </w:r>
      <w:r>
        <w:rPr>
          <w:rFonts w:ascii="Times New Roman" w:cs="Times New Roman" w:eastAsia="Times New Roman" w:hAnsi="Times New Roman"/>
          <w:sz w:val="9"/>
          <w:szCs w:val="9"/>
          <w:b w:val="1"/>
          <w:bCs w:val="1"/>
          <w:i w:val="1"/>
          <w:iCs w:val="1"/>
          <w:color w:val="auto"/>
        </w:rPr>
        <w:t>DBLP</w:t>
      </w:r>
      <w:r>
        <w:rPr>
          <w:rFonts w:ascii="Times New Roman" w:cs="Times New Roman" w:eastAsia="Times New Roman" w:hAnsi="Times New Roman"/>
          <w:sz w:val="9"/>
          <w:szCs w:val="9"/>
          <w:color w:val="auto"/>
        </w:rPr>
        <w:t>”),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7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Indemnification Agreements with Officers and Directors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Rezolve has also purchased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Policies and Procedures for Related Person Transactions</w:t>
      </w:r>
    </w:p>
    <w:p>
      <w:pPr>
        <w:spacing w:after="0" w:line="60" w:lineRule="exact"/>
        <w:rPr>
          <w:sz w:val="20"/>
          <w:szCs w:val="20"/>
          <w:color w:val="auto"/>
        </w:rPr>
      </w:pPr>
    </w:p>
    <w:p>
      <w:pPr>
        <w:ind w:right="80" w:firstLine="480"/>
        <w:spacing w:after="0" w:line="310" w:lineRule="auto"/>
        <w:rPr>
          <w:sz w:val="20"/>
          <w:szCs w:val="20"/>
          <w:color w:val="auto"/>
        </w:rPr>
      </w:pPr>
      <w:r>
        <w:rPr>
          <w:rFonts w:ascii="Times New Roman" w:cs="Times New Roman" w:eastAsia="Times New Roman" w:hAnsi="Times New Roman"/>
          <w:sz w:val="9"/>
          <w:szCs w:val="9"/>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or at any time during the applicable period was, one of Rezolve’s executive officers or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known by Rezolve to be the beneficial owner of more than 5% of Rezolve voting shares;</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immediate family member of any of the foregoing persons, which means any child, stepchild, parent, stepparent, spouse, sibling, mother- in-law, father-in-law, son- in- law, daughter-in- law, brother in- law or sister-in -law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firm, corporation or other entity in which any of the foregoing persons is a partner or principal, or in a similar position, or in which such person has a 10% or greater beneficial ownership interest.</w:t>
      </w:r>
    </w:p>
    <w:p>
      <w:pPr>
        <w:spacing w:after="0" w:line="11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10" w:name="page111"/>
    <w:bookmarkEnd w:id="110"/>
    <w:p>
      <w:pPr>
        <w:ind w:left="4300"/>
        <w:spacing w:after="0"/>
        <w:rPr>
          <w:sz w:val="20"/>
          <w:szCs w:val="20"/>
          <w:color w:val="auto"/>
        </w:rPr>
      </w:pPr>
      <w:r>
        <w:rPr>
          <w:rFonts w:ascii="Times New Roman" w:cs="Times New Roman" w:eastAsia="Times New Roman" w:hAnsi="Times New Roman"/>
          <w:sz w:val="10"/>
          <w:szCs w:val="10"/>
          <w:b w:val="1"/>
          <w:bCs w:val="1"/>
          <w:color w:val="auto"/>
        </w:rPr>
        <w:t>BENEFICIAL OWNERSHIP OF SECURITIES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information known to us regarding the beneficial ownership of our Ordinary Shares as of October 28,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person known by us to be the beneficial owner of more than 5%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of our executive officers and directors;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our executive officers and directors as a group.</w:t>
      </w:r>
    </w:p>
    <w:p>
      <w:pPr>
        <w:spacing w:after="0" w:line="11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 xml:space="preserve">The percentage of Ordinary Shares beneficially owned is computed on the basis of 172,182,769 Ordinary Shares outstanding as of October 28, 2024, after giving effect to the Business Combination, and does not include (i) 8,069,976 Ordinary Shares issuable upon the exercise of outstanding Warrants; (ii) 20,895,861 Ordinary Shares issuable upon the conversion of the Convertible Notes; (iii) 15,374,145 Ordinary Shares issuable pursuant to the advanced subscription agreements; (iv) 4,838,779 Ordinary Shares issuable pursuant to an agreement with </w:t>
      </w:r>
      <w:r>
        <w:rPr>
          <w:rFonts w:ascii="Times New Roman" w:cs="Times New Roman" w:eastAsia="Times New Roman" w:hAnsi="Times New Roman"/>
          <w:sz w:val="10"/>
          <w:szCs w:val="10"/>
          <w:color w:val="212529"/>
        </w:rPr>
        <w:t>YA II PN, LTD; (v) 1,071,429 Ordinary Shares issuable upon conversion of the YA Notes; (vii) 400,625 Ordinary Shares issuable pursuant to the Northland Note</w:t>
      </w:r>
      <w:r>
        <w:rPr>
          <w:rFonts w:ascii="Times New Roman" w:cs="Times New Roman" w:eastAsia="Times New Roman" w:hAnsi="Times New Roman"/>
          <w:sz w:val="10"/>
          <w:szCs w:val="10"/>
          <w:color w:val="auto"/>
        </w:rPr>
        <w:t xml:space="preserve"> and (viii) 545,373 Ordinary Shares issuable upon the conversion of the Promissory Notes (as defined herein). .</w:t>
      </w:r>
    </w:p>
    <w:p>
      <w:pPr>
        <w:spacing w:after="0" w:line="108"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b w:val="1"/>
                <w:bCs w:val="1"/>
                <w:i w:val="1"/>
                <w:iCs w:val="1"/>
                <w:color w:val="auto"/>
              </w:rPr>
              <w:t>Name of Beneficial Owners</w:t>
            </w:r>
            <w:r>
              <w:rPr>
                <w:rFonts w:ascii="Times New Roman" w:cs="Times New Roman" w:eastAsia="Times New Roman" w:hAnsi="Times New Roman"/>
                <w:sz w:val="13"/>
                <w:szCs w:val="13"/>
                <w:i w:val="1"/>
                <w:iCs w:val="1"/>
                <w:color w:val="auto"/>
                <w:vertAlign w:val="superscript"/>
              </w:rPr>
              <w:t>(1)</w:t>
            </w:r>
          </w:p>
        </w:tc>
        <w:tc>
          <w:tcPr>
            <w:tcW w:w="2060" w:type="dxa"/>
            <w:vAlign w:val="bottom"/>
          </w:tcPr>
          <w:p>
            <w:pPr>
              <w:spacing w:after="0"/>
              <w:rPr>
                <w:sz w:val="12"/>
                <w:szCs w:val="12"/>
                <w:color w:val="auto"/>
              </w:rPr>
            </w:pPr>
          </w:p>
        </w:tc>
        <w:tc>
          <w:tcPr>
            <w:tcW w:w="5860" w:type="dxa"/>
            <w:vAlign w:val="bottom"/>
          </w:tcPr>
          <w:p>
            <w:pPr>
              <w:spacing w:after="0"/>
              <w:rPr>
                <w:sz w:val="12"/>
                <w:szCs w:val="12"/>
                <w:color w:val="auto"/>
              </w:rPr>
            </w:pPr>
          </w:p>
        </w:tc>
      </w:tr>
      <w:tr>
        <w:trPr>
          <w:trHeight w:val="113"/>
        </w:trPr>
        <w:tc>
          <w:tcPr>
            <w:tcW w:w="2700" w:type="dxa"/>
            <w:vAlign w:val="bottom"/>
          </w:tcPr>
          <w:p>
            <w:pPr>
              <w:ind w:left="40"/>
              <w:spacing w:after="0" w:line="114" w:lineRule="exact"/>
              <w:rPr>
                <w:sz w:val="20"/>
                <w:szCs w:val="20"/>
                <w:color w:val="auto"/>
              </w:rPr>
            </w:pPr>
            <w:r>
              <w:rPr>
                <w:rFonts w:ascii="Times New Roman" w:cs="Times New Roman" w:eastAsia="Times New Roman" w:hAnsi="Times New Roman"/>
                <w:sz w:val="10"/>
                <w:szCs w:val="10"/>
                <w:b w:val="1"/>
                <w:bCs w:val="1"/>
                <w:i w:val="1"/>
                <w:iCs w:val="1"/>
                <w:color w:val="auto"/>
              </w:rPr>
              <w:t>Directors and Executive Officers</w:t>
            </w:r>
          </w:p>
        </w:tc>
        <w:tc>
          <w:tcPr>
            <w:tcW w:w="2060" w:type="dxa"/>
            <w:vAlign w:val="bottom"/>
          </w:tcPr>
          <w:p>
            <w:pPr>
              <w:ind w:left="860"/>
              <w:spacing w:after="0" w:line="114" w:lineRule="exact"/>
              <w:rPr>
                <w:sz w:val="20"/>
                <w:szCs w:val="20"/>
                <w:color w:val="auto"/>
              </w:rPr>
            </w:pPr>
            <w:r>
              <w:rPr>
                <w:rFonts w:ascii="Times New Roman" w:cs="Times New Roman" w:eastAsia="Times New Roman" w:hAnsi="Times New Roman"/>
                <w:sz w:val="10"/>
                <w:szCs w:val="10"/>
                <w:b w:val="1"/>
                <w:bCs w:val="1"/>
                <w:i w:val="1"/>
                <w:iCs w:val="1"/>
                <w:color w:val="auto"/>
              </w:rPr>
              <w:t>Number of Shares</w:t>
            </w:r>
          </w:p>
        </w:tc>
        <w:tc>
          <w:tcPr>
            <w:tcW w:w="5860" w:type="dxa"/>
            <w:vAlign w:val="bottom"/>
          </w:tcPr>
          <w:p>
            <w:pPr>
              <w:ind w:left="2300"/>
              <w:spacing w:after="0" w:line="114" w:lineRule="exact"/>
              <w:rPr>
                <w:sz w:val="20"/>
                <w:szCs w:val="20"/>
                <w:color w:val="auto"/>
              </w:rPr>
            </w:pPr>
            <w:r>
              <w:rPr>
                <w:rFonts w:ascii="Times New Roman" w:cs="Times New Roman" w:eastAsia="Times New Roman" w:hAnsi="Times New Roman"/>
                <w:sz w:val="10"/>
                <w:szCs w:val="10"/>
                <w:b w:val="1"/>
                <w:bCs w:val="1"/>
                <w:i w:val="1"/>
                <w:iCs w:val="1"/>
                <w:color w:val="auto"/>
              </w:rPr>
              <w:t>%</w:t>
            </w:r>
          </w:p>
        </w:tc>
      </w:tr>
      <w:tr>
        <w:trPr>
          <w:trHeight w:val="128"/>
        </w:trPr>
        <w:tc>
          <w:tcPr>
            <w:tcW w:w="2700" w:type="dxa"/>
            <w:vAlign w:val="bottom"/>
          </w:tcPr>
          <w:p>
            <w:pPr>
              <w:ind w:left="40"/>
              <w:spacing w:after="0" w:line="128" w:lineRule="exact"/>
              <w:rPr>
                <w:sz w:val="20"/>
                <w:szCs w:val="20"/>
                <w:color w:val="auto"/>
              </w:rPr>
            </w:pPr>
            <w:r>
              <w:rPr>
                <w:rFonts w:ascii="Times New Roman" w:cs="Times New Roman" w:eastAsia="Times New Roman" w:hAnsi="Times New Roman"/>
                <w:sz w:val="10"/>
                <w:szCs w:val="10"/>
                <w:color w:val="auto"/>
              </w:rPr>
              <w:t>Daniel Wagner</w:t>
            </w:r>
            <w:r>
              <w:rPr>
                <w:rFonts w:ascii="Times New Roman" w:cs="Times New Roman" w:eastAsia="Times New Roman" w:hAnsi="Times New Roman"/>
                <w:sz w:val="13"/>
                <w:szCs w:val="13"/>
                <w:i w:val="1"/>
                <w:iCs w:val="1"/>
                <w:color w:val="auto"/>
                <w:vertAlign w:val="superscript"/>
              </w:rPr>
              <w:t>(2)</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39,965,221</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23.21%</w:t>
            </w:r>
          </w:p>
        </w:tc>
      </w:tr>
      <w:tr>
        <w:trPr>
          <w:trHeight w:val="144"/>
        </w:trPr>
        <w:tc>
          <w:tcPr>
            <w:tcW w:w="2700" w:type="dxa"/>
            <w:vAlign w:val="bottom"/>
          </w:tcPr>
          <w:p>
            <w:pPr>
              <w:ind w:left="40"/>
              <w:spacing w:after="0" w:line="144" w:lineRule="exact"/>
              <w:rPr>
                <w:sz w:val="20"/>
                <w:szCs w:val="20"/>
                <w:color w:val="auto"/>
              </w:rPr>
            </w:pPr>
            <w:r>
              <w:rPr>
                <w:rFonts w:ascii="Times New Roman" w:cs="Times New Roman" w:eastAsia="Times New Roman" w:hAnsi="Times New Roman"/>
                <w:sz w:val="10"/>
                <w:szCs w:val="10"/>
                <w:color w:val="auto"/>
              </w:rPr>
              <w:t>John Wagner</w:t>
            </w:r>
            <w:r>
              <w:rPr>
                <w:rFonts w:ascii="Times New Roman" w:cs="Times New Roman" w:eastAsia="Times New Roman" w:hAnsi="Times New Roman"/>
                <w:sz w:val="13"/>
                <w:szCs w:val="13"/>
                <w:i w:val="1"/>
                <w:iCs w:val="1"/>
                <w:color w:val="auto"/>
                <w:vertAlign w:val="superscript"/>
              </w:rPr>
              <w:t>(3)</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36,082,705</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20.96%</w:t>
            </w:r>
          </w:p>
        </w:tc>
      </w:tr>
      <w:tr>
        <w:trPr>
          <w:trHeight w:val="125"/>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Anthony Sharp</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1,879,352</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1.09%</w:t>
            </w:r>
          </w:p>
        </w:tc>
      </w:tr>
      <w:tr>
        <w:trPr>
          <w:trHeight w:val="128"/>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Sir David Wright</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495,343</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Stephen Perry</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564,935</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Derek Smith</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Stephen Herbert</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298,436</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Peter Vesco</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1,142,384</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Richard Burchill</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300</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Sauvik Banerjee</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All directors and executive officers as a group</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45,565,901</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26.46%</w:t>
            </w:r>
          </w:p>
        </w:tc>
      </w:tr>
      <w:tr>
        <w:trPr>
          <w:trHeight w:val="241"/>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b w:val="1"/>
                <w:bCs w:val="1"/>
                <w:i w:val="1"/>
                <w:iCs w:val="1"/>
                <w:color w:val="auto"/>
              </w:rPr>
              <w:t>Five Percent Holders</w:t>
            </w:r>
          </w:p>
        </w:tc>
        <w:tc>
          <w:tcPr>
            <w:tcW w:w="20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144"/>
        </w:trPr>
        <w:tc>
          <w:tcPr>
            <w:tcW w:w="2700" w:type="dxa"/>
            <w:vAlign w:val="bottom"/>
          </w:tcPr>
          <w:p>
            <w:pPr>
              <w:ind w:left="40"/>
              <w:spacing w:after="0" w:line="144" w:lineRule="exact"/>
              <w:rPr>
                <w:sz w:val="20"/>
                <w:szCs w:val="20"/>
                <w:color w:val="auto"/>
              </w:rPr>
            </w:pPr>
            <w:r>
              <w:rPr>
                <w:rFonts w:ascii="Times New Roman" w:cs="Times New Roman" w:eastAsia="Times New Roman" w:hAnsi="Times New Roman"/>
                <w:sz w:val="10"/>
                <w:szCs w:val="10"/>
                <w:color w:val="auto"/>
              </w:rPr>
              <w:t>DBLP Sea Cow Limited</w:t>
            </w:r>
            <w:r>
              <w:rPr>
                <w:rFonts w:ascii="Times New Roman" w:cs="Times New Roman" w:eastAsia="Times New Roman" w:hAnsi="Times New Roman"/>
                <w:sz w:val="13"/>
                <w:szCs w:val="13"/>
                <w:i w:val="1"/>
                <w:iCs w:val="1"/>
                <w:color w:val="auto"/>
                <w:vertAlign w:val="superscript"/>
              </w:rPr>
              <w:t>(4)</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35,266,716</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20.48%</w:t>
            </w:r>
          </w:p>
        </w:tc>
      </w:tr>
      <w:tr>
        <w:trPr>
          <w:trHeight w:val="125"/>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Igor Lychagov</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34,771,000</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20.19%</w:t>
            </w:r>
          </w:p>
        </w:tc>
      </w:tr>
      <w:tr>
        <w:trPr>
          <w:trHeight w:val="116"/>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Brooks Newmark</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15,170,676</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8.81%</w:t>
            </w:r>
          </w:p>
        </w:tc>
      </w:tr>
      <w:tr>
        <w:trPr>
          <w:trHeight w:val="128"/>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Brad Wickens</w:t>
            </w:r>
          </w:p>
        </w:tc>
        <w:tc>
          <w:tcPr>
            <w:tcW w:w="2060" w:type="dxa"/>
            <w:vAlign w:val="bottom"/>
          </w:tcPr>
          <w:p>
            <w:pPr>
              <w:ind w:left="860"/>
              <w:spacing w:after="0" w:line="128" w:lineRule="exact"/>
              <w:rPr>
                <w:sz w:val="20"/>
                <w:szCs w:val="20"/>
                <w:color w:val="auto"/>
              </w:rPr>
            </w:pPr>
            <w:r>
              <w:rPr>
                <w:rFonts w:ascii="Times New Roman" w:cs="Times New Roman" w:eastAsia="Times New Roman" w:hAnsi="Times New Roman"/>
                <w:sz w:val="10"/>
                <w:szCs w:val="10"/>
                <w:color w:val="auto"/>
              </w:rPr>
              <w:t>9,138,778</w:t>
            </w:r>
            <w:r>
              <w:rPr>
                <w:rFonts w:ascii="Times New Roman" w:cs="Times New Roman" w:eastAsia="Times New Roman" w:hAnsi="Times New Roman"/>
                <w:sz w:val="13"/>
                <w:szCs w:val="13"/>
                <w:color w:val="auto"/>
                <w:vertAlign w:val="superscript"/>
              </w:rPr>
              <w:t>(5)</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5.31%</w:t>
            </w:r>
          </w:p>
        </w:tc>
      </w:tr>
      <w:tr>
        <w:trPr>
          <w:trHeight w:val="142"/>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Aperion Investment Group Limited</w:t>
            </w:r>
          </w:p>
        </w:tc>
        <w:tc>
          <w:tcPr>
            <w:tcW w:w="2060" w:type="dxa"/>
            <w:vAlign w:val="bottom"/>
          </w:tcPr>
          <w:p>
            <w:pPr>
              <w:ind w:left="860"/>
              <w:spacing w:after="0" w:line="142" w:lineRule="exact"/>
              <w:rPr>
                <w:sz w:val="20"/>
                <w:szCs w:val="20"/>
                <w:color w:val="auto"/>
              </w:rPr>
            </w:pPr>
            <w:r>
              <w:rPr>
                <w:rFonts w:ascii="Times New Roman" w:cs="Times New Roman" w:eastAsia="Times New Roman" w:hAnsi="Times New Roman"/>
                <w:sz w:val="10"/>
                <w:szCs w:val="10"/>
                <w:color w:val="auto"/>
              </w:rPr>
              <w:t>10,712,645</w:t>
            </w:r>
            <w:r>
              <w:rPr>
                <w:rFonts w:ascii="Times New Roman" w:cs="Times New Roman" w:eastAsia="Times New Roman" w:hAnsi="Times New Roman"/>
                <w:sz w:val="13"/>
                <w:szCs w:val="13"/>
                <w:color w:val="auto"/>
                <w:vertAlign w:val="superscript"/>
              </w:rPr>
              <w:t>(6)</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6.22%</w:t>
            </w:r>
          </w:p>
        </w:tc>
      </w:tr>
      <w:tr>
        <w:trPr>
          <w:trHeight w:val="125"/>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Aston Wagner</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9,955,060</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5.78%</w:t>
            </w:r>
          </w:p>
        </w:tc>
      </w:tr>
      <w:tr>
        <w:trPr>
          <w:trHeight w:val="127"/>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Cocoa Wagner</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9,955,060</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5.78%</w:t>
            </w:r>
          </w:p>
        </w:tc>
      </w:tr>
      <w:tr>
        <w:trPr>
          <w:trHeight w:val="353"/>
        </w:trPr>
        <w:tc>
          <w:tcPr>
            <w:tcW w:w="2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6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101</w:t>
            </w:r>
          </w:p>
        </w:tc>
      </w:tr>
      <w:tr>
        <w:trPr>
          <w:trHeight w:val="422"/>
        </w:trPr>
        <w:tc>
          <w:tcPr>
            <w:tcW w:w="270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5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11" w:name="page112"/>
    <w:bookmarkEnd w:id="111"/>
    <w:p>
      <w:pPr>
        <w:ind w:left="10"/>
        <w:spacing w:after="0"/>
        <w:rPr>
          <w:sz w:val="20"/>
          <w:szCs w:val="20"/>
          <w:color w:val="auto"/>
        </w:rPr>
      </w:pPr>
      <w:r>
        <w:rPr>
          <w:rFonts w:ascii="Times New Roman" w:cs="Times New Roman" w:eastAsia="Times New Roman" w:hAnsi="Times New Roman"/>
          <w:sz w:val="10"/>
          <w:szCs w:val="10"/>
          <w:color w:val="auto"/>
        </w:rPr>
        <w:t>* Less than one percent.</w:t>
      </w:r>
    </w:p>
    <w:p>
      <w:pPr>
        <w:spacing w:after="0" w:line="95" w:lineRule="exact"/>
        <w:rPr>
          <w:sz w:val="20"/>
          <w:szCs w:val="2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Unless otherwise indicated, the business address of each of the following owners is 3rd Floor, 80 New Bond Street, London, W1S 1SB, United Kingdom.</w:t>
      </w:r>
    </w:p>
    <w:p>
      <w:pPr>
        <w:spacing w:after="0" w:line="93" w:lineRule="exact"/>
        <w:rPr>
          <w:rFonts w:ascii="Times New Roman" w:cs="Times New Roman" w:eastAsia="Times New Roman" w:hAnsi="Times New Roman"/>
          <w:sz w:val="10"/>
          <w:szCs w:val="10"/>
          <w:color w:val="auto"/>
        </w:rPr>
      </w:pPr>
    </w:p>
    <w:p>
      <w:pPr>
        <w:ind w:left="10" w:right="120" w:hanging="10"/>
        <w:spacing w:after="0" w:line="259" w:lineRule="auto"/>
        <w:tabs>
          <w:tab w:leader="none" w:pos="14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4,698,505 shares directly held by Daniel Wagner and (ii) 35,266,716 shares directly held by DBLP Sea Cow Limited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DBLP is wholly legally owned by Mr. Wagner and Mr. Wagner is a director of DBLP and therefore Mr. Wagner may be deemed to share voting and investment power over the shares held by DBLP.</w:t>
      </w:r>
    </w:p>
    <w:p>
      <w:pPr>
        <w:spacing w:after="0" w:line="76" w:lineRule="exact"/>
        <w:rPr>
          <w:rFonts w:ascii="Times New Roman" w:cs="Times New Roman" w:eastAsia="Times New Roman" w:hAnsi="Times New Roman"/>
          <w:sz w:val="10"/>
          <w:szCs w:val="10"/>
          <w:color w:val="auto"/>
        </w:rPr>
      </w:pPr>
    </w:p>
    <w:p>
      <w:pPr>
        <w:ind w:left="10" w:hanging="10"/>
        <w:spacing w:after="0" w:line="255" w:lineRule="auto"/>
        <w:tabs>
          <w:tab w:leader="none" w:pos="14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815,989 shares directly held by John Wagner and (ii) 35,266,716 shares directly held by DBLP. DBLP is beneficially owned by Mr. John Wagner and Mr. John Wagner is a director of DBLP and therefore Mr. Wagner may be deemed to share voting and investment power over the shares held by DBLP.</w:t>
      </w:r>
    </w:p>
    <w:p>
      <w:pPr>
        <w:spacing w:after="0" w:line="78"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DBLP is wholly legally owned by Daniel Wagner and is wholly beneficially owned by John Wagner. Both Daniel Wagner and John Wagner are directors of DBLP.</w:t>
      </w:r>
    </w:p>
    <w:p>
      <w:pPr>
        <w:spacing w:after="0" w:line="95" w:lineRule="exact"/>
        <w:rPr>
          <w:rFonts w:ascii="Times New Roman" w:cs="Times New Roman" w:eastAsia="Times New Roman" w:hAnsi="Times New Roman"/>
          <w:sz w:val="10"/>
          <w:szCs w:val="10"/>
          <w:color w:val="auto"/>
        </w:rPr>
      </w:pPr>
    </w:p>
    <w:p>
      <w:pPr>
        <w:ind w:left="170" w:hanging="170"/>
        <w:spacing w:after="0"/>
        <w:tabs>
          <w:tab w:leader="none" w:pos="17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7,897,913 Ordinary Shares and (ii) 1,240,865 Ordinary Shares currently held by Apeiron on Brad Wickens' behalf.</w:t>
      </w:r>
    </w:p>
    <w:p>
      <w:pPr>
        <w:spacing w:after="0" w:line="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(60 Excludes 1,240,865 Ordinary Shares held by Brad Wickens.</w:t>
      </w:r>
    </w:p>
    <w:p>
      <w:pPr>
        <w:spacing w:after="0" w:line="118" w:lineRule="exact"/>
        <w:rPr>
          <w:sz w:val="20"/>
          <w:szCs w:val="20"/>
          <w:color w:val="auto"/>
        </w:rPr>
      </w:pPr>
    </w:p>
    <w:p>
      <w:pPr>
        <w:jc w:val="center"/>
        <w:ind w:right="-149"/>
        <w:spacing w:after="0"/>
        <w:rPr>
          <w:sz w:val="20"/>
          <w:szCs w:val="20"/>
          <w:color w:val="auto"/>
        </w:rPr>
      </w:pPr>
      <w:r>
        <w:rPr>
          <w:rFonts w:ascii="Times New Roman" w:cs="Times New Roman" w:eastAsia="Times New Roman" w:hAnsi="Times New Roman"/>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90"/>
          </w:cols>
          <w:pgMar w:left="630" w:top="1305" w:right="780" w:bottom="1440" w:gutter="0" w:footer="0" w:header="0"/>
        </w:sectPr>
      </w:pPr>
    </w:p>
    <w:bookmarkStart w:id="112" w:name="page113"/>
    <w:bookmarkEnd w:id="112"/>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SELLING HOLDERS</w:t>
      </w:r>
    </w:p>
    <w:p>
      <w:pPr>
        <w:spacing w:after="0" w:line="97"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 xml:space="preserve">This prospectus also relates to the resale by certain of the Selling Holders of up to 185,068,790 Ordinary Shares, consisting of (i) 122,655,854 Ordinary Shares; (ii) 569,982 Ordinary Shares issuable in respect of the Private Warrants; (iii) 39,612,603 Ordinary Shares issuable upon conversion of the Convertible Notes; (iv) 15,374,145 Ordinary Shares issuable pursuant to the advanced subscription agreements; (v) 4,838,779 Ordinary Shares issuable pursuant to the </w:t>
      </w:r>
      <w:r>
        <w:rPr>
          <w:rFonts w:ascii="Times New Roman" w:cs="Times New Roman" w:eastAsia="Times New Roman" w:hAnsi="Times New Roman"/>
          <w:sz w:val="10"/>
          <w:szCs w:val="10"/>
          <w:color w:val="212529"/>
        </w:rPr>
        <w:t>Second A&amp;R</w:t>
      </w:r>
      <w:r>
        <w:rPr>
          <w:rFonts w:ascii="Times New Roman" w:cs="Times New Roman" w:eastAsia="Times New Roman" w:hAnsi="Times New Roman"/>
          <w:sz w:val="10"/>
          <w:szCs w:val="10"/>
          <w:color w:val="auto"/>
        </w:rPr>
        <w:t xml:space="preserve"> YA Agreement; (vi) </w:t>
      </w:r>
      <w:r>
        <w:rPr>
          <w:rFonts w:ascii="Times New Roman" w:cs="Times New Roman" w:eastAsia="Times New Roman" w:hAnsi="Times New Roman"/>
          <w:sz w:val="10"/>
          <w:szCs w:val="10"/>
          <w:color w:val="212529"/>
        </w:rPr>
        <w:t>1,071,429 Ordinary Shares</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212529"/>
        </w:rPr>
        <w:t>issuable upon conversion of the YA Notes</w:t>
      </w:r>
      <w:r>
        <w:rPr>
          <w:rFonts w:ascii="Times New Roman" w:cs="Times New Roman" w:eastAsia="Times New Roman" w:hAnsi="Times New Roman"/>
          <w:sz w:val="10"/>
          <w:szCs w:val="10"/>
          <w:color w:val="000000"/>
        </w:rPr>
        <w:t>; (vii) 400,625 Ordinary Shares issuable upon conversion of the Northland Note and (viii) and 545,373 Ordinary Shares issuable upon the conversion of the Promissory Notes.</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Following the expiration of the applicable lock-up restrictions described herein, the sale of all of the securities registered for resale hereunder (and the Ordinary Shares issuable upon exercise of the Private Warrants and the conversion of the Rezolve Convertible Notes, the YA Note and the Promissory Notes),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0"/>
          <w:szCs w:val="10"/>
          <w:i w:val="1"/>
          <w:iCs w:val="1"/>
          <w:color w:val="auto"/>
        </w:rPr>
        <w:t>Risk Factors—Risks Related to the Company</w:t>
      </w:r>
      <w:r>
        <w:rPr>
          <w:rFonts w:ascii="Times New Roman" w:cs="Times New Roman" w:eastAsia="Times New Roman" w:hAnsi="Times New Roman"/>
          <w:sz w:val="10"/>
          <w:szCs w:val="10"/>
          <w:color w:val="auto"/>
        </w:rPr>
        <w:t>” for more information.</w:t>
      </w:r>
    </w:p>
    <w:p>
      <w:pPr>
        <w:spacing w:after="0" w:line="105"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 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Armada’s Sponsor purchased an aggregate of 459,500 private shares at a price of $10.00 per share for an aggregate purchase price of $4,595,000.</w:t>
      </w:r>
    </w:p>
    <w:p>
      <w:pPr>
        <w:spacing w:after="0" w:line="11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conversion of the Convertible Notes, the YA Note and the Promissory Notes are being registered by the registration statement of which this prospectus forms a part pursuant to the registration rights granted under certain of the Subscription Agreements and the Registration Rights Agreement.</w:t>
      </w:r>
    </w:p>
    <w:p>
      <w:pPr>
        <w:spacing w:after="0" w:line="11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percentage ownership prior to this offering on 172,182,769 Ordinary Shares outstanding as of October 28, 2024.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0"/>
          <w:szCs w:val="10"/>
          <w:color w:val="auto"/>
        </w:rPr>
        <w:t>We cannot advise you as to whether the Selling Holders will in fact sell any or all of such Ordinary Shares. In addition, the Selling Holders may sell, transfer or otherwise dispose of, at any time and from time to time, the Ordinary Shares in transactions</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0"/>
          <w:szCs w:val="10"/>
          <w:color w:val="auto"/>
        </w:rPr>
        <w:t>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25"/>
        </w:trPr>
        <w:tc>
          <w:tcPr>
            <w:tcW w:w="340" w:type="dxa"/>
            <w:vAlign w:val="bottom"/>
          </w:tcPr>
          <w:p>
            <w:pPr>
              <w:spacing w:after="0"/>
              <w:rPr>
                <w:sz w:val="10"/>
                <w:szCs w:val="10"/>
                <w:color w:val="auto"/>
              </w:rPr>
            </w:pPr>
          </w:p>
        </w:tc>
        <w:tc>
          <w:tcPr>
            <w:tcW w:w="61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w w:val="97"/>
              </w:rPr>
              <w:t>Unless otherwise indicated, the business address of each of the following owners is 3rd Floor, 80 New Bond Street, London, W1S 1SB, United Kingdom.</w:t>
            </w:r>
          </w:p>
        </w:tc>
        <w:tc>
          <w:tcPr>
            <w:tcW w:w="230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285"/>
        </w:trPr>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260" w:type="dxa"/>
            <w:vAlign w:val="bottom"/>
            <w:gridSpan w:val="2"/>
          </w:tcPr>
          <w:p>
            <w:pPr>
              <w:ind w:left="1660"/>
              <w:spacing w:after="0"/>
              <w:rPr>
                <w:sz w:val="20"/>
                <w:szCs w:val="20"/>
                <w:color w:val="auto"/>
              </w:rPr>
            </w:pPr>
            <w:r>
              <w:rPr>
                <w:rFonts w:ascii="Times New Roman" w:cs="Times New Roman" w:eastAsia="Times New Roman" w:hAnsi="Times New Roman"/>
                <w:sz w:val="10"/>
                <w:szCs w:val="10"/>
                <w:b w:val="1"/>
                <w:bCs w:val="1"/>
                <w:i w:val="1"/>
                <w:iCs w:val="1"/>
                <w:color w:val="auto"/>
              </w:rPr>
              <w:t>Ordinary Shares</w:t>
            </w:r>
            <w:r>
              <w:rPr>
                <w:rFonts w:ascii="Times New Roman" w:cs="Times New Roman" w:eastAsia="Times New Roman" w:hAnsi="Times New Roman"/>
                <w:sz w:val="13"/>
                <w:szCs w:val="13"/>
                <w:b w:val="1"/>
                <w:bCs w:val="1"/>
                <w:i w:val="1"/>
                <w:iCs w:val="1"/>
                <w:color w:val="auto"/>
                <w:vertAlign w:val="superscript"/>
              </w:rPr>
              <w:t>(1)</w:t>
            </w:r>
          </w:p>
        </w:tc>
        <w:tc>
          <w:tcPr>
            <w:tcW w:w="1760" w:type="dxa"/>
            <w:vAlign w:val="bottom"/>
          </w:tcPr>
          <w:p>
            <w:pPr>
              <w:spacing w:after="0"/>
              <w:rPr>
                <w:sz w:val="24"/>
                <w:szCs w:val="24"/>
                <w:color w:val="auto"/>
              </w:rPr>
            </w:pPr>
          </w:p>
        </w:tc>
      </w:tr>
      <w:tr>
        <w:trPr>
          <w:trHeight w:val="167"/>
        </w:trPr>
        <w:tc>
          <w:tcPr>
            <w:tcW w:w="34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Name</w:t>
            </w:r>
          </w:p>
        </w:tc>
        <w:tc>
          <w:tcPr>
            <w:tcW w:w="4160" w:type="dxa"/>
            <w:vAlign w:val="bottom"/>
          </w:tcPr>
          <w:p>
            <w:pPr>
              <w:ind w:left="2200"/>
              <w:spacing w:after="0"/>
              <w:rPr>
                <w:sz w:val="20"/>
                <w:szCs w:val="20"/>
                <w:color w:val="auto"/>
              </w:rPr>
            </w:pPr>
            <w:r>
              <w:rPr>
                <w:rFonts w:ascii="Times New Roman" w:cs="Times New Roman" w:eastAsia="Times New Roman" w:hAnsi="Times New Roman"/>
                <w:sz w:val="10"/>
                <w:szCs w:val="10"/>
                <w:b w:val="1"/>
                <w:bCs w:val="1"/>
                <w:i w:val="1"/>
                <w:iCs w:val="1"/>
                <w:color w:val="auto"/>
              </w:rPr>
              <w:t>Number Beneficially Owned Prior to Offering</w:t>
            </w: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b w:val="1"/>
                <w:bCs w:val="1"/>
                <w:i w:val="1"/>
                <w:iCs w:val="1"/>
                <w:color w:val="auto"/>
              </w:rPr>
              <w:t>Maximum Number Registered for Sale</w:t>
            </w:r>
          </w:p>
        </w:tc>
        <w:tc>
          <w:tcPr>
            <w:tcW w:w="2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i w:val="1"/>
                <w:iCs w:val="1"/>
                <w:color w:val="auto"/>
              </w:rPr>
              <w:t>Number Beneficially Owned After the Offered Shares</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i w:val="1"/>
                <w:iCs w:val="1"/>
                <w:color w:val="auto"/>
                <w:w w:val="95"/>
              </w:rPr>
              <w:t>Percent Owned After the Offered Shares</w:t>
            </w:r>
          </w:p>
        </w:tc>
      </w:tr>
      <w:tr>
        <w:trPr>
          <w:trHeight w:val="178"/>
        </w:trPr>
        <w:tc>
          <w:tcPr>
            <w:tcW w:w="3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0"/>
                <w:szCs w:val="10"/>
                <w:b w:val="1"/>
                <w:bCs w:val="1"/>
                <w:i w:val="1"/>
                <w:iCs w:val="1"/>
                <w:color w:val="auto"/>
              </w:rPr>
              <w:t>Hereby</w:t>
            </w:r>
          </w:p>
        </w:tc>
        <w:tc>
          <w:tcPr>
            <w:tcW w:w="2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i w:val="1"/>
                <w:iCs w:val="1"/>
                <w:color w:val="auto"/>
              </w:rPr>
              <w:t>are Sold</w:t>
            </w:r>
            <w:r>
              <w:rPr>
                <w:rFonts w:ascii="Times New Roman" w:cs="Times New Roman" w:eastAsia="Times New Roman" w:hAnsi="Times New Roman"/>
                <w:sz w:val="13"/>
                <w:szCs w:val="13"/>
                <w:b w:val="1"/>
                <w:bCs w:val="1"/>
                <w:i w:val="1"/>
                <w:iCs w:val="1"/>
                <w:color w:val="auto"/>
                <w:vertAlign w:val="superscript"/>
              </w:rPr>
              <w:t>(2)</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i w:val="1"/>
                <w:iCs w:val="1"/>
                <w:color w:val="auto"/>
              </w:rPr>
              <w:t>are Sold</w:t>
            </w:r>
          </w:p>
        </w:tc>
      </w:tr>
    </w:tbl>
    <w:p>
      <w:pPr>
        <w:spacing w:after="0" w:line="70" w:lineRule="exact"/>
        <w:rPr>
          <w:sz w:val="20"/>
          <w:szCs w:val="20"/>
          <w:color w:val="auto"/>
        </w:rPr>
      </w:pPr>
    </w:p>
    <w:p>
      <w:pPr>
        <w:sectPr>
          <w:pgSz w:w="11900" w:h="16840" w:orient="portrait"/>
          <w:cols w:equalWidth="0" w:num="1">
            <w:col w:w="10560"/>
          </w:cols>
          <w:pgMar w:left="640" w:top="1155" w:right="700" w:bottom="1440" w:gutter="0" w:footer="0" w:header="0"/>
        </w:sectPr>
      </w:pPr>
    </w:p>
    <w:tbl>
      <w:tblPr>
        <w:tblLayout w:type="fixed"/>
        <w:tblInd w:w="40" w:type="dxa"/>
        <w:tblCellMar>
          <w:top w:w="0" w:type="dxa"/>
          <w:left w:w="0" w:type="dxa"/>
          <w:bottom w:w="0" w:type="dxa"/>
          <w:right w:w="0" w:type="dxa"/>
        </w:tblCellMar>
      </w:tblP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Daniel Wagner</w:t>
            </w:r>
            <w:r>
              <w:rPr>
                <w:rFonts w:ascii="Times New Roman" w:cs="Times New Roman" w:eastAsia="Times New Roman" w:hAnsi="Times New Roman"/>
                <w:sz w:val="13"/>
                <w:szCs w:val="13"/>
                <w:color w:val="auto"/>
                <w:vertAlign w:val="superscript"/>
              </w:rPr>
              <w:t>(3)</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95"/>
              </w:rPr>
              <w:t>4,698,504</w:t>
            </w:r>
            <w:r>
              <w:rPr>
                <w:rFonts w:ascii="Times New Roman" w:cs="Times New Roman" w:eastAsia="Times New Roman" w:hAnsi="Times New Roman"/>
                <w:sz w:val="13"/>
                <w:szCs w:val="13"/>
                <w:color w:val="auto"/>
                <w:w w:val="95"/>
                <w:vertAlign w:val="superscript"/>
              </w:rPr>
              <w:t>(15)</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John Wagner</w:t>
            </w:r>
            <w:r>
              <w:rPr>
                <w:rFonts w:ascii="Times New Roman" w:cs="Times New Roman" w:eastAsia="Times New Roman" w:hAnsi="Times New Roman"/>
                <w:sz w:val="13"/>
                <w:szCs w:val="13"/>
                <w:color w:val="auto"/>
                <w:vertAlign w:val="superscript"/>
              </w:rPr>
              <w:t>(4)</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87"/>
              </w:rPr>
              <w:t>822,793</w:t>
            </w:r>
            <w:r>
              <w:rPr>
                <w:rFonts w:ascii="Times New Roman" w:cs="Times New Roman" w:eastAsia="Times New Roman" w:hAnsi="Times New Roman"/>
                <w:sz w:val="13"/>
                <w:szCs w:val="13"/>
                <w:color w:val="auto"/>
                <w:w w:val="87"/>
                <w:vertAlign w:val="superscript"/>
              </w:rPr>
              <w:t>(5) (15)</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Anthony Sharp</w:t>
            </w:r>
            <w:r>
              <w:rPr>
                <w:rFonts w:ascii="Times New Roman" w:cs="Times New Roman" w:eastAsia="Times New Roman" w:hAnsi="Times New Roman"/>
                <w:sz w:val="13"/>
                <w:szCs w:val="13"/>
                <w:color w:val="auto"/>
                <w:vertAlign w:val="superscript"/>
              </w:rPr>
              <w:t>(6)</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1,948,964</w:t>
            </w:r>
            <w:r>
              <w:rPr>
                <w:rFonts w:ascii="Times New Roman" w:cs="Times New Roman" w:eastAsia="Times New Roman" w:hAnsi="Times New Roman"/>
                <w:sz w:val="13"/>
                <w:szCs w:val="13"/>
                <w:color w:val="auto"/>
                <w:vertAlign w:val="superscript"/>
              </w:rPr>
              <w:t>(7)</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Sir David Wright</w:t>
            </w:r>
            <w:r>
              <w:rPr>
                <w:rFonts w:ascii="Times New Roman" w:cs="Times New Roman" w:eastAsia="Times New Roman" w:hAnsi="Times New Roman"/>
                <w:sz w:val="13"/>
                <w:szCs w:val="13"/>
                <w:color w:val="auto"/>
                <w:vertAlign w:val="superscript"/>
              </w:rPr>
              <w:t>(8)</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495,343</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Stephen Perry</w:t>
            </w:r>
            <w:r>
              <w:rPr>
                <w:rFonts w:ascii="Times New Roman" w:cs="Times New Roman" w:eastAsia="Times New Roman" w:hAnsi="Times New Roman"/>
                <w:sz w:val="13"/>
                <w:szCs w:val="13"/>
                <w:color w:val="auto"/>
                <w:vertAlign w:val="superscript"/>
              </w:rPr>
              <w:t>(9)</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715,723</w:t>
            </w:r>
            <w:r>
              <w:rPr>
                <w:rFonts w:ascii="Times New Roman" w:cs="Times New Roman" w:eastAsia="Times New Roman" w:hAnsi="Times New Roman"/>
                <w:sz w:val="13"/>
                <w:szCs w:val="13"/>
                <w:color w:val="auto"/>
                <w:vertAlign w:val="superscript"/>
              </w:rPr>
              <w:t>(10)</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Douglas Lurio</w:t>
            </w:r>
            <w:r>
              <w:rPr>
                <w:rFonts w:ascii="Times New Roman" w:cs="Times New Roman" w:eastAsia="Times New Roman" w:hAnsi="Times New Roman"/>
                <w:sz w:val="13"/>
                <w:szCs w:val="13"/>
                <w:color w:val="auto"/>
                <w:vertAlign w:val="superscript"/>
              </w:rPr>
              <w:t>(11)</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403,941</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Stephen Herbert</w:t>
            </w:r>
            <w:r>
              <w:rPr>
                <w:rFonts w:ascii="Times New Roman" w:cs="Times New Roman" w:eastAsia="Times New Roman" w:hAnsi="Times New Roman"/>
                <w:sz w:val="13"/>
                <w:szCs w:val="13"/>
                <w:color w:val="auto"/>
                <w:vertAlign w:val="superscript"/>
              </w:rPr>
              <w:t>(12)</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298,436</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Peter Vesco</w:t>
            </w:r>
            <w:r>
              <w:rPr>
                <w:rFonts w:ascii="Times New Roman" w:cs="Times New Roman" w:eastAsia="Times New Roman" w:hAnsi="Times New Roman"/>
                <w:sz w:val="13"/>
                <w:szCs w:val="13"/>
                <w:color w:val="auto"/>
                <w:vertAlign w:val="superscript"/>
              </w:rPr>
              <w:t>(13)</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95"/>
              </w:rPr>
              <w:t>1,153,633</w:t>
            </w:r>
            <w:r>
              <w:rPr>
                <w:rFonts w:ascii="Times New Roman" w:cs="Times New Roman" w:eastAsia="Times New Roman" w:hAnsi="Times New Roman"/>
                <w:sz w:val="13"/>
                <w:szCs w:val="13"/>
                <w:color w:val="auto"/>
                <w:w w:val="95"/>
                <w:vertAlign w:val="superscript"/>
              </w:rPr>
              <w:t>(14)</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DBLP Sea Cow Limited</w:t>
            </w:r>
            <w:r>
              <w:rPr>
                <w:rFonts w:ascii="Times New Roman" w:cs="Times New Roman" w:eastAsia="Times New Roman" w:hAnsi="Times New Roman"/>
                <w:sz w:val="13"/>
                <w:szCs w:val="13"/>
                <w:color w:val="auto"/>
                <w:vertAlign w:val="superscript"/>
              </w:rPr>
              <w:t>(15)</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87"/>
              </w:rPr>
              <w:t>39,845,287</w:t>
            </w:r>
            <w:r>
              <w:rPr>
                <w:rFonts w:ascii="Times New Roman" w:cs="Times New Roman" w:eastAsia="Times New Roman" w:hAnsi="Times New Roman"/>
                <w:sz w:val="13"/>
                <w:szCs w:val="13"/>
                <w:color w:val="auto"/>
                <w:w w:val="87"/>
                <w:vertAlign w:val="superscript"/>
              </w:rPr>
              <w:t>(16)</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Igor Lychagov</w:t>
            </w:r>
            <w:r>
              <w:rPr>
                <w:rFonts w:ascii="Times New Roman" w:cs="Times New Roman" w:eastAsia="Times New Roman" w:hAnsi="Times New Roman"/>
                <w:sz w:val="13"/>
                <w:szCs w:val="13"/>
                <w:color w:val="auto"/>
                <w:vertAlign w:val="superscript"/>
              </w:rPr>
              <w:t>(17)</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87"/>
              </w:rPr>
              <w:t>35,913,857</w:t>
            </w:r>
            <w:r>
              <w:rPr>
                <w:rFonts w:ascii="Times New Roman" w:cs="Times New Roman" w:eastAsia="Times New Roman" w:hAnsi="Times New Roman"/>
                <w:sz w:val="13"/>
                <w:szCs w:val="13"/>
                <w:color w:val="auto"/>
                <w:w w:val="87"/>
                <w:vertAlign w:val="superscript"/>
              </w:rPr>
              <w:t>(18)</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Apeiron Investment Group Limited </w:t>
            </w:r>
            <w:r>
              <w:rPr>
                <w:rFonts w:ascii="Times New Roman" w:cs="Times New Roman" w:eastAsia="Times New Roman" w:hAnsi="Times New Roman"/>
                <w:sz w:val="13"/>
                <w:szCs w:val="13"/>
                <w:color w:val="auto"/>
                <w:vertAlign w:val="superscript"/>
              </w:rPr>
              <w:t>(19)</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87"/>
              </w:rPr>
              <w:t>32,973,312</w:t>
            </w:r>
            <w:r>
              <w:rPr>
                <w:rFonts w:ascii="Times New Roman" w:cs="Times New Roman" w:eastAsia="Times New Roman" w:hAnsi="Times New Roman"/>
                <w:sz w:val="13"/>
                <w:szCs w:val="13"/>
                <w:color w:val="auto"/>
                <w:w w:val="87"/>
                <w:vertAlign w:val="superscript"/>
              </w:rPr>
              <w:t>(20)</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YA II PN, Ltd. </w:t>
            </w:r>
            <w:r>
              <w:rPr>
                <w:rFonts w:ascii="Times New Roman" w:cs="Times New Roman" w:eastAsia="Times New Roman" w:hAnsi="Times New Roman"/>
                <w:sz w:val="13"/>
                <w:szCs w:val="13"/>
                <w:color w:val="auto"/>
                <w:vertAlign w:val="superscript"/>
              </w:rPr>
              <w:t>(21)</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95"/>
              </w:rPr>
              <w:t>6,210,200</w:t>
            </w:r>
            <w:r>
              <w:rPr>
                <w:rFonts w:ascii="Times New Roman" w:cs="Times New Roman" w:eastAsia="Times New Roman" w:hAnsi="Times New Roman"/>
                <w:sz w:val="13"/>
                <w:szCs w:val="13"/>
                <w:color w:val="auto"/>
                <w:w w:val="95"/>
                <w:vertAlign w:val="superscript"/>
              </w:rPr>
              <w:t>(22)</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ACM Alameda Special Purpose Investment Fund II LP</w:t>
            </w:r>
            <w:r>
              <w:rPr>
                <w:rFonts w:ascii="Times New Roman" w:cs="Times New Roman" w:eastAsia="Times New Roman" w:hAnsi="Times New Roman"/>
                <w:sz w:val="13"/>
                <w:szCs w:val="13"/>
                <w:color w:val="auto"/>
                <w:vertAlign w:val="superscript"/>
              </w:rPr>
              <w:t>(23)</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45,634</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ACM Alamosa (Cayman) Holdco LP</w:t>
            </w:r>
            <w:r>
              <w:rPr>
                <w:rFonts w:ascii="Times New Roman" w:cs="Times New Roman" w:eastAsia="Times New Roman" w:hAnsi="Times New Roman"/>
                <w:sz w:val="13"/>
                <w:szCs w:val="13"/>
                <w:color w:val="auto"/>
                <w:vertAlign w:val="superscript"/>
              </w:rPr>
              <w:t>(24)</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51,889</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ACM ASOF VII (Cayman) Holdco LP</w:t>
            </w:r>
            <w:r>
              <w:rPr>
                <w:rFonts w:ascii="Times New Roman" w:cs="Times New Roman" w:eastAsia="Times New Roman" w:hAnsi="Times New Roman"/>
                <w:sz w:val="13"/>
                <w:szCs w:val="13"/>
                <w:color w:val="auto"/>
                <w:vertAlign w:val="superscript"/>
              </w:rPr>
              <w:t>(25)</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48,967</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Adam Krupczynski</w:t>
            </w:r>
            <w:r>
              <w:rPr>
                <w:rFonts w:ascii="Times New Roman" w:cs="Times New Roman" w:eastAsia="Times New Roman" w:hAnsi="Times New Roman"/>
                <w:sz w:val="13"/>
                <w:szCs w:val="13"/>
                <w:color w:val="auto"/>
                <w:vertAlign w:val="superscript"/>
              </w:rPr>
              <w:t>(26)</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91,593</w:t>
            </w:r>
            <w:r>
              <w:rPr>
                <w:rFonts w:ascii="Times New Roman" w:cs="Times New Roman" w:eastAsia="Times New Roman" w:hAnsi="Times New Roman"/>
                <w:sz w:val="13"/>
                <w:szCs w:val="13"/>
                <w:color w:val="auto"/>
                <w:vertAlign w:val="superscript"/>
              </w:rPr>
              <w:t>(27)</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Adam Wagner</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989,900</w:t>
            </w:r>
            <w:r>
              <w:rPr>
                <w:rFonts w:ascii="Times New Roman" w:cs="Times New Roman" w:eastAsia="Times New Roman" w:hAnsi="Times New Roman"/>
                <w:sz w:val="13"/>
                <w:szCs w:val="13"/>
                <w:color w:val="auto"/>
                <w:vertAlign w:val="superscript"/>
              </w:rPr>
              <w:t>(28)</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Antara Capital Total Return SPAC</w:t>
            </w:r>
            <w:r>
              <w:rPr>
                <w:rFonts w:ascii="Times New Roman" w:cs="Times New Roman" w:eastAsia="Times New Roman" w:hAnsi="Times New Roman"/>
                <w:sz w:val="13"/>
                <w:szCs w:val="13"/>
                <w:color w:val="auto"/>
                <w:vertAlign w:val="superscript"/>
              </w:rPr>
              <w:t>(29)</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265,483</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Aperitus Limited</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95"/>
              </w:rPr>
              <w:t>1,665,310</w:t>
            </w:r>
            <w:r>
              <w:rPr>
                <w:rFonts w:ascii="Times New Roman" w:cs="Times New Roman" w:eastAsia="Times New Roman" w:hAnsi="Times New Roman"/>
                <w:sz w:val="13"/>
                <w:szCs w:val="13"/>
                <w:color w:val="auto"/>
                <w:w w:val="95"/>
                <w:vertAlign w:val="superscript"/>
              </w:rPr>
              <w:t>(30)</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AQR Absolute Return Master Account, L.P. </w:t>
            </w:r>
            <w:r>
              <w:rPr>
                <w:rFonts w:ascii="Times New Roman" w:cs="Times New Roman" w:eastAsia="Times New Roman" w:hAnsi="Times New Roman"/>
                <w:sz w:val="13"/>
                <w:szCs w:val="13"/>
                <w:color w:val="auto"/>
                <w:vertAlign w:val="superscript"/>
              </w:rPr>
              <w:t>(31)</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13,750</w:t>
            </w:r>
            <w:r>
              <w:rPr>
                <w:rFonts w:ascii="Times New Roman" w:cs="Times New Roman" w:eastAsia="Times New Roman" w:hAnsi="Times New Roman"/>
                <w:sz w:val="13"/>
                <w:szCs w:val="13"/>
                <w:color w:val="auto"/>
                <w:vertAlign w:val="superscript"/>
              </w:rPr>
              <w:t>(32)</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w w:val="99"/>
              </w:rPr>
              <w:t>AQR Diversified Arbitrage Fund, a series of AQR Funds</w:t>
            </w:r>
            <w:r>
              <w:rPr>
                <w:rFonts w:ascii="Times New Roman" w:cs="Times New Roman" w:eastAsia="Times New Roman" w:hAnsi="Times New Roman"/>
                <w:sz w:val="13"/>
                <w:szCs w:val="13"/>
                <w:color w:val="auto"/>
                <w:w w:val="99"/>
                <w:vertAlign w:val="superscript"/>
              </w:rPr>
              <w:t>(33)</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84,041</w:t>
            </w:r>
            <w:r>
              <w:rPr>
                <w:rFonts w:ascii="Times New Roman" w:cs="Times New Roman" w:eastAsia="Times New Roman" w:hAnsi="Times New Roman"/>
                <w:sz w:val="13"/>
                <w:szCs w:val="13"/>
                <w:color w:val="auto"/>
                <w:vertAlign w:val="superscript"/>
              </w:rPr>
              <w:t>(34)</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AQR Global Alternative Investment Offshore Fund, L.P</w:t>
            </w:r>
            <w:r>
              <w:rPr>
                <w:rFonts w:ascii="Times New Roman" w:cs="Times New Roman" w:eastAsia="Times New Roman" w:hAnsi="Times New Roman"/>
                <w:sz w:val="13"/>
                <w:szCs w:val="13"/>
                <w:color w:val="auto"/>
                <w:vertAlign w:val="superscript"/>
              </w:rPr>
              <w:t>(35)</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62,857</w:t>
            </w:r>
            <w:r>
              <w:rPr>
                <w:rFonts w:ascii="Times New Roman" w:cs="Times New Roman" w:eastAsia="Times New Roman" w:hAnsi="Times New Roman"/>
                <w:sz w:val="13"/>
                <w:szCs w:val="13"/>
                <w:color w:val="auto"/>
                <w:vertAlign w:val="superscript"/>
              </w:rPr>
              <w:t>(36)</w:t>
            </w:r>
          </w:p>
        </w:tc>
      </w:tr>
      <w:tr>
        <w:trPr>
          <w:trHeight w:val="158"/>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Arthur Yao</w:t>
            </w:r>
            <w:r>
              <w:rPr>
                <w:rFonts w:ascii="Times New Roman" w:cs="Times New Roman" w:eastAsia="Times New Roman" w:hAnsi="Times New Roman"/>
                <w:sz w:val="13"/>
                <w:szCs w:val="13"/>
                <w:color w:val="auto"/>
                <w:vertAlign w:val="superscript"/>
              </w:rPr>
              <w:t>(37)</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95"/>
              </w:rPr>
              <w:t>1,274,429</w:t>
            </w:r>
            <w:r>
              <w:rPr>
                <w:rFonts w:ascii="Times New Roman" w:cs="Times New Roman" w:eastAsia="Times New Roman" w:hAnsi="Times New Roman"/>
                <w:sz w:val="13"/>
                <w:szCs w:val="13"/>
                <w:color w:val="auto"/>
                <w:w w:val="95"/>
                <w:vertAlign w:val="superscript"/>
              </w:rPr>
              <w:t>(38)</w:t>
            </w:r>
          </w:p>
        </w:tc>
      </w:tr>
      <w:tr>
        <w:trPr>
          <w:trHeight w:val="176"/>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ASJC Global LLC - Series 14 </w:t>
            </w:r>
            <w:r>
              <w:rPr>
                <w:rFonts w:ascii="Times New Roman" w:cs="Times New Roman" w:eastAsia="Times New Roman" w:hAnsi="Times New Roman"/>
                <w:sz w:val="13"/>
                <w:szCs w:val="13"/>
                <w:color w:val="auto"/>
                <w:vertAlign w:val="superscript"/>
              </w:rPr>
              <w:t>(39)</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1,036,863</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4,698,504</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822,793</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1,948,964</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495,343</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715,723</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403,941</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298,436</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1,153,633</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39,845,287</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35,913,857</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32,973,312</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6,060,204</w:t>
            </w:r>
          </w:p>
        </w:tc>
        <w:tc>
          <w:tcPr>
            <w:tcW w:w="2760" w:type="dxa"/>
            <w:vAlign w:val="bottom"/>
          </w:tcPr>
          <w:p>
            <w:pPr>
              <w:ind w:left="1380"/>
              <w:spacing w:after="0"/>
              <w:rPr>
                <w:sz w:val="20"/>
                <w:szCs w:val="20"/>
                <w:color w:val="auto"/>
              </w:rPr>
            </w:pPr>
            <w:r>
              <w:rPr>
                <w:rFonts w:ascii="Times New Roman" w:cs="Times New Roman" w:eastAsia="Times New Roman" w:hAnsi="Times New Roman"/>
                <w:sz w:val="10"/>
                <w:szCs w:val="10"/>
                <w:color w:val="auto"/>
              </w:rPr>
              <w:t>149,996</w:t>
            </w:r>
          </w:p>
        </w:tc>
        <w:tc>
          <w:tcPr>
            <w:tcW w:w="1080" w:type="dxa"/>
            <w:vAlign w:val="bottom"/>
          </w:tcPr>
          <w:p>
            <w:pPr>
              <w:ind w:left="1040"/>
              <w:spacing w:after="0"/>
              <w:rPr>
                <w:sz w:val="20"/>
                <w:szCs w:val="20"/>
                <w:color w:val="auto"/>
              </w:rPr>
            </w:pPr>
            <w:r>
              <w:rPr>
                <w:rFonts w:ascii="Times New Roman" w:cs="Times New Roman" w:eastAsia="Times New Roman" w:hAnsi="Times New Roman"/>
                <w:sz w:val="5"/>
                <w:szCs w:val="5"/>
                <w:color w:val="auto"/>
                <w:w w:val="78"/>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45,634</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51,889</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48,967</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67,113</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24,480</w:t>
            </w:r>
          </w:p>
        </w:tc>
        <w:tc>
          <w:tcPr>
            <w:tcW w:w="1080" w:type="dxa"/>
            <w:vAlign w:val="bottom"/>
          </w:tcPr>
          <w:p>
            <w:pPr>
              <w:ind w:left="102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10,714</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979,186</w:t>
            </w:r>
          </w:p>
        </w:tc>
        <w:tc>
          <w:tcPr>
            <w:tcW w:w="1080" w:type="dxa"/>
            <w:vAlign w:val="bottom"/>
          </w:tcPr>
          <w:p>
            <w:pPr>
              <w:ind w:left="102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131,250</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134,233</w:t>
            </w:r>
          </w:p>
        </w:tc>
        <w:tc>
          <w:tcPr>
            <w:tcW w:w="1080" w:type="dxa"/>
            <w:vAlign w:val="bottom"/>
          </w:tcPr>
          <w:p>
            <w:pPr>
              <w:ind w:left="102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33,333</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1,631,977</w:t>
            </w:r>
          </w:p>
        </w:tc>
        <w:tc>
          <w:tcPr>
            <w:tcW w:w="1080" w:type="dxa"/>
            <w:vAlign w:val="bottom"/>
          </w:tcPr>
          <w:p>
            <w:pPr>
              <w:ind w:left="102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4,125</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9,625</w:t>
            </w:r>
          </w:p>
        </w:tc>
        <w:tc>
          <w:tcPr>
            <w:tcW w:w="1080" w:type="dxa"/>
            <w:vAlign w:val="bottom"/>
          </w:tcPr>
          <w:p>
            <w:pPr>
              <w:ind w:left="102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19,875</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64,166</w:t>
            </w:r>
          </w:p>
        </w:tc>
        <w:tc>
          <w:tcPr>
            <w:tcW w:w="1080" w:type="dxa"/>
            <w:vAlign w:val="bottom"/>
          </w:tcPr>
          <w:p>
            <w:pPr>
              <w:ind w:left="102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18,857</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44,000</w:t>
            </w:r>
          </w:p>
        </w:tc>
        <w:tc>
          <w:tcPr>
            <w:tcW w:w="1080" w:type="dxa"/>
            <w:vAlign w:val="bottom"/>
          </w:tcPr>
          <w:p>
            <w:pPr>
              <w:ind w:left="102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82,094</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1,192,335</w:t>
            </w:r>
          </w:p>
        </w:tc>
        <w:tc>
          <w:tcPr>
            <w:tcW w:w="1080" w:type="dxa"/>
            <w:vAlign w:val="bottom"/>
          </w:tcPr>
          <w:p>
            <w:pPr>
              <w:ind w:left="102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1,036,863</w:t>
            </w:r>
          </w:p>
        </w:tc>
        <w:tc>
          <w:tcPr>
            <w:tcW w:w="276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7"/>
                <w:szCs w:val="7"/>
                <w:color w:val="auto"/>
                <w:w w:val="84"/>
              </w:rPr>
              <w:t>--</w:t>
            </w:r>
          </w:p>
        </w:tc>
      </w:tr>
      <w:tr>
        <w:trPr>
          <w:trHeight w:val="255"/>
        </w:trPr>
        <w:tc>
          <w:tcPr>
            <w:tcW w:w="50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104</w:t>
            </w:r>
          </w:p>
        </w:tc>
        <w:tc>
          <w:tcPr>
            <w:tcW w:w="10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250190</wp:posOffset>
            </wp:positionV>
            <wp:extent cx="6778625"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2">
            <w:col w:w="3940" w:space="720"/>
            <w:col w:w="5900"/>
          </w:cols>
          <w:pgMar w:left="640" w:top="1155" w:right="700"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Atalaya Special Purpose Investment Fund II LP</w:t>
            </w:r>
            <w:r>
              <w:rPr>
                <w:rFonts w:ascii="Times New Roman" w:cs="Times New Roman" w:eastAsia="Times New Roman" w:hAnsi="Times New Roman"/>
                <w:sz w:val="13"/>
                <w:szCs w:val="13"/>
                <w:color w:val="auto"/>
                <w:vertAlign w:val="superscript"/>
              </w:rPr>
              <w:t>(40)</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35,177</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35,177</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Berenberg Capital Markets LLC</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50,000</w:t>
            </w:r>
            <w:r>
              <w:rPr>
                <w:rFonts w:ascii="Times New Roman" w:cs="Times New Roman" w:eastAsia="Times New Roman" w:hAnsi="Times New Roman"/>
                <w:sz w:val="13"/>
                <w:szCs w:val="13"/>
                <w:color w:val="auto"/>
                <w:vertAlign w:val="superscript"/>
              </w:rPr>
              <w:t>(41)</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50,000</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Boston Patriot Merrimack ST. LLC</w:t>
            </w:r>
            <w:r>
              <w:rPr>
                <w:rFonts w:ascii="Times New Roman" w:cs="Times New Roman" w:eastAsia="Times New Roman" w:hAnsi="Times New Roman"/>
                <w:sz w:val="13"/>
                <w:szCs w:val="13"/>
                <w:color w:val="auto"/>
                <w:vertAlign w:val="superscript"/>
              </w:rPr>
              <w:t>(42)</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29,495</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29,495</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Bradley Wickens</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12,544,460</w:t>
            </w:r>
            <w:r>
              <w:rPr>
                <w:rFonts w:ascii="Times New Roman" w:cs="Times New Roman" w:eastAsia="Times New Roman" w:hAnsi="Times New Roman"/>
                <w:sz w:val="13"/>
                <w:szCs w:val="13"/>
                <w:color w:val="auto"/>
                <w:vertAlign w:val="superscript"/>
              </w:rPr>
              <w:t>(43)</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12,544,460</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Brooks Newmark</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24,470,676</w:t>
            </w:r>
            <w:r>
              <w:rPr>
                <w:rFonts w:ascii="Times New Roman" w:cs="Times New Roman" w:eastAsia="Times New Roman" w:hAnsi="Times New Roman"/>
                <w:sz w:val="13"/>
                <w:szCs w:val="13"/>
                <w:color w:val="auto"/>
                <w:vertAlign w:val="superscript"/>
              </w:rPr>
              <w:t>(44)</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24,470,676</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Cantor Fitzgerald &amp; Co</w:t>
            </w:r>
            <w:r>
              <w:rPr>
                <w:rFonts w:ascii="Times New Roman" w:cs="Times New Roman" w:eastAsia="Times New Roman" w:hAnsi="Times New Roman"/>
                <w:sz w:val="13"/>
                <w:szCs w:val="13"/>
                <w:color w:val="auto"/>
                <w:vertAlign w:val="superscript"/>
              </w:rPr>
              <w:t>(45)</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1,930,036</w:t>
            </w:r>
            <w:r>
              <w:rPr>
                <w:rFonts w:ascii="Times New Roman" w:cs="Times New Roman" w:eastAsia="Times New Roman" w:hAnsi="Times New Roman"/>
                <w:sz w:val="13"/>
                <w:szCs w:val="13"/>
                <w:color w:val="auto"/>
                <w:vertAlign w:val="superscript"/>
              </w:rPr>
              <w:t>(46)</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1,930,036</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Cecil Levy</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30,553</w:t>
            </w:r>
            <w:r>
              <w:rPr>
                <w:rFonts w:ascii="Times New Roman" w:cs="Times New Roman" w:eastAsia="Times New Roman" w:hAnsi="Times New Roman"/>
                <w:sz w:val="13"/>
                <w:szCs w:val="13"/>
                <w:color w:val="auto"/>
                <w:vertAlign w:val="superscript"/>
              </w:rPr>
              <w:t>(47)</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10,000</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20,553</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Celso L. White</w:t>
            </w:r>
            <w:r>
              <w:rPr>
                <w:rFonts w:ascii="Times New Roman" w:cs="Times New Roman" w:eastAsia="Times New Roman" w:hAnsi="Times New Roman"/>
                <w:sz w:val="13"/>
                <w:szCs w:val="13"/>
                <w:color w:val="auto"/>
                <w:vertAlign w:val="superscript"/>
              </w:rPr>
              <w:t>(48)</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125,000</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125,000</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Cohen &amp; Company Financial Management LLC</w:t>
            </w:r>
            <w:r>
              <w:rPr>
                <w:rFonts w:ascii="Times New Roman" w:cs="Times New Roman" w:eastAsia="Times New Roman" w:hAnsi="Times New Roman"/>
                <w:sz w:val="13"/>
                <w:szCs w:val="13"/>
                <w:color w:val="auto"/>
                <w:vertAlign w:val="superscript"/>
              </w:rPr>
              <w:t>(49)</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w w:val="90"/>
              </w:rPr>
              <w:t>12,579,532</w:t>
            </w:r>
            <w:r>
              <w:rPr>
                <w:rFonts w:ascii="Times New Roman" w:cs="Times New Roman" w:eastAsia="Times New Roman" w:hAnsi="Times New Roman"/>
                <w:sz w:val="13"/>
                <w:szCs w:val="13"/>
                <w:color w:val="auto"/>
                <w:w w:val="90"/>
                <w:vertAlign w:val="superscript"/>
              </w:rPr>
              <w:t>(50)</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Cohen Sponsor LLC - A14 RS</w:t>
            </w:r>
            <w:r>
              <w:rPr>
                <w:rFonts w:ascii="Times New Roman" w:cs="Times New Roman" w:eastAsia="Times New Roman" w:hAnsi="Times New Roman"/>
                <w:sz w:val="13"/>
                <w:szCs w:val="13"/>
                <w:color w:val="auto"/>
                <w:vertAlign w:val="superscript"/>
              </w:rPr>
              <w:t>(51)</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494,203</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494,203</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Context Partners Master Fund LP</w:t>
            </w:r>
            <w:r>
              <w:rPr>
                <w:rFonts w:ascii="Times New Roman" w:cs="Times New Roman" w:eastAsia="Times New Roman" w:hAnsi="Times New Roman"/>
                <w:sz w:val="13"/>
                <w:szCs w:val="13"/>
                <w:color w:val="auto"/>
                <w:vertAlign w:val="superscript"/>
              </w:rPr>
              <w:t>(52)</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131,250</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131,250</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Corbin ERISA Opportunity Fund, Ltd. </w:t>
            </w:r>
            <w:r>
              <w:rPr>
                <w:rFonts w:ascii="Times New Roman" w:cs="Times New Roman" w:eastAsia="Times New Roman" w:hAnsi="Times New Roman"/>
                <w:sz w:val="13"/>
                <w:szCs w:val="13"/>
                <w:color w:val="auto"/>
                <w:vertAlign w:val="superscript"/>
              </w:rPr>
              <w:t>(53)</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24,583</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24,583</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Julius Meller Management Services LTD</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12,857</w:t>
            </w:r>
            <w:r>
              <w:rPr>
                <w:rFonts w:ascii="Times New Roman" w:cs="Times New Roman" w:eastAsia="Times New Roman" w:hAnsi="Times New Roman"/>
                <w:sz w:val="13"/>
                <w:szCs w:val="13"/>
                <w:color w:val="auto"/>
                <w:vertAlign w:val="superscript"/>
              </w:rPr>
              <w:t>(54)</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12,857</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David Weinberger</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201,300</w:t>
            </w:r>
            <w:r>
              <w:rPr>
                <w:rFonts w:ascii="Times New Roman" w:cs="Times New Roman" w:eastAsia="Times New Roman" w:hAnsi="Times New Roman"/>
                <w:sz w:val="13"/>
                <w:szCs w:val="13"/>
                <w:color w:val="auto"/>
                <w:vertAlign w:val="superscript"/>
              </w:rPr>
              <w:t>(55)</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201,000</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300</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Derek Smith</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33,334</w:t>
            </w:r>
            <w:r>
              <w:rPr>
                <w:rFonts w:ascii="Times New Roman" w:cs="Times New Roman" w:eastAsia="Times New Roman" w:hAnsi="Times New Roman"/>
                <w:sz w:val="13"/>
                <w:szCs w:val="13"/>
                <w:color w:val="auto"/>
                <w:vertAlign w:val="superscript"/>
              </w:rPr>
              <w:t>(56)</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33,334</w:t>
            </w:r>
          </w:p>
        </w:tc>
        <w:tc>
          <w:tcPr>
            <w:tcW w:w="264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Dionysios Kolyris</w:t>
            </w:r>
            <w:r>
              <w:rPr>
                <w:rFonts w:ascii="Times New Roman" w:cs="Times New Roman" w:eastAsia="Times New Roman" w:hAnsi="Times New Roman"/>
                <w:sz w:val="13"/>
                <w:szCs w:val="13"/>
                <w:color w:val="auto"/>
                <w:vertAlign w:val="superscript"/>
              </w:rPr>
              <w:t>(57)</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65,209</w:t>
            </w:r>
            <w:r>
              <w:rPr>
                <w:rFonts w:ascii="Times New Roman" w:cs="Times New Roman" w:eastAsia="Times New Roman" w:hAnsi="Times New Roman"/>
                <w:sz w:val="13"/>
                <w:szCs w:val="13"/>
                <w:color w:val="auto"/>
                <w:vertAlign w:val="superscript"/>
              </w:rPr>
              <w:t>(58)</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11,951</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DXG Deutsche Digital GmbH</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7,333</w:t>
            </w:r>
            <w:r>
              <w:rPr>
                <w:rFonts w:ascii="Times New Roman" w:cs="Times New Roman" w:eastAsia="Times New Roman" w:hAnsi="Times New Roman"/>
                <w:sz w:val="13"/>
                <w:szCs w:val="13"/>
                <w:color w:val="auto"/>
                <w:vertAlign w:val="superscript"/>
              </w:rPr>
              <w:t>(59)</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7,333</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EarlyBirdCapital, Inc.</w:t>
            </w:r>
            <w:r>
              <w:rPr>
                <w:rFonts w:ascii="Times New Roman" w:cs="Times New Roman" w:eastAsia="Times New Roman" w:hAnsi="Times New Roman"/>
                <w:sz w:val="13"/>
                <w:szCs w:val="13"/>
                <w:color w:val="auto"/>
                <w:vertAlign w:val="superscript"/>
              </w:rPr>
              <w:t>(60)</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162,500</w:t>
            </w:r>
            <w:r>
              <w:rPr>
                <w:rFonts w:ascii="Times New Roman" w:cs="Times New Roman" w:eastAsia="Times New Roman" w:hAnsi="Times New Roman"/>
                <w:sz w:val="13"/>
                <w:szCs w:val="13"/>
                <w:color w:val="auto"/>
                <w:vertAlign w:val="superscript"/>
              </w:rPr>
              <w:t>(61)</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162,500</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EF Hutton LLC</w:t>
            </w:r>
            <w:r>
              <w:rPr>
                <w:rFonts w:ascii="Times New Roman" w:cs="Times New Roman" w:eastAsia="Times New Roman" w:hAnsi="Times New Roman"/>
                <w:sz w:val="13"/>
                <w:szCs w:val="13"/>
                <w:color w:val="auto"/>
                <w:vertAlign w:val="superscript"/>
              </w:rPr>
              <w:t>(62)</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50,000</w:t>
            </w:r>
            <w:r>
              <w:rPr>
                <w:rFonts w:ascii="Times New Roman" w:cs="Times New Roman" w:eastAsia="Times New Roman" w:hAnsi="Times New Roman"/>
                <w:sz w:val="13"/>
                <w:szCs w:val="13"/>
                <w:color w:val="auto"/>
                <w:vertAlign w:val="superscript"/>
              </w:rPr>
              <w:t>(63)</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50,000</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Ercan Kilic</w:t>
            </w:r>
            <w:r>
              <w:rPr>
                <w:rFonts w:ascii="Times New Roman" w:cs="Times New Roman" w:eastAsia="Times New Roman" w:hAnsi="Times New Roman"/>
                <w:sz w:val="13"/>
                <w:szCs w:val="13"/>
                <w:color w:val="auto"/>
                <w:vertAlign w:val="superscript"/>
              </w:rPr>
              <w:t>(64)</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18,175</w:t>
            </w:r>
            <w:r>
              <w:rPr>
                <w:rFonts w:ascii="Times New Roman" w:cs="Times New Roman" w:eastAsia="Times New Roman" w:hAnsi="Times New Roman"/>
                <w:sz w:val="13"/>
                <w:szCs w:val="13"/>
                <w:color w:val="auto"/>
                <w:vertAlign w:val="superscript"/>
              </w:rPr>
              <w:t>(65)</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18,175</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Fir Tree Capital Opportunity Master Fund LP</w:t>
            </w:r>
            <w:r>
              <w:rPr>
                <w:rFonts w:ascii="Times New Roman" w:cs="Times New Roman" w:eastAsia="Times New Roman" w:hAnsi="Times New Roman"/>
                <w:sz w:val="13"/>
                <w:szCs w:val="13"/>
                <w:color w:val="auto"/>
                <w:vertAlign w:val="superscript"/>
              </w:rPr>
              <w:t>(66)</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9,122</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9,122</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Fir Tree Capital Opportunity Master Fund III, LP</w:t>
            </w:r>
            <w:r>
              <w:rPr>
                <w:rFonts w:ascii="Times New Roman" w:cs="Times New Roman" w:eastAsia="Times New Roman" w:hAnsi="Times New Roman"/>
                <w:sz w:val="13"/>
                <w:szCs w:val="13"/>
                <w:color w:val="auto"/>
                <w:vertAlign w:val="superscript"/>
              </w:rPr>
              <w:t>(67)</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15,414</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15,414</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Fir Tree Value Master Fund, LP</w:t>
            </w:r>
            <w:r>
              <w:rPr>
                <w:rFonts w:ascii="Times New Roman" w:cs="Times New Roman" w:eastAsia="Times New Roman" w:hAnsi="Times New Roman"/>
                <w:sz w:val="13"/>
                <w:szCs w:val="13"/>
                <w:color w:val="auto"/>
                <w:vertAlign w:val="superscript"/>
              </w:rPr>
              <w:t>(68)</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14,048</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14,048</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FT SOF XIII (SPAC) Holdings, LLC</w:t>
            </w:r>
            <w:r>
              <w:rPr>
                <w:rFonts w:ascii="Times New Roman" w:cs="Times New Roman" w:eastAsia="Times New Roman" w:hAnsi="Times New Roman"/>
                <w:sz w:val="13"/>
                <w:szCs w:val="13"/>
                <w:color w:val="auto"/>
                <w:vertAlign w:val="superscript"/>
              </w:rPr>
              <w:t>(69)</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6,921</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6,921</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76"/>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Fujian Limatong XinXi Keji Youxian Gongsi</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225,714</w:t>
            </w:r>
            <w:r>
              <w:rPr>
                <w:rFonts w:ascii="Times New Roman" w:cs="Times New Roman" w:eastAsia="Times New Roman" w:hAnsi="Times New Roman"/>
                <w:sz w:val="13"/>
                <w:szCs w:val="13"/>
                <w:color w:val="auto"/>
                <w:vertAlign w:val="superscript"/>
              </w:rPr>
              <w:t>(70)</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225,714</w:t>
            </w:r>
          </w:p>
        </w:tc>
        <w:tc>
          <w:tcPr>
            <w:tcW w:w="26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36"/>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George Bellow</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8,000</w:t>
            </w:r>
            <w:r>
              <w:rPr>
                <w:rFonts w:ascii="Times New Roman" w:cs="Times New Roman" w:eastAsia="Times New Roman" w:hAnsi="Times New Roman"/>
                <w:sz w:val="13"/>
                <w:szCs w:val="13"/>
                <w:color w:val="auto"/>
                <w:vertAlign w:val="superscript"/>
              </w:rPr>
              <w:t>(71)</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8,000</w:t>
            </w:r>
          </w:p>
        </w:tc>
        <w:tc>
          <w:tcPr>
            <w:tcW w:w="26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158"/>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Highbridge Tactical Credit Master Fund, L.P. </w:t>
            </w:r>
            <w:r>
              <w:rPr>
                <w:rFonts w:ascii="Times New Roman" w:cs="Times New Roman" w:eastAsia="Times New Roman" w:hAnsi="Times New Roman"/>
                <w:sz w:val="13"/>
                <w:szCs w:val="13"/>
                <w:color w:val="auto"/>
                <w:vertAlign w:val="superscript"/>
              </w:rPr>
              <w:t>(72)</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59,775</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59,775</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7"/>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Highbridge Tactical Credit Institutional Fund Ltd.</w:t>
            </w:r>
            <w:r>
              <w:rPr>
                <w:rFonts w:ascii="Times New Roman" w:cs="Times New Roman" w:eastAsia="Times New Roman" w:hAnsi="Times New Roman"/>
                <w:sz w:val="13"/>
                <w:szCs w:val="13"/>
                <w:color w:val="auto"/>
                <w:vertAlign w:val="superscript"/>
              </w:rPr>
              <w:t>(73)</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15,225</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15,225</w:t>
            </w:r>
          </w:p>
        </w:tc>
        <w:tc>
          <w:tcPr>
            <w:tcW w:w="26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77"/>
        </w:trPr>
        <w:tc>
          <w:tcPr>
            <w:tcW w:w="2340" w:type="dxa"/>
            <w:vAlign w:val="bottom"/>
          </w:tcPr>
          <w:p>
            <w:pPr>
              <w:ind w:left="40"/>
              <w:spacing w:after="0"/>
              <w:rPr>
                <w:sz w:val="20"/>
                <w:szCs w:val="20"/>
                <w:color w:val="auto"/>
              </w:rPr>
            </w:pPr>
            <w:r>
              <w:rPr>
                <w:rFonts w:ascii="Times New Roman" w:cs="Times New Roman" w:eastAsia="Times New Roman" w:hAnsi="Times New Roman"/>
                <w:sz w:val="10"/>
                <w:szCs w:val="10"/>
                <w:color w:val="212529"/>
              </w:rPr>
              <w:t>Jamie Beadle</w:t>
            </w:r>
          </w:p>
        </w:tc>
        <w:tc>
          <w:tcPr>
            <w:tcW w:w="15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10,286</w:t>
            </w:r>
            <w:r>
              <w:rPr>
                <w:rFonts w:ascii="Times New Roman" w:cs="Times New Roman" w:eastAsia="Times New Roman" w:hAnsi="Times New Roman"/>
                <w:sz w:val="13"/>
                <w:szCs w:val="13"/>
                <w:color w:val="auto"/>
                <w:vertAlign w:val="superscript"/>
              </w:rPr>
              <w:t>(74)</w:t>
            </w:r>
          </w:p>
        </w:tc>
        <w:tc>
          <w:tcPr>
            <w:tcW w:w="1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10,286</w:t>
            </w:r>
          </w:p>
        </w:tc>
        <w:tc>
          <w:tcPr>
            <w:tcW w:w="26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18"/>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105</w:t>
            </w:r>
          </w:p>
        </w:tc>
        <w:tc>
          <w:tcPr>
            <w:tcW w:w="2760" w:type="dxa"/>
            <w:vAlign w:val="bottom"/>
          </w:tcPr>
          <w:p>
            <w:pPr>
              <w:spacing w:after="0"/>
              <w:rPr>
                <w:sz w:val="18"/>
                <w:szCs w:val="18"/>
                <w:color w:val="auto"/>
              </w:rPr>
            </w:pPr>
          </w:p>
        </w:tc>
      </w:tr>
      <w:tr>
        <w:trPr>
          <w:trHeight w:val="422"/>
        </w:trPr>
        <w:tc>
          <w:tcPr>
            <w:tcW w:w="234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58" w:right="6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212529"/>
              </w:rPr>
              <w:t>J.V.B. Financial Group, LLC</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w w:val="95"/>
              </w:rPr>
              <w:t>1,888,888</w:t>
            </w:r>
            <w:r>
              <w:rPr>
                <w:rFonts w:ascii="Times New Roman" w:cs="Times New Roman" w:eastAsia="Times New Roman" w:hAnsi="Times New Roman"/>
                <w:sz w:val="13"/>
                <w:szCs w:val="13"/>
                <w:color w:val="auto"/>
                <w:w w:val="95"/>
                <w:vertAlign w:val="superscript"/>
              </w:rPr>
              <w:t>(75)</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Justin King</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23,517</w:t>
            </w:r>
            <w:r>
              <w:rPr>
                <w:rFonts w:ascii="Times New Roman" w:cs="Times New Roman" w:eastAsia="Times New Roman" w:hAnsi="Times New Roman"/>
                <w:sz w:val="13"/>
                <w:szCs w:val="13"/>
                <w:color w:val="auto"/>
                <w:vertAlign w:val="superscript"/>
              </w:rPr>
              <w:t>(76)</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16,329</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7,188</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Julien Nurse</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43,275</w:t>
            </w:r>
            <w:r>
              <w:rPr>
                <w:rFonts w:ascii="Times New Roman" w:cs="Times New Roman" w:eastAsia="Times New Roman" w:hAnsi="Times New Roman"/>
                <w:sz w:val="13"/>
                <w:szCs w:val="13"/>
                <w:color w:val="auto"/>
                <w:vertAlign w:val="superscript"/>
              </w:rPr>
              <w:t>(77)</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43,275</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Kantor Investment Company LLC</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79,785</w:t>
            </w:r>
            <w:r>
              <w:rPr>
                <w:rFonts w:ascii="Times New Roman" w:cs="Times New Roman" w:eastAsia="Times New Roman" w:hAnsi="Times New Roman"/>
                <w:sz w:val="13"/>
                <w:szCs w:val="13"/>
                <w:color w:val="auto"/>
                <w:vertAlign w:val="superscript"/>
              </w:rPr>
              <w:t>(78)</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10,000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69,785</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Karen Kalaris</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86,708</w:t>
            </w:r>
            <w:r>
              <w:rPr>
                <w:rFonts w:ascii="Times New Roman" w:cs="Times New Roman" w:eastAsia="Times New Roman" w:hAnsi="Times New Roman"/>
                <w:sz w:val="13"/>
                <w:szCs w:val="13"/>
                <w:color w:val="auto"/>
                <w:vertAlign w:val="superscript"/>
              </w:rPr>
              <w:t>(79)</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21,429</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65,279</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Kepos Alpha Master Fund L.P. </w:t>
            </w:r>
            <w:r>
              <w:rPr>
                <w:rFonts w:ascii="Times New Roman" w:cs="Times New Roman" w:eastAsia="Times New Roman" w:hAnsi="Times New Roman"/>
                <w:sz w:val="13"/>
                <w:szCs w:val="13"/>
                <w:color w:val="auto"/>
                <w:vertAlign w:val="superscript"/>
              </w:rPr>
              <w:t>(80)</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155,000</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155,000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Kepos Special Opportunities Master Fund L.P. </w:t>
            </w:r>
            <w:r>
              <w:rPr>
                <w:rFonts w:ascii="Times New Roman" w:cs="Times New Roman" w:eastAsia="Times New Roman" w:hAnsi="Times New Roman"/>
                <w:sz w:val="13"/>
                <w:szCs w:val="13"/>
                <w:color w:val="auto"/>
                <w:vertAlign w:val="superscript"/>
              </w:rPr>
              <w:t>(81)</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51,250</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51,250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Northland Securities Inc.</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400,625</w:t>
            </w:r>
            <w:r>
              <w:rPr>
                <w:rFonts w:ascii="Times New Roman" w:cs="Times New Roman" w:eastAsia="Times New Roman" w:hAnsi="Times New Roman"/>
                <w:sz w:val="13"/>
                <w:szCs w:val="13"/>
                <w:color w:val="auto"/>
                <w:vertAlign w:val="superscript"/>
              </w:rPr>
              <w:t>(82)</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Magnetar Capital Master Fund Ltd.</w:t>
            </w:r>
            <w:r>
              <w:rPr>
                <w:rFonts w:ascii="Times New Roman" w:cs="Times New Roman" w:eastAsia="Times New Roman" w:hAnsi="Times New Roman"/>
                <w:sz w:val="13"/>
                <w:szCs w:val="13"/>
                <w:color w:val="auto"/>
                <w:vertAlign w:val="superscript"/>
              </w:rPr>
              <w:t>(83)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2,277</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2,277</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Magnetar Constellation Fund II, Ltd. </w:t>
            </w:r>
            <w:r>
              <w:rPr>
                <w:rFonts w:ascii="Times New Roman" w:cs="Times New Roman" w:eastAsia="Times New Roman" w:hAnsi="Times New Roman"/>
                <w:sz w:val="13"/>
                <w:szCs w:val="13"/>
                <w:color w:val="auto"/>
                <w:vertAlign w:val="superscript"/>
              </w:rPr>
              <w:t>(83)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14,140</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14,140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Magnetar Constellation Master Fund, Ltd. </w:t>
            </w:r>
            <w:r>
              <w:rPr>
                <w:rFonts w:ascii="Times New Roman" w:cs="Times New Roman" w:eastAsia="Times New Roman" w:hAnsi="Times New Roman"/>
                <w:sz w:val="13"/>
                <w:szCs w:val="13"/>
                <w:color w:val="auto"/>
                <w:vertAlign w:val="superscript"/>
              </w:rPr>
              <w:t>(83)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44,075</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44,075</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Magnetar Discovery Master Fund Ltd. </w:t>
            </w:r>
            <w:r>
              <w:rPr>
                <w:rFonts w:ascii="Times New Roman" w:cs="Times New Roman" w:eastAsia="Times New Roman" w:hAnsi="Times New Roman"/>
                <w:sz w:val="13"/>
                <w:szCs w:val="13"/>
                <w:color w:val="auto"/>
                <w:vertAlign w:val="superscript"/>
              </w:rPr>
              <w:t>(83)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1,587</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1,587</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Magnetar Lake Credit Fund LLC</w:t>
            </w:r>
            <w:r>
              <w:rPr>
                <w:rFonts w:ascii="Times New Roman" w:cs="Times New Roman" w:eastAsia="Times New Roman" w:hAnsi="Times New Roman"/>
                <w:sz w:val="13"/>
                <w:szCs w:val="13"/>
                <w:color w:val="auto"/>
                <w:vertAlign w:val="superscript"/>
              </w:rPr>
              <w:t>(83)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13,503</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13,503</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Magnetar SC Fund Ltd. </w:t>
            </w:r>
            <w:r>
              <w:rPr>
                <w:rFonts w:ascii="Times New Roman" w:cs="Times New Roman" w:eastAsia="Times New Roman" w:hAnsi="Times New Roman"/>
                <w:sz w:val="13"/>
                <w:szCs w:val="13"/>
                <w:color w:val="auto"/>
                <w:vertAlign w:val="superscript"/>
              </w:rPr>
              <w:t>(83)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11,592</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11,592</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Magnetar Structured Credit Fund, LP</w:t>
            </w:r>
            <w:r>
              <w:rPr>
                <w:rFonts w:ascii="Times New Roman" w:cs="Times New Roman" w:eastAsia="Times New Roman" w:hAnsi="Times New Roman"/>
                <w:sz w:val="13"/>
                <w:szCs w:val="13"/>
                <w:color w:val="auto"/>
                <w:vertAlign w:val="superscript"/>
              </w:rPr>
              <w:t>(83)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16,052</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16,052</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Magnetar Xing He Master Fund Ltd.</w:t>
            </w:r>
            <w:r>
              <w:rPr>
                <w:rFonts w:ascii="Times New Roman" w:cs="Times New Roman" w:eastAsia="Times New Roman" w:hAnsi="Times New Roman"/>
                <w:sz w:val="13"/>
                <w:szCs w:val="13"/>
                <w:color w:val="auto"/>
                <w:vertAlign w:val="superscript"/>
              </w:rPr>
              <w:t>(83)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17,323</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17,323</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Mark Israel</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71,785</w:t>
            </w:r>
            <w:r>
              <w:rPr>
                <w:rFonts w:ascii="Times New Roman" w:cs="Times New Roman" w:eastAsia="Times New Roman" w:hAnsi="Times New Roman"/>
                <w:sz w:val="13"/>
                <w:szCs w:val="13"/>
                <w:color w:val="auto"/>
                <w:vertAlign w:val="superscript"/>
              </w:rPr>
              <w:t>(84)</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40,000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31,785</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Maxim Group LLC</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50,000</w:t>
            </w:r>
            <w:r>
              <w:rPr>
                <w:rFonts w:ascii="Times New Roman" w:cs="Times New Roman" w:eastAsia="Times New Roman" w:hAnsi="Times New Roman"/>
                <w:sz w:val="13"/>
                <w:szCs w:val="13"/>
                <w:color w:val="auto"/>
                <w:vertAlign w:val="superscript"/>
              </w:rPr>
              <w:t>(85)</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50,000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Meteora Capital Partners, L.P. </w:t>
            </w:r>
            <w:r>
              <w:rPr>
                <w:rFonts w:ascii="Times New Roman" w:cs="Times New Roman" w:eastAsia="Times New Roman" w:hAnsi="Times New Roman"/>
                <w:sz w:val="13"/>
                <w:szCs w:val="13"/>
                <w:color w:val="auto"/>
                <w:vertAlign w:val="superscript"/>
              </w:rPr>
              <w:t>(86)</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131,250</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131,250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Mohammad Anwar Khan</w:t>
            </w:r>
            <w:r>
              <w:rPr>
                <w:rFonts w:ascii="Times New Roman" w:cs="Times New Roman" w:eastAsia="Times New Roman" w:hAnsi="Times New Roman"/>
                <w:sz w:val="13"/>
                <w:szCs w:val="13"/>
                <w:color w:val="auto"/>
                <w:vertAlign w:val="superscript"/>
              </w:rPr>
              <w:t>(87)</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125,000</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125,000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Nautilus Master Fund, L.P. </w:t>
            </w:r>
            <w:r>
              <w:rPr>
                <w:rFonts w:ascii="Times New Roman" w:cs="Times New Roman" w:eastAsia="Times New Roman" w:hAnsi="Times New Roman"/>
                <w:sz w:val="13"/>
                <w:szCs w:val="13"/>
                <w:color w:val="auto"/>
                <w:vertAlign w:val="superscript"/>
              </w:rPr>
              <w:t>(88)</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106,000</w:t>
            </w:r>
            <w:r>
              <w:rPr>
                <w:rFonts w:ascii="Times New Roman" w:cs="Times New Roman" w:eastAsia="Times New Roman" w:hAnsi="Times New Roman"/>
                <w:sz w:val="13"/>
                <w:szCs w:val="13"/>
                <w:color w:val="auto"/>
                <w:vertAlign w:val="superscript"/>
              </w:rPr>
              <w:t>(89)</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70,200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35,800</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Patel Family Investment LLC</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206,398</w:t>
            </w:r>
            <w:r>
              <w:rPr>
                <w:rFonts w:ascii="Times New Roman" w:cs="Times New Roman" w:eastAsia="Times New Roman" w:hAnsi="Times New Roman"/>
                <w:sz w:val="13"/>
                <w:szCs w:val="13"/>
                <w:color w:val="auto"/>
                <w:vertAlign w:val="superscript"/>
              </w:rPr>
              <w:t>(90)</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166,667</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39,731</w:t>
            </w:r>
          </w:p>
        </w:tc>
        <w:tc>
          <w:tcPr>
            <w:tcW w:w="2760" w:type="dxa"/>
            <w:vAlign w:val="bottom"/>
          </w:tcPr>
          <w:p>
            <w:pPr>
              <w:spacing w:after="0"/>
              <w:rPr>
                <w:sz w:val="13"/>
                <w:szCs w:val="13"/>
                <w:color w:val="auto"/>
              </w:rPr>
            </w:pP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Polar Multi-Strategy Master Fund</w:t>
            </w:r>
            <w:r>
              <w:rPr>
                <w:rFonts w:ascii="Times New Roman" w:cs="Times New Roman" w:eastAsia="Times New Roman" w:hAnsi="Times New Roman"/>
                <w:sz w:val="13"/>
                <w:szCs w:val="13"/>
                <w:color w:val="auto"/>
                <w:vertAlign w:val="superscript"/>
              </w:rPr>
              <w:t>(91)</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1,086,250</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1,086,250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Purpose Alternative Credit Fund Ltd</w:t>
            </w:r>
            <w:r>
              <w:rPr>
                <w:rFonts w:ascii="Times New Roman" w:cs="Times New Roman" w:eastAsia="Times New Roman" w:hAnsi="Times New Roman"/>
                <w:sz w:val="13"/>
                <w:szCs w:val="13"/>
                <w:color w:val="auto"/>
                <w:vertAlign w:val="superscript"/>
              </w:rPr>
              <w:t>(83)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7,898</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7,898</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Purpose Alternative Credit Fund T LLC</w:t>
            </w:r>
            <w:r>
              <w:rPr>
                <w:rFonts w:ascii="Times New Roman" w:cs="Times New Roman" w:eastAsia="Times New Roman" w:hAnsi="Times New Roman"/>
                <w:sz w:val="13"/>
                <w:szCs w:val="13"/>
                <w:color w:val="auto"/>
                <w:vertAlign w:val="superscript"/>
              </w:rPr>
              <w:t>(83)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2,803</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2,803</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Quality Kiosk</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35,402</w:t>
            </w:r>
            <w:r>
              <w:rPr>
                <w:rFonts w:ascii="Times New Roman" w:cs="Times New Roman" w:eastAsia="Times New Roman" w:hAnsi="Times New Roman"/>
                <w:sz w:val="13"/>
                <w:szCs w:val="13"/>
                <w:color w:val="auto"/>
                <w:vertAlign w:val="superscript"/>
              </w:rPr>
              <w:t>(92)</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35,402</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Radcliffe SPAC Master Fund, L.P. </w:t>
            </w:r>
            <w:r>
              <w:rPr>
                <w:rFonts w:ascii="Times New Roman" w:cs="Times New Roman" w:eastAsia="Times New Roman" w:hAnsi="Times New Roman"/>
                <w:sz w:val="13"/>
                <w:szCs w:val="13"/>
                <w:color w:val="auto"/>
                <w:vertAlign w:val="superscript"/>
              </w:rPr>
              <w:t>(93)</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206,250</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206,250</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Jingquain Hou</w:t>
            </w:r>
            <w:r>
              <w:rPr>
                <w:rFonts w:ascii="Times New Roman" w:cs="Times New Roman" w:eastAsia="Times New Roman" w:hAnsi="Times New Roman"/>
                <w:sz w:val="13"/>
                <w:szCs w:val="13"/>
                <w:color w:val="auto"/>
                <w:vertAlign w:val="superscript"/>
              </w:rPr>
              <w:t>(94)</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2,321</w:t>
            </w:r>
            <w:r>
              <w:rPr>
                <w:rFonts w:ascii="Times New Roman" w:cs="Times New Roman" w:eastAsia="Times New Roman" w:hAnsi="Times New Roman"/>
                <w:sz w:val="13"/>
                <w:szCs w:val="13"/>
                <w:color w:val="auto"/>
                <w:vertAlign w:val="superscript"/>
              </w:rPr>
              <w:t>(95)</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2,321</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176"/>
        </w:trPr>
        <w:tc>
          <w:tcPr>
            <w:tcW w:w="2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RiverNorth Capital Partners, LP</w:t>
            </w:r>
            <w:r>
              <w:rPr>
                <w:rFonts w:ascii="Times New Roman" w:cs="Times New Roman" w:eastAsia="Times New Roman" w:hAnsi="Times New Roman"/>
                <w:sz w:val="13"/>
                <w:szCs w:val="13"/>
                <w:color w:val="auto"/>
                <w:vertAlign w:val="superscript"/>
              </w:rPr>
              <w:t>(96)</w:t>
            </w: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47,438</w:t>
            </w:r>
            <w:r>
              <w:rPr>
                <w:rFonts w:ascii="Times New Roman" w:cs="Times New Roman" w:eastAsia="Times New Roman" w:hAnsi="Times New Roman"/>
                <w:sz w:val="13"/>
                <w:szCs w:val="13"/>
                <w:color w:val="auto"/>
                <w:vertAlign w:val="superscript"/>
              </w:rPr>
              <w:t>(97)</w:t>
            </w:r>
          </w:p>
        </w:tc>
        <w:tc>
          <w:tcPr>
            <w:tcW w:w="138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10,313</w:t>
            </w:r>
          </w:p>
        </w:tc>
        <w:tc>
          <w:tcPr>
            <w:tcW w:w="2660" w:type="dxa"/>
            <w:vAlign w:val="bottom"/>
          </w:tcPr>
          <w:p>
            <w:pPr>
              <w:ind w:left="1320"/>
              <w:spacing w:after="0"/>
              <w:rPr>
                <w:sz w:val="20"/>
                <w:szCs w:val="20"/>
                <w:color w:val="auto"/>
              </w:rPr>
            </w:pPr>
            <w:r>
              <w:rPr>
                <w:rFonts w:ascii="Times New Roman" w:cs="Times New Roman" w:eastAsia="Times New Roman" w:hAnsi="Times New Roman"/>
                <w:sz w:val="10"/>
                <w:szCs w:val="10"/>
                <w:color w:val="auto"/>
              </w:rPr>
              <w:t>37,125</w:t>
            </w:r>
          </w:p>
        </w:tc>
        <w:tc>
          <w:tcPr>
            <w:tcW w:w="276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r>
      <w:tr>
        <w:trPr>
          <w:trHeight w:val="218"/>
        </w:trPr>
        <w:tc>
          <w:tcPr>
            <w:tcW w:w="2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106</w:t>
            </w:r>
          </w:p>
        </w:tc>
        <w:tc>
          <w:tcPr>
            <w:tcW w:w="2760" w:type="dxa"/>
            <w:vAlign w:val="bottom"/>
          </w:tcPr>
          <w:p>
            <w:pPr>
              <w:spacing w:after="0"/>
              <w:rPr>
                <w:sz w:val="18"/>
                <w:szCs w:val="18"/>
                <w:color w:val="auto"/>
              </w:rPr>
            </w:pPr>
          </w:p>
        </w:tc>
      </w:tr>
      <w:tr>
        <w:trPr>
          <w:trHeight w:val="422"/>
        </w:trPr>
        <w:tc>
          <w:tcPr>
            <w:tcW w:w="228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266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58" w:right="640" w:bottom="1440" w:gutter="0" w:footer="0" w:header="0"/>
        </w:sectPr>
      </w:pPr>
    </w:p>
    <w:bookmarkStart w:id="116" w:name="page117"/>
    <w:bookmarkEnd w:id="116"/>
    <w:tbl>
      <w:tblPr>
        <w:tblLayout w:type="fixed"/>
        <w:tblInd w:w="40" w:type="dxa"/>
        <w:tblCellMar>
          <w:top w:w="0" w:type="dxa"/>
          <w:left w:w="0" w:type="dxa"/>
          <w:bottom w:w="0" w:type="dxa"/>
          <w:right w:w="0" w:type="dxa"/>
        </w:tblCellMar>
      </w:tblP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RiverNorth Institutional Partners, LP</w:t>
            </w:r>
            <w:r>
              <w:rPr>
                <w:rFonts w:ascii="Times New Roman" w:cs="Times New Roman" w:eastAsia="Times New Roman" w:hAnsi="Times New Roman"/>
                <w:sz w:val="13"/>
                <w:szCs w:val="13"/>
                <w:color w:val="auto"/>
                <w:vertAlign w:val="superscript"/>
              </w:rPr>
              <w:t>(98)</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364,957</w:t>
            </w:r>
            <w:r>
              <w:rPr>
                <w:rFonts w:ascii="Times New Roman" w:cs="Times New Roman" w:eastAsia="Times New Roman" w:hAnsi="Times New Roman"/>
                <w:sz w:val="13"/>
                <w:szCs w:val="13"/>
                <w:color w:val="auto"/>
                <w:vertAlign w:val="superscript"/>
              </w:rPr>
              <w:t>(99)</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92,812</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272,145</w:t>
            </w:r>
          </w:p>
        </w:tc>
        <w:tc>
          <w:tcPr>
            <w:tcW w:w="1120" w:type="dxa"/>
            <w:vAlign w:val="bottom"/>
          </w:tcPr>
          <w:p>
            <w:pPr>
              <w:ind w:left="106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RiverNorth SPAC Arbitrage Fund, LP</w:t>
            </w:r>
            <w:r>
              <w:rPr>
                <w:rFonts w:ascii="Times New Roman" w:cs="Times New Roman" w:eastAsia="Times New Roman" w:hAnsi="Times New Roman"/>
                <w:sz w:val="13"/>
                <w:szCs w:val="13"/>
                <w:color w:val="auto"/>
                <w:vertAlign w:val="superscript"/>
              </w:rPr>
              <w:t>(100)</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474,375</w:t>
            </w:r>
            <w:r>
              <w:rPr>
                <w:rFonts w:ascii="Times New Roman" w:cs="Times New Roman" w:eastAsia="Times New Roman" w:hAnsi="Times New Roman"/>
                <w:sz w:val="13"/>
                <w:szCs w:val="13"/>
                <w:color w:val="auto"/>
                <w:vertAlign w:val="superscript"/>
              </w:rPr>
              <w:t>(101)</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103,125</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371,250</w:t>
            </w:r>
          </w:p>
        </w:tc>
        <w:tc>
          <w:tcPr>
            <w:tcW w:w="1120" w:type="dxa"/>
            <w:vAlign w:val="bottom"/>
          </w:tcPr>
          <w:p>
            <w:pPr>
              <w:ind w:left="106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Roth Capital Partners, LLC</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60,000</w:t>
            </w:r>
            <w:r>
              <w:rPr>
                <w:rFonts w:ascii="Times New Roman" w:cs="Times New Roman" w:eastAsia="Times New Roman" w:hAnsi="Times New Roman"/>
                <w:sz w:val="13"/>
                <w:szCs w:val="13"/>
                <w:color w:val="auto"/>
                <w:vertAlign w:val="superscript"/>
              </w:rPr>
              <w:t>(102)</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60,000</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Rong Lin</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25,603</w:t>
            </w:r>
            <w:r>
              <w:rPr>
                <w:rFonts w:ascii="Times New Roman" w:cs="Times New Roman" w:eastAsia="Times New Roman" w:hAnsi="Times New Roman"/>
                <w:sz w:val="13"/>
                <w:szCs w:val="13"/>
                <w:color w:val="auto"/>
                <w:vertAlign w:val="superscript"/>
              </w:rPr>
              <w:t>(103)</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9,283</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16,320</w:t>
            </w:r>
          </w:p>
        </w:tc>
        <w:tc>
          <w:tcPr>
            <w:tcW w:w="1120" w:type="dxa"/>
            <w:vAlign w:val="bottom"/>
          </w:tcPr>
          <w:p>
            <w:pPr>
              <w:ind w:left="106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Sam Lewis</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137,832</w:t>
            </w:r>
            <w:r>
              <w:rPr>
                <w:rFonts w:ascii="Times New Roman" w:cs="Times New Roman" w:eastAsia="Times New Roman" w:hAnsi="Times New Roman"/>
                <w:sz w:val="13"/>
                <w:szCs w:val="13"/>
                <w:color w:val="auto"/>
                <w:vertAlign w:val="superscript"/>
              </w:rPr>
              <w:t>(104)</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20,000</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117,832</w:t>
            </w:r>
          </w:p>
        </w:tc>
        <w:tc>
          <w:tcPr>
            <w:tcW w:w="1120" w:type="dxa"/>
            <w:vAlign w:val="bottom"/>
          </w:tcPr>
          <w:p>
            <w:pPr>
              <w:ind w:left="106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Sandia Investment Management LP</w:t>
            </w:r>
            <w:r>
              <w:rPr>
                <w:rFonts w:ascii="Times New Roman" w:cs="Times New Roman" w:eastAsia="Times New Roman" w:hAnsi="Times New Roman"/>
                <w:sz w:val="13"/>
                <w:szCs w:val="13"/>
                <w:color w:val="auto"/>
                <w:vertAlign w:val="superscript"/>
              </w:rPr>
              <w:t>(105)</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53,503</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53,503</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Sharat Williams</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3,372</w:t>
            </w:r>
            <w:r>
              <w:rPr>
                <w:rFonts w:ascii="Times New Roman" w:cs="Times New Roman" w:eastAsia="Times New Roman" w:hAnsi="Times New Roman"/>
                <w:sz w:val="13"/>
                <w:szCs w:val="13"/>
                <w:color w:val="auto"/>
                <w:vertAlign w:val="superscript"/>
              </w:rPr>
              <w:t>(106)</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3,372</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Susan Briggs</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35,155</w:t>
            </w:r>
            <w:r>
              <w:rPr>
                <w:rFonts w:ascii="Times New Roman" w:cs="Times New Roman" w:eastAsia="Times New Roman" w:hAnsi="Times New Roman"/>
                <w:sz w:val="13"/>
                <w:szCs w:val="13"/>
                <w:color w:val="auto"/>
                <w:vertAlign w:val="superscript"/>
              </w:rPr>
              <w:t>(107)</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35,155</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Tanist Group Limited</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999,978</w:t>
            </w:r>
            <w:r>
              <w:rPr>
                <w:rFonts w:ascii="Times New Roman" w:cs="Times New Roman" w:eastAsia="Times New Roman" w:hAnsi="Times New Roman"/>
                <w:sz w:val="13"/>
                <w:szCs w:val="13"/>
                <w:color w:val="auto"/>
                <w:vertAlign w:val="superscript"/>
              </w:rPr>
              <w:t>(108)</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209,523</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790,455</w:t>
            </w:r>
          </w:p>
        </w:tc>
        <w:tc>
          <w:tcPr>
            <w:tcW w:w="1120" w:type="dxa"/>
            <w:vAlign w:val="bottom"/>
          </w:tcPr>
          <w:p>
            <w:pPr>
              <w:ind w:left="106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Techouts Solutions India Pvt ltd</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17,078</w:t>
            </w:r>
            <w:r>
              <w:rPr>
                <w:rFonts w:ascii="Times New Roman" w:cs="Times New Roman" w:eastAsia="Times New Roman" w:hAnsi="Times New Roman"/>
                <w:sz w:val="13"/>
                <w:szCs w:val="13"/>
                <w:color w:val="auto"/>
                <w:vertAlign w:val="superscript"/>
              </w:rPr>
              <w:t>(109)</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17,078</w:t>
            </w:r>
          </w:p>
        </w:tc>
        <w:tc>
          <w:tcPr>
            <w:tcW w:w="2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The K2 Principal Fund L.P. </w:t>
            </w:r>
            <w:r>
              <w:rPr>
                <w:rFonts w:ascii="Times New Roman" w:cs="Times New Roman" w:eastAsia="Times New Roman" w:hAnsi="Times New Roman"/>
                <w:sz w:val="13"/>
                <w:szCs w:val="13"/>
                <w:color w:val="auto"/>
                <w:vertAlign w:val="superscript"/>
              </w:rPr>
              <w:t>(110)</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184,825</w:t>
            </w:r>
            <w:r>
              <w:rPr>
                <w:rFonts w:ascii="Times New Roman" w:cs="Times New Roman" w:eastAsia="Times New Roman" w:hAnsi="Times New Roman"/>
                <w:sz w:val="13"/>
                <w:szCs w:val="13"/>
                <w:color w:val="auto"/>
                <w:vertAlign w:val="superscript"/>
              </w:rPr>
              <w:t>(111)</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131,250</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53,575</w:t>
            </w:r>
          </w:p>
        </w:tc>
        <w:tc>
          <w:tcPr>
            <w:tcW w:w="1120" w:type="dxa"/>
            <w:vAlign w:val="bottom"/>
          </w:tcPr>
          <w:p>
            <w:pPr>
              <w:spacing w:after="0"/>
              <w:rPr>
                <w:sz w:val="13"/>
                <w:szCs w:val="13"/>
                <w:color w:val="auto"/>
              </w:rPr>
            </w:pP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Thomas Decker</w:t>
            </w:r>
            <w:r>
              <w:rPr>
                <w:rFonts w:ascii="Times New Roman" w:cs="Times New Roman" w:eastAsia="Times New Roman" w:hAnsi="Times New Roman"/>
                <w:sz w:val="13"/>
                <w:szCs w:val="13"/>
                <w:color w:val="auto"/>
                <w:vertAlign w:val="superscript"/>
              </w:rPr>
              <w:t>(112)</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125,000</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125,000</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Trustees of Risol Limited Pension</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462,063</w:t>
            </w:r>
            <w:r>
              <w:rPr>
                <w:rFonts w:ascii="Times New Roman" w:cs="Times New Roman" w:eastAsia="Times New Roman" w:hAnsi="Times New Roman"/>
                <w:sz w:val="13"/>
                <w:szCs w:val="13"/>
                <w:color w:val="auto"/>
                <w:vertAlign w:val="superscript"/>
              </w:rPr>
              <w:t>(113)</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21,429</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440,634</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UBIRY GmbH</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21,429</w:t>
            </w:r>
            <w:r>
              <w:rPr>
                <w:rFonts w:ascii="Times New Roman" w:cs="Times New Roman" w:eastAsia="Times New Roman" w:hAnsi="Times New Roman"/>
                <w:sz w:val="13"/>
                <w:szCs w:val="13"/>
                <w:color w:val="auto"/>
                <w:vertAlign w:val="superscript"/>
              </w:rPr>
              <w:t>(114)</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21,429</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Walleye Investments Fund LLC </w:t>
            </w:r>
            <w:r>
              <w:rPr>
                <w:rFonts w:ascii="Times New Roman" w:cs="Times New Roman" w:eastAsia="Times New Roman" w:hAnsi="Times New Roman"/>
                <w:sz w:val="13"/>
                <w:szCs w:val="13"/>
                <w:color w:val="auto"/>
                <w:vertAlign w:val="superscript"/>
              </w:rPr>
              <w:t>(115)</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7,166</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7,166</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Walleye Opportunities Master Fund Ltd</w:t>
            </w:r>
            <w:r>
              <w:rPr>
                <w:rFonts w:ascii="Times New Roman" w:cs="Times New Roman" w:eastAsia="Times New Roman" w:hAnsi="Times New Roman"/>
                <w:sz w:val="13"/>
                <w:szCs w:val="13"/>
                <w:color w:val="auto"/>
                <w:vertAlign w:val="superscript"/>
              </w:rPr>
              <w:t>(116)</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72,239</w:t>
            </w:r>
            <w:r>
              <w:rPr>
                <w:rFonts w:ascii="Times New Roman" w:cs="Times New Roman" w:eastAsia="Times New Roman" w:hAnsi="Times New Roman"/>
                <w:sz w:val="13"/>
                <w:szCs w:val="13"/>
                <w:color w:val="auto"/>
                <w:vertAlign w:val="superscript"/>
              </w:rPr>
              <w:t>(117)</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14,331</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57,908</w:t>
            </w:r>
          </w:p>
        </w:tc>
        <w:tc>
          <w:tcPr>
            <w:tcW w:w="1120" w:type="dxa"/>
            <w:vAlign w:val="bottom"/>
          </w:tcPr>
          <w:p>
            <w:pPr>
              <w:ind w:left="1060"/>
              <w:spacing w:after="0"/>
              <w:rPr>
                <w:sz w:val="20"/>
                <w:szCs w:val="20"/>
                <w:color w:val="auto"/>
              </w:rPr>
            </w:pPr>
            <w:r>
              <w:rPr>
                <w:rFonts w:ascii="Times New Roman" w:cs="Times New Roman" w:eastAsia="Times New Roman" w:hAnsi="Times New Roman"/>
                <w:sz w:val="10"/>
                <w:szCs w:val="10"/>
                <w:color w:val="auto"/>
                <w:w w:val="79"/>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Vellar Opportunities Fund Master, Ltd.</w:t>
            </w:r>
            <w:r>
              <w:rPr>
                <w:rFonts w:ascii="Times New Roman" w:cs="Times New Roman" w:eastAsia="Times New Roman" w:hAnsi="Times New Roman"/>
                <w:sz w:val="13"/>
                <w:szCs w:val="13"/>
                <w:color w:val="auto"/>
                <w:vertAlign w:val="superscript"/>
              </w:rPr>
              <w:t>(118)</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33,000</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33,000</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Yi-Han Pao</w:t>
            </w:r>
            <w:r>
              <w:rPr>
                <w:rFonts w:ascii="Times New Roman" w:cs="Times New Roman" w:eastAsia="Times New Roman" w:hAnsi="Times New Roman"/>
                <w:sz w:val="13"/>
                <w:szCs w:val="13"/>
                <w:color w:val="auto"/>
                <w:vertAlign w:val="superscript"/>
              </w:rPr>
              <w:t>(119)</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1,000</w:t>
            </w:r>
            <w:r>
              <w:rPr>
                <w:rFonts w:ascii="Times New Roman" w:cs="Times New Roman" w:eastAsia="Times New Roman" w:hAnsi="Times New Roman"/>
                <w:sz w:val="13"/>
                <w:szCs w:val="13"/>
                <w:color w:val="auto"/>
                <w:vertAlign w:val="superscript"/>
              </w:rPr>
              <w:t>(120)</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1,000</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Zedfesto Holding Ltd.</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100,000</w:t>
            </w:r>
            <w:r>
              <w:rPr>
                <w:rFonts w:ascii="Times New Roman" w:cs="Times New Roman" w:eastAsia="Times New Roman" w:hAnsi="Times New Roman"/>
                <w:sz w:val="13"/>
                <w:szCs w:val="13"/>
                <w:color w:val="auto"/>
                <w:vertAlign w:val="superscript"/>
              </w:rPr>
              <w:t>(121)</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100,000</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r>
        <w:trPr>
          <w:trHeight w:val="176"/>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Zheng Jie</w:t>
            </w:r>
          </w:p>
        </w:tc>
        <w:tc>
          <w:tcPr>
            <w:tcW w:w="16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1,857</w:t>
            </w:r>
            <w:r>
              <w:rPr>
                <w:rFonts w:ascii="Times New Roman" w:cs="Times New Roman" w:eastAsia="Times New Roman" w:hAnsi="Times New Roman"/>
                <w:sz w:val="13"/>
                <w:szCs w:val="13"/>
                <w:color w:val="auto"/>
                <w:vertAlign w:val="superscript"/>
              </w:rPr>
              <w:t>(122)</w:t>
            </w:r>
          </w:p>
        </w:tc>
        <w:tc>
          <w:tcPr>
            <w:tcW w:w="190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1,857</w:t>
            </w:r>
          </w:p>
        </w:tc>
        <w:tc>
          <w:tcPr>
            <w:tcW w:w="21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7"/>
                <w:szCs w:val="7"/>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1805305" cy="5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Less than 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(1)Includes Ordinary Shares underlying Warrants.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(2)Assumes the sale of all Ordinary Shares being offered pursuant to this prospectus.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(3)Mr. Daniel Wagner is the CEO and a director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(4)Mr. John Wagner is a director of Rezolve.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(5)Consists of (i) 815,989 Ordinary Shares; (ii) 2,835 Ordinary Shares, which is the maximum amount of Ordinary Shares issuable upon conversion of the Promissory Note held by Mr. Wagner, when converted at $7 per share; and (iii) 3,969 Ordinary Shares underlying the Private Warrants held by Mr. Wagner.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(6)Mr. Sharp is a director of Rezolve.</w:t>
      </w:r>
    </w:p>
    <w:p>
      <w:pPr>
        <w:spacing w:after="0" w:line="5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0"/>
          <w:szCs w:val="10"/>
          <w:color w:val="auto"/>
        </w:rPr>
        <w:t>(7)Consists of (i) 1,879,352 Ordinary Shares; (ii) 11,321 Ordinary Shares, which is the maximum amount of Ordinary Shares issuable upon conversion of the Promissory Note held by Mr. Sharp, when converted at $7 per share; (iii) 42,441 Ordinary Shares, which is the maximum number of Ordinary Shares issuable upon the conversion of the Advance Subscription made by Mr. Sharp; and (iv) 15,850 Ordinary Shares underlying the Private Warrants held by Mr. Sharp.</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(8)Sir David Wright is a director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(9)Mr. Perry is a director of Rezolve.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58" w:right="640" w:bottom="1440" w:gutter="0" w:footer="0" w:header="0"/>
        </w:sectPr>
      </w:pPr>
    </w:p>
    <w:bookmarkStart w:id="117" w:name="page118"/>
    <w:bookmarkEnd w:id="117"/>
    <w:p>
      <w:pPr>
        <w:ind w:right="160"/>
        <w:spacing w:after="0" w:line="245" w:lineRule="auto"/>
        <w:rPr>
          <w:sz w:val="20"/>
          <w:szCs w:val="20"/>
          <w:color w:val="auto"/>
        </w:rPr>
      </w:pPr>
      <w:r>
        <w:rPr>
          <w:rFonts w:ascii="Times New Roman" w:cs="Times New Roman" w:eastAsia="Times New Roman" w:hAnsi="Times New Roman"/>
          <w:sz w:val="10"/>
          <w:szCs w:val="10"/>
          <w:color w:val="auto"/>
        </w:rPr>
        <w:t>(10)Consists of (i) 564,935 Ordinary Shares; (ii) 9,071 Ordinary Shares, which is the maximum amount of Ordinary Shares issuable upon conversion of the Promissory Note held by Mr. Perry, when converted at $ 7 per share; (iii) 110,000 Ordinary Shares; which is the maximum number of Ordinary Shares issuable upon the conversion of the Advance Subscription made by Mr. Perry; (iv) 12,700 Ordinary Shares underlying the Private Warrants held by Mr. Perry; and (v) 19,017 Ordinary Shares, which is the maximum number of Ordinary Shares issuable upon conversion of the Convertible Note held by Mr. Perry.</w:t>
      </w:r>
    </w:p>
    <w:p>
      <w:pPr>
        <w:spacing w:after="0" w:line="4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(11)Mr. Lurio served as President and a director of Armada, which became a wholly owned subsidiary of the Company in connection with the Business Combination, since Armada’s inception in November 2020. Mr. Lurio became a director of Rezolve following the Business Combination and served in such capacity until his resignation on August 20, 2024. Mr. Lurio’s business address is 1007 Canterbury Lane, Villanova, PA 19805.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(12)Mr. Herbert is a director of Rezolve. Mr. Herbert served as Chief Executive Officer and Chairman of Armada, which became a wholly owned subsidiary of the Company in connection with the Business Combination, since Armada’s inception in November 2020. Mr.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Herbert’s business address is PO Box 2339, Breckenridge, CO 80424.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(13)Mr. Vesco is the Chief Commercial Officer and General Manager (EMEA) of Rezolve.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(14)Consists of (i) 1,142,384 Ordinary Shares and (ii) 11,249 Ordinary Shares, which is the maximum number of Ordinary Shares issuable upon the conversion of the Advance Subscription made by Mr. Vesco.</w:t>
      </w:r>
    </w:p>
    <w:p>
      <w:pPr>
        <w:spacing w:after="0" w:line="5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0"/>
          <w:szCs w:val="10"/>
          <w:color w:val="auto"/>
        </w:rPr>
        <w:t>(15)DBLP Sea Cow Limited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is wholly legally owned by Daniel Wagner and is wholly beneficially owned by John Wagner. Messrs. Daniel and John Wagner are each directors of DBLP and may be deemed to share voting and investment power over the shares held by DBLP. Messrs. Daniel and John Wagner are each directors of Rezolve.</w:t>
      </w:r>
    </w:p>
    <w:p>
      <w:pPr>
        <w:spacing w:after="0" w:line="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(16)Consists of (i) 35,266,716 Ordinary Shares; (ii) 178,571 Ordinary Shares, which is the maximum amount of Ordinary Shares issuable upon conversion of the Promissory Note held by DBLP, when converted at $7 per share; (iii) 4,150,000 Ordinary Shares, which is the maximum number of Ordinary Shares issuable upon the conversion of the Advance Subscription made by DBLP; and (iv) 250,000 Ordinary Shares underlying the Private Warrants held by DBLP.</w:t>
      </w:r>
    </w:p>
    <w:p>
      <w:pPr>
        <w:spacing w:after="0" w:line="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0"/>
          <w:szCs w:val="10"/>
          <w:color w:val="auto"/>
        </w:rPr>
        <w:t>(17)Mr. Lychagov has sole voting and investment power over these securities. 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spacing w:after="0" w:line="4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0"/>
          <w:szCs w:val="10"/>
          <w:color w:val="auto"/>
        </w:rPr>
        <w:t>(18)Consists of (i) 34,771,000 Ordinary Shares and (ii) 1,142,857 Ordinary Shares issuable upon conversion of the Convertible Note held by Mr. Lychagov. The aforementioned 1,142,857 Ordinary Shares figure accounts for only the principal amount of the loan and excludes accrued interest.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(19)Christian Angermayer is the majority shareholder of Apeiron Investment Group Limited (“</w:t>
      </w:r>
      <w:r>
        <w:rPr>
          <w:rFonts w:ascii="Times New Roman" w:cs="Times New Roman" w:eastAsia="Times New Roman" w:hAnsi="Times New Roman"/>
          <w:sz w:val="9"/>
          <w:szCs w:val="9"/>
          <w:b w:val="1"/>
          <w:bCs w:val="1"/>
          <w:i w:val="1"/>
          <w:iCs w:val="1"/>
          <w:color w:val="auto"/>
        </w:rPr>
        <w:t>Apeiron</w:t>
      </w:r>
      <w:r>
        <w:rPr>
          <w:rFonts w:ascii="Times New Roman" w:cs="Times New Roman" w:eastAsia="Times New Roman" w:hAnsi="Times New Roman"/>
          <w:sz w:val="9"/>
          <w:szCs w:val="9"/>
          <w:color w:val="auto"/>
        </w:rPr>
        <w:t>”) and may be deemed to share beneficial ownership of the securities beneficially owned by Apeiron. The principal business address of Apeiron and Mr. Angermayer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66 &amp; 67, Beatrice, Amery Street, Sliema SLM1707, Malta.</w:t>
      </w:r>
    </w:p>
    <w:p>
      <w:pPr>
        <w:spacing w:after="0" w:line="4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0"/>
          <w:szCs w:val="10"/>
          <w:color w:val="auto"/>
        </w:rPr>
        <w:t>(20)In its Schedule 13 filing on September 24, 2024, Apeiron reported beneficial ownership of 18,281,638 Ordinary Shares representing 10.4% of the class of Ordinary Shares, comprised of (i) 14,712,645 Ordinary Shares held beneficially and of record by Apeiron, (ii) 62,500 Ordinary Shares underlying currently exercisable warrants which Apeiron may be deemed to beneficially own, (iii) 3,173,160 Ordinary Shares that Apeiron has the right to acquire upon conversion of various convertible debt instruments which Apeiron may be deemed to beneficially own and (iv) 333,333 Ordinary Shares that Apeiron has the right to acquire pursuant to a contractual obligation with the Issuer which Apeiron may be deemed to beneficially own. The number of Ordinary Shares registered for resale by Apeiron pursuant to this Registration Statement has been calculated based on the aggregate of: (i) 10,712,645 Ordinary Shares, (ii) 182,886 Ordinary Shares with respect to Ordinary Shares issuable upon potential conversion of the Promissory Note held by Apeiron, (iii) 333,333 Ordinary Shares with respect to the potential conversion of the Advance Subscription made by Apeiron, (iv) 62,500 Ordinary Shares underlying the Private Warrants held by Apeiron; and (v) 21,681,948 Ordinary Shares with respect to Ordinary Shares issuable upon potential conversion of the Convertible Note held by Apeiron. Excludes 1,240,865 Ordinary Shares held by Apeiron on Brad Wickens' behalf.</w:t>
      </w:r>
    </w:p>
    <w:p>
      <w:pPr>
        <w:spacing w:after="0" w:line="18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0"/>
          <w:szCs w:val="10"/>
          <w:color w:val="auto"/>
        </w:rPr>
        <w:t>(21)YA II PN, Ltd. ("</w:t>
      </w:r>
      <w:r>
        <w:rPr>
          <w:rFonts w:ascii="Times New Roman" w:cs="Times New Roman" w:eastAsia="Times New Roman" w:hAnsi="Times New Roman"/>
          <w:sz w:val="10"/>
          <w:szCs w:val="10"/>
          <w:b w:val="1"/>
          <w:bCs w:val="1"/>
          <w:i w:val="1"/>
          <w:iCs w:val="1"/>
          <w:color w:val="auto"/>
        </w:rPr>
        <w:t>Yorkville</w:t>
      </w:r>
      <w:r>
        <w:rPr>
          <w:rFonts w:ascii="Times New Roman" w:cs="Times New Roman" w:eastAsia="Times New Roman" w:hAnsi="Times New Roman"/>
          <w:sz w:val="10"/>
          <w:szCs w:val="10"/>
          <w:color w:val="auto"/>
        </w:rPr>
        <w:t xml:space="preserve">") is managed by Yorkville Advisors Global, LP (“ </w:t>
      </w:r>
      <w:r>
        <w:rPr>
          <w:rFonts w:ascii="Times New Roman" w:cs="Times New Roman" w:eastAsia="Times New Roman" w:hAnsi="Times New Roman"/>
          <w:sz w:val="10"/>
          <w:szCs w:val="10"/>
          <w:b w:val="1"/>
          <w:bCs w:val="1"/>
          <w:i w:val="1"/>
          <w:iCs w:val="1"/>
          <w:color w:val="auto"/>
        </w:rPr>
        <w:t>Yorkville LP</w:t>
      </w:r>
      <w:r>
        <w:rPr>
          <w:rFonts w:ascii="Times New Roman" w:cs="Times New Roman" w:eastAsia="Times New Roman" w:hAnsi="Times New Roman"/>
          <w:sz w:val="10"/>
          <w:szCs w:val="10"/>
          <w:color w:val="auto"/>
        </w:rPr>
        <w:t>”). Yorkville Advisors Global II, LLC (“</w:t>
      </w:r>
      <w:r>
        <w:rPr>
          <w:rFonts w:ascii="Times New Roman" w:cs="Times New Roman" w:eastAsia="Times New Roman" w:hAnsi="Times New Roman"/>
          <w:sz w:val="10"/>
          <w:szCs w:val="10"/>
          <w:b w:val="1"/>
          <w:bCs w:val="1"/>
          <w:i w:val="1"/>
          <w:iCs w:val="1"/>
          <w:color w:val="auto"/>
        </w:rPr>
        <w:t>Yorkville LLC</w:t>
      </w:r>
      <w:r>
        <w:rPr>
          <w:rFonts w:ascii="Times New Roman" w:cs="Times New Roman" w:eastAsia="Times New Roman" w:hAnsi="Times New Roman"/>
          <w:sz w:val="10"/>
          <w:szCs w:val="10"/>
          <w:color w:val="auto"/>
        </w:rPr>
        <w:t>”) is the General Partner of Yorkville LP. All investment decisions for YA II PN, Ltd. are made by Yorkville LLC’s President and Managing Member, Mr. Mark Angelo. The business address of YA is 1012 Springfield Avenue, Mountainside, NJ 07092.</w:t>
      </w:r>
    </w:p>
    <w:p>
      <w:pPr>
        <w:spacing w:after="0" w:line="3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(22)Consists of (i) 149,996 Ordinary Shares directly held; (ii) 1,071,429 Ordinary Shares, which is the maximum amount of Ordinary Shares issuable upon conversion of the YA Notes by Yorkville, when converted at $7 per share; and (iii) 4,988,775 Ordinary Shares, which is the number of Ordinary Shares issuable upon a $50 million draw by the Company on the Second A&amp;R YA Agreement.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0"/>
          <w:szCs w:val="10"/>
          <w:color w:val="auto"/>
        </w:rPr>
        <w:t>(23)The principal business address of ACM Almeda Special Purpose Investment Fund II LP is One Rockefeller Center, 32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0"/>
          <w:szCs w:val="10"/>
          <w:color w:val="auto"/>
        </w:rPr>
        <w:t xml:space="preserve"> Floor, New York, NY 10020.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(24)Mr. Ivan Zinn may be deemed to share beneficial ownership of the securities beneficially owned by ACM Alamosa (Cayman) Holdco LP (“</w:t>
      </w:r>
      <w:r>
        <w:rPr>
          <w:rFonts w:ascii="Times New Roman" w:cs="Times New Roman" w:eastAsia="Times New Roman" w:hAnsi="Times New Roman"/>
          <w:sz w:val="9"/>
          <w:szCs w:val="9"/>
          <w:b w:val="1"/>
          <w:bCs w:val="1"/>
          <w:i w:val="1"/>
          <w:iCs w:val="1"/>
          <w:color w:val="auto"/>
        </w:rPr>
        <w:t>ACM Alamosa</w:t>
      </w:r>
      <w:r>
        <w:rPr>
          <w:rFonts w:ascii="Times New Roman" w:cs="Times New Roman" w:eastAsia="Times New Roman" w:hAnsi="Times New Roman"/>
          <w:sz w:val="9"/>
          <w:szCs w:val="9"/>
          <w:color w:val="auto"/>
        </w:rPr>
        <w:t>”). The principal business address of ACM Alamosa is One Rockefeller Center, 32</w:t>
      </w:r>
      <w:r>
        <w:rPr>
          <w:rFonts w:ascii="Times New Roman" w:cs="Times New Roman" w:eastAsia="Times New Roman" w:hAnsi="Times New Roman"/>
          <w:sz w:val="12"/>
          <w:szCs w:val="12"/>
          <w:color w:val="auto"/>
          <w:vertAlign w:val="superscript"/>
        </w:rPr>
        <w:t>nd</w:t>
      </w:r>
      <w:r>
        <w:rPr>
          <w:rFonts w:ascii="Times New Roman" w:cs="Times New Roman" w:eastAsia="Times New Roman" w:hAnsi="Times New Roman"/>
          <w:sz w:val="9"/>
          <w:szCs w:val="9"/>
          <w:color w:val="auto"/>
        </w:rPr>
        <w:t>Floor, New York, NY</w:t>
      </w:r>
    </w:p>
    <w:p>
      <w:pPr>
        <w:spacing w:after="0"/>
        <w:rPr>
          <w:sz w:val="20"/>
          <w:szCs w:val="20"/>
          <w:color w:val="auto"/>
        </w:rPr>
      </w:pPr>
      <w:r>
        <w:rPr>
          <w:rFonts w:ascii="Times New Roman" w:cs="Times New Roman" w:eastAsia="Times New Roman" w:hAnsi="Times New Roman"/>
          <w:sz w:val="10"/>
          <w:szCs w:val="10"/>
          <w:color w:val="auto"/>
        </w:rPr>
        <w:t>10020.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(25)Mr. Ivan Zinn may be deemed to share beneficial ownership of the securities beneficially owned by ACM ASOF VII (Cayman) Holdco LP (“</w:t>
      </w:r>
      <w:r>
        <w:rPr>
          <w:rFonts w:ascii="Times New Roman" w:cs="Times New Roman" w:eastAsia="Times New Roman" w:hAnsi="Times New Roman"/>
          <w:sz w:val="9"/>
          <w:szCs w:val="9"/>
          <w:b w:val="1"/>
          <w:bCs w:val="1"/>
          <w:i w:val="1"/>
          <w:iCs w:val="1"/>
          <w:color w:val="auto"/>
        </w:rPr>
        <w:t>ACM ASOF</w:t>
      </w:r>
      <w:r>
        <w:rPr>
          <w:rFonts w:ascii="Times New Roman" w:cs="Times New Roman" w:eastAsia="Times New Roman" w:hAnsi="Times New Roman"/>
          <w:sz w:val="9"/>
          <w:szCs w:val="9"/>
          <w:color w:val="auto"/>
        </w:rPr>
        <w:t>”). The principal business address of ACM ASOF is One Rockefeller Center, 32</w:t>
      </w:r>
      <w:r>
        <w:rPr>
          <w:rFonts w:ascii="Times New Roman" w:cs="Times New Roman" w:eastAsia="Times New Roman" w:hAnsi="Times New Roman"/>
          <w:sz w:val="12"/>
          <w:szCs w:val="12"/>
          <w:color w:val="auto"/>
          <w:vertAlign w:val="superscript"/>
        </w:rPr>
        <w:t>nd</w:t>
      </w:r>
      <w:r>
        <w:rPr>
          <w:rFonts w:ascii="Times New Roman" w:cs="Times New Roman" w:eastAsia="Times New Roman" w:hAnsi="Times New Roman"/>
          <w:sz w:val="9"/>
          <w:szCs w:val="9"/>
          <w:color w:val="auto"/>
        </w:rPr>
        <w:t xml:space="preserve"> Floor, New York, NY 10020.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(26)Mr. Krupczynski is a long-term employee of Rezolve and currently holds an active employment contract with the Company. The principal business address for Mr. Krupczynski is Przy Agorze 26/191, 01-930 Warsaw, Poland.</w:t>
      </w:r>
    </w:p>
    <w:p>
      <w:pPr>
        <w:spacing w:after="0" w:line="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0"/>
          <w:szCs w:val="10"/>
          <w:color w:val="auto"/>
        </w:rPr>
        <w:t>(27)Consists of (i) 24,480 Ordinary Shares; (ii) 67,113 Ordinary Shares, which is the maximum number of Ordinary Shares issuable upon the conversion of the Advance Subscription made by Mr. Krupczynski; and (iii) 16,230 Rezolve Options pursuant to an option grant agreement between Mr. Krupczynski and the Company.</w:t>
      </w:r>
    </w:p>
    <w:p>
      <w:pPr>
        <w:spacing w:after="0" w:line="4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0"/>
          <w:szCs w:val="10"/>
          <w:color w:val="auto"/>
        </w:rPr>
        <w:t>(28)Consists of (i) 979,186 Ordinary Shares, (ii) 4,464 Ordinary Shares, which is the maximum amount of Ordinary Shares issuable upon conversion of the Promissory Note held by Mr. Adam Wagner, when converted at $7 per share, and (iii) 6,250 Ordinary Shares underlying the Private Warrants held by Mr. Adam Wagner.</w:t>
      </w:r>
    </w:p>
    <w:p>
      <w:pPr>
        <w:spacing w:after="0" w:line="18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0"/>
          <w:szCs w:val="10"/>
          <w:color w:val="auto"/>
        </w:rPr>
        <w:t>(29)Mr. Himanshu Gulati is the Managing Member of the general partner of Antara Capital Total Return SPAC Master Fund L.P. ("</w:t>
      </w:r>
      <w:r>
        <w:rPr>
          <w:rFonts w:ascii="Times New Roman" w:cs="Times New Roman" w:eastAsia="Times New Roman" w:hAnsi="Times New Roman"/>
          <w:sz w:val="10"/>
          <w:szCs w:val="10"/>
          <w:b w:val="1"/>
          <w:bCs w:val="1"/>
          <w:i w:val="1"/>
          <w:iCs w:val="1"/>
          <w:color w:val="auto"/>
        </w:rPr>
        <w:t>Antara Capital Total Return</w:t>
      </w:r>
      <w:r>
        <w:rPr>
          <w:rFonts w:ascii="Times New Roman" w:cs="Times New Roman" w:eastAsia="Times New Roman" w:hAnsi="Times New Roman"/>
          <w:sz w:val="10"/>
          <w:szCs w:val="10"/>
          <w:color w:val="auto"/>
        </w:rPr>
        <w:t>") and may be deemed to beneficially own the securities owned by Antara Capital Total Return. The principal business address of Antara Capital Total Return is 2005 Market Street, Suite 3120, Philadelphia, PA 19103.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(30)Consists of (i) 1,631,977 Ordinary Shares and (ii) 33,333 Ordinary Shares, which is the maximum number of Ordinary Shares issuable upon the conversion of the Advance Subscription made by Aperitus Limited.</w:t>
      </w:r>
    </w:p>
    <w:p>
      <w:pPr>
        <w:spacing w:after="0" w:line="5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0"/>
          <w:szCs w:val="10"/>
          <w:color w:val="auto"/>
        </w:rPr>
        <w:t>(31)AQR Absolute Return Master Account, L.P. (“</w:t>
      </w:r>
      <w:r>
        <w:rPr>
          <w:rFonts w:ascii="Times New Roman" w:cs="Times New Roman" w:eastAsia="Times New Roman" w:hAnsi="Times New Roman"/>
          <w:sz w:val="10"/>
          <w:szCs w:val="10"/>
          <w:b w:val="1"/>
          <w:bCs w:val="1"/>
          <w:i w:val="1"/>
          <w:iCs w:val="1"/>
          <w:color w:val="auto"/>
        </w:rPr>
        <w:t>AQR Absolute Return</w:t>
      </w:r>
      <w:r>
        <w:rPr>
          <w:rFonts w:ascii="Times New Roman" w:cs="Times New Roman" w:eastAsia="Times New Roman" w:hAnsi="Times New Roman"/>
          <w:sz w:val="10"/>
          <w:szCs w:val="10"/>
          <w:color w:val="auto"/>
        </w:rPr>
        <w:t>”) is a Cayman Islands exempted limited partnership. AQR Principal Global Asset Allocation LLC, a Delaware limited liability company, is its general partner. AQR Capital Management, LLC (“</w:t>
      </w:r>
      <w:r>
        <w:rPr>
          <w:rFonts w:ascii="Times New Roman" w:cs="Times New Roman" w:eastAsia="Times New Roman" w:hAnsi="Times New Roman"/>
          <w:sz w:val="10"/>
          <w:szCs w:val="10"/>
          <w:b w:val="1"/>
          <w:bCs w:val="1"/>
          <w:i w:val="1"/>
          <w:iCs w:val="1"/>
          <w:color w:val="auto"/>
        </w:rPr>
        <w:t>AQR Capital Management</w:t>
      </w:r>
      <w:r>
        <w:rPr>
          <w:rFonts w:ascii="Times New Roman" w:cs="Times New Roman" w:eastAsia="Times New Roman" w:hAnsi="Times New Roman"/>
          <w:sz w:val="10"/>
          <w:szCs w:val="10"/>
          <w:color w:val="auto"/>
        </w:rPr>
        <w:t>”) and AQR Arbitrage, LLC (“</w:t>
      </w:r>
      <w:r>
        <w:rPr>
          <w:rFonts w:ascii="Times New Roman" w:cs="Times New Roman" w:eastAsia="Times New Roman" w:hAnsi="Times New Roman"/>
          <w:sz w:val="10"/>
          <w:szCs w:val="10"/>
          <w:b w:val="1"/>
          <w:bCs w:val="1"/>
          <w:i w:val="1"/>
          <w:iCs w:val="1"/>
          <w:color w:val="auto"/>
        </w:rPr>
        <w:t>AQR Arbitrage</w:t>
      </w:r>
      <w:r>
        <w:rPr>
          <w:rFonts w:ascii="Times New Roman" w:cs="Times New Roman" w:eastAsia="Times New Roman" w:hAnsi="Times New Roman"/>
          <w:sz w:val="10"/>
          <w:szCs w:val="10"/>
          <w:color w:val="auto"/>
        </w:rPr>
        <w:t>”), each a Delaware limited liability company, act as investment adviser to AQR Absolute Return. AQR Arbitrage is deemed to be controlled by AQR Capital Management. AQR Capital Management is a wholly -owned subsidiary of AQR Capital Management Holdings, LLC, a Delaware limited liability company (“</w:t>
      </w:r>
      <w:r>
        <w:rPr>
          <w:rFonts w:ascii="Times New Roman" w:cs="Times New Roman" w:eastAsia="Times New Roman" w:hAnsi="Times New Roman"/>
          <w:sz w:val="10"/>
          <w:szCs w:val="10"/>
          <w:b w:val="1"/>
          <w:bCs w:val="1"/>
          <w:i w:val="1"/>
          <w:iCs w:val="1"/>
          <w:color w:val="auto"/>
        </w:rPr>
        <w:t>AQR Capital Management Holdings</w:t>
      </w:r>
      <w:r>
        <w:rPr>
          <w:rFonts w:ascii="Times New Roman" w:cs="Times New Roman" w:eastAsia="Times New Roman" w:hAnsi="Times New Roman"/>
          <w:sz w:val="10"/>
          <w:szCs w:val="10"/>
          <w:color w:val="auto"/>
        </w:rPr>
        <w:t>”). AQR Absolute Return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Absolute Return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Absolute Return is One Greenwich Plaza, Suite 130, Greenwich, CT 06830.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(32)Consists of (i) 4,125 Ordinary Shares and (ii) 9,625 Ordinary Shares underlying the Public Warrants owned by AQR Absolute Return that will be exercisable within 60 days of the date hereof.</w:t>
      </w:r>
    </w:p>
    <w:p>
      <w:pPr>
        <w:spacing w:after="0" w:line="5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0"/>
          <w:szCs w:val="10"/>
          <w:color w:val="auto"/>
        </w:rPr>
        <w:t>(33)AQR Diversified Arbitrage Fund (“</w:t>
      </w:r>
      <w:r>
        <w:rPr>
          <w:rFonts w:ascii="Times New Roman" w:cs="Times New Roman" w:eastAsia="Times New Roman" w:hAnsi="Times New Roman"/>
          <w:sz w:val="10"/>
          <w:szCs w:val="10"/>
          <w:b w:val="1"/>
          <w:bCs w:val="1"/>
          <w:i w:val="1"/>
          <w:iCs w:val="1"/>
          <w:color w:val="auto"/>
        </w:rPr>
        <w:t>AQR Diversified Arbitrage</w:t>
      </w:r>
      <w:r>
        <w:rPr>
          <w:rFonts w:ascii="Times New Roman" w:cs="Times New Roman" w:eastAsia="Times New Roman" w:hAnsi="Times New Roman"/>
          <w:sz w:val="10"/>
          <w:szCs w:val="10"/>
          <w:color w:val="auto"/>
        </w:rPr>
        <w:t>”) is a series of AQR Funds, a Delaware statutory trust registered as an open-end management investment company with the U.S. Securities and Exchange Commission. AQR Capital Management and AQR Arbitrage act as investment adviser and sub-adviser, respectively, to AQR Diversified Arbitrage. AQR Arbitrage is deemed to be controlled by AQR Capital Management. AQR Capital Management is a wholly-owned subsidiary of AQR Capital Management Holdings. AQR Diversified Arbitrage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Diversified Arbitrage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Diversified Arbitrage is One Greenwich Plaza, Suite 130, Greenwich, CT 06830.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(34)Consists of (i) 19,875 Ordinary Shares and (ii) 66,166 Ordinary Shares underlying the Warrants owned by AQR Diversified Arbitrage that will be exercisable within 60 days of the date hereof.</w:t>
      </w:r>
    </w:p>
    <w:p>
      <w:pPr>
        <w:spacing w:after="0" w:line="5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0"/>
          <w:szCs w:val="10"/>
          <w:color w:val="auto"/>
        </w:rPr>
        <w:t>(35)AQR Global Alternative Investment Offshore Fund, L.P. (“</w:t>
      </w:r>
      <w:r>
        <w:rPr>
          <w:rFonts w:ascii="Times New Roman" w:cs="Times New Roman" w:eastAsia="Times New Roman" w:hAnsi="Times New Roman"/>
          <w:sz w:val="10"/>
          <w:szCs w:val="10"/>
          <w:b w:val="1"/>
          <w:bCs w:val="1"/>
          <w:i w:val="1"/>
          <w:iCs w:val="1"/>
          <w:color w:val="auto"/>
        </w:rPr>
        <w:t>AQR Global</w:t>
      </w:r>
      <w:r>
        <w:rPr>
          <w:rFonts w:ascii="Times New Roman" w:cs="Times New Roman" w:eastAsia="Times New Roman" w:hAnsi="Times New Roman"/>
          <w:sz w:val="10"/>
          <w:szCs w:val="10"/>
          <w:color w:val="auto"/>
        </w:rPr>
        <w:t>”) is a Cayman Islands exempted limited partnership AQR Capital Management GP Ltd., a Cayman Islands company, is its general partner. AQR Capital Management and AQR Arbitrage act as investment adviser to AQR Global. AQR Arbitrage is deemed to be controlled by AQR Capital Management. AQR Capital Management is a wholly owned subsidiary of AQR Capital Management Holdings. AQR Global is an affiliate of a registered broker-dealer and has represented to us that the Ordinary Shares held by it were purchased in the ordinary course of</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3" w:right="640" w:bottom="1440" w:gutter="0" w:footer="0" w:header="0"/>
        </w:sectPr>
      </w:pPr>
    </w:p>
    <w:bookmarkStart w:id="119" w:name="page120"/>
    <w:bookmarkEnd w:id="119"/>
    <w:p>
      <w:pPr>
        <w:ind w:left="10"/>
        <w:spacing w:after="0" w:line="245" w:lineRule="auto"/>
        <w:rPr>
          <w:sz w:val="20"/>
          <w:szCs w:val="20"/>
          <w:color w:val="auto"/>
        </w:rPr>
      </w:pPr>
      <w:r>
        <w:rPr>
          <w:rFonts w:ascii="Times New Roman" w:cs="Times New Roman" w:eastAsia="Times New Roman" w:hAnsi="Times New Roman"/>
          <w:sz w:val="10"/>
          <w:szCs w:val="10"/>
          <w:color w:val="auto"/>
        </w:rPr>
        <w:t>business and that at the time of purchase, it did not have any agreements or understandings, directly or indirectly, with any person to distribute such shares. To the extent that we become aware that AQR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Global is One Greenwich Plaza, Suite 130, Greenwich, CT 06830.</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(36)Consists of (i) 18,857 Ordinary Shares and (ii) 44,000 Ordinary Shares underlying the Public Warrants owned by AQR Global that will be exercisable within 60 days of the date hereof.</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(37)Mr. Yao is the Chief Executive Officer of Rezolve’s China office. The principal business address for Mr. Yao is No. 2 Zhuang, 268 Hao, Qinggong Lu, Fengxianqu, Shanghai, China.</w:t>
      </w:r>
    </w:p>
    <w:p>
      <w:pPr>
        <w:spacing w:after="0" w:line="58"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10"/>
          <w:szCs w:val="10"/>
          <w:color w:val="auto"/>
        </w:rPr>
        <w:t>(38)Consists of (i) 1,192,335 Ordinary Shares; (ii) 13,393, which is the maximum amount of Ordinary Shares issuable upon conversion of the Promissory Note held by Mr. Yao, when converted at $7 per share; (iii) 49,951 Ordinary Shares, which is the maximum number of Ordinary Shares issuable upon the conversion of the Advance Subscription made by Mr. Yao; and (iv) 18,750 Ordinary Shares underlying the Private Warrants held by Mr. Yao.</w:t>
      </w:r>
    </w:p>
    <w:p>
      <w:pPr>
        <w:spacing w:after="0" w:line="39" w:lineRule="exact"/>
        <w:rPr>
          <w:sz w:val="20"/>
          <w:szCs w:val="20"/>
          <w:color w:val="auto"/>
        </w:rPr>
      </w:pPr>
    </w:p>
    <w:p>
      <w:pPr>
        <w:ind w:left="10" w:right="60"/>
        <w:spacing w:after="0" w:line="243" w:lineRule="auto"/>
        <w:rPr>
          <w:sz w:val="20"/>
          <w:szCs w:val="20"/>
          <w:color w:val="auto"/>
        </w:rPr>
      </w:pPr>
      <w:r>
        <w:rPr>
          <w:rFonts w:ascii="Times New Roman" w:cs="Times New Roman" w:eastAsia="Times New Roman" w:hAnsi="Times New Roman"/>
          <w:sz w:val="10"/>
          <w:szCs w:val="10"/>
          <w:color w:val="auto"/>
        </w:rPr>
        <w:t>(39)Mr. Andrew Davilman, in his capacity as the Chief Operating Officer, may be deemed to control the securities owned by ASJC Global LLC - Series 14 ("</w:t>
      </w:r>
      <w:r>
        <w:rPr>
          <w:rFonts w:ascii="Times New Roman" w:cs="Times New Roman" w:eastAsia="Times New Roman" w:hAnsi="Times New Roman"/>
          <w:sz w:val="10"/>
          <w:szCs w:val="10"/>
          <w:b w:val="1"/>
          <w:bCs w:val="1"/>
          <w:i w:val="1"/>
          <w:iCs w:val="1"/>
          <w:color w:val="auto"/>
        </w:rPr>
        <w:t>ASJC Global</w:t>
      </w:r>
      <w:r>
        <w:rPr>
          <w:rFonts w:ascii="Times New Roman" w:cs="Times New Roman" w:eastAsia="Times New Roman" w:hAnsi="Times New Roman"/>
          <w:sz w:val="10"/>
          <w:szCs w:val="10"/>
          <w:color w:val="auto"/>
        </w:rPr>
        <w:t>"). ASJC Global is an affiliate of a registered broker -dealer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ASJC Global did not acquire their Ordinary Shares in the ordinary course of business, or did have such an agreement or understanding, we will file a post- effective amendment to the registration statement of which this prospectus forms part to designate such affiliate as an “underwriter” within the meaning of the Securities Act. The principal business office of ASJC Global is 3 Columbus Circle, 24th Floor, New York, NY 10019.</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(40)The principal business address of Atalaya Special Purpose Investment Fund II LP is One Rockefeller Center, 32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0"/>
          <w:szCs w:val="10"/>
          <w:color w:val="auto"/>
        </w:rPr>
        <w:t xml:space="preserve"> Floor, New York, NY 10020.</w:t>
      </w:r>
    </w:p>
    <w:p>
      <w:pPr>
        <w:spacing w:after="0" w:line="35" w:lineRule="exact"/>
        <w:rPr>
          <w:sz w:val="20"/>
          <w:szCs w:val="20"/>
          <w:color w:val="auto"/>
        </w:rPr>
      </w:pPr>
    </w:p>
    <w:p>
      <w:pPr>
        <w:ind w:left="10"/>
        <w:spacing w:after="0" w:line="241" w:lineRule="auto"/>
        <w:rPr>
          <w:sz w:val="20"/>
          <w:szCs w:val="20"/>
          <w:color w:val="auto"/>
        </w:rPr>
      </w:pPr>
      <w:r>
        <w:rPr>
          <w:rFonts w:ascii="Times New Roman" w:cs="Times New Roman" w:eastAsia="Times New Roman" w:hAnsi="Times New Roman"/>
          <w:sz w:val="10"/>
          <w:szCs w:val="10"/>
          <w:color w:val="auto"/>
        </w:rPr>
        <w:t>(41)Offered securities consist of the maximum number of Ordinary Shares that may be issued in relation to those Ordinary Shares the Company issued to Berenberg Capital Markets LLC (“</w:t>
      </w:r>
      <w:r>
        <w:rPr>
          <w:rFonts w:ascii="Times New Roman" w:cs="Times New Roman" w:eastAsia="Times New Roman" w:hAnsi="Times New Roman"/>
          <w:sz w:val="10"/>
          <w:szCs w:val="10"/>
          <w:b w:val="1"/>
          <w:bCs w:val="1"/>
          <w:i w:val="1"/>
          <w:iCs w:val="1"/>
          <w:color w:val="auto"/>
        </w:rPr>
        <w:t>Berenberg</w:t>
      </w:r>
      <w:r>
        <w:rPr>
          <w:rFonts w:ascii="Times New Roman" w:cs="Times New Roman" w:eastAsia="Times New Roman" w:hAnsi="Times New Roman"/>
          <w:sz w:val="10"/>
          <w:szCs w:val="10"/>
          <w:color w:val="auto"/>
        </w:rPr>
        <w:t>”), a registered broker-dealer, as transaction-based compensation for the performance of investment banking services rendered to the Company in connection with the recently completed Business Combination. The business address of Berenberg is 1251 Avenue of the Americas, 53rd Floor, New York, NY 10020. Berenberg's sole member is Berenberg Asset Management LLC ("</w:t>
      </w:r>
      <w:r>
        <w:rPr>
          <w:rFonts w:ascii="Times New Roman" w:cs="Times New Roman" w:eastAsia="Times New Roman" w:hAnsi="Times New Roman"/>
          <w:sz w:val="10"/>
          <w:szCs w:val="10"/>
          <w:b w:val="1"/>
          <w:bCs w:val="1"/>
          <w:i w:val="1"/>
          <w:iCs w:val="1"/>
          <w:color w:val="auto"/>
        </w:rPr>
        <w:t>BAM</w:t>
      </w:r>
      <w:r>
        <w:rPr>
          <w:rFonts w:ascii="Times New Roman" w:cs="Times New Roman" w:eastAsia="Times New Roman" w:hAnsi="Times New Roman"/>
          <w:sz w:val="10"/>
          <w:szCs w:val="10"/>
          <w:color w:val="auto"/>
        </w:rPr>
        <w:t>"). BAM's sole member is Berenberg Americas LLC, which in turn is a wholly owned subsidiary of Berenberg Beteiligungsholding GmbH ("</w:t>
      </w:r>
      <w:r>
        <w:rPr>
          <w:rFonts w:ascii="Times New Roman" w:cs="Times New Roman" w:eastAsia="Times New Roman" w:hAnsi="Times New Roman"/>
          <w:sz w:val="10"/>
          <w:szCs w:val="10"/>
          <w:b w:val="1"/>
          <w:bCs w:val="1"/>
          <w:i w:val="1"/>
          <w:iCs w:val="1"/>
          <w:color w:val="auto"/>
        </w:rPr>
        <w:t>BBH</w:t>
      </w:r>
      <w:r>
        <w:rPr>
          <w:rFonts w:ascii="Times New Roman" w:cs="Times New Roman" w:eastAsia="Times New Roman" w:hAnsi="Times New Roman"/>
          <w:sz w:val="10"/>
          <w:szCs w:val="10"/>
          <w:color w:val="auto"/>
        </w:rPr>
        <w:t>"). BBH is the holding company for Joh. Berenberg, Gossler &amp; Co. KG, a German regulated bank. The business address of Joh. Berenberg, Gossler &amp; Co. KG is Neuer Jungfernstieg 20, 20354 Hamburg, Germany. No natural person holds more than 25% of the ownership interests in Joh. Berenberg, Gossler &amp; Co. KG or controls more than 25% of the voting rights thereof and can therefore be regarded as the beneficial owner of the Ordinary Shares held by the Selling Holder.</w:t>
      </w:r>
    </w:p>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(42)The principal business address of Boston Patriot Merrimack ST. LLC is c/o PRIM Board, 84 State St. Suite 250, Boston, MA 02109.</w:t>
      </w:r>
    </w:p>
    <w:p>
      <w:pPr>
        <w:spacing w:after="0" w:line="58" w:lineRule="exact"/>
        <w:rPr>
          <w:sz w:val="20"/>
          <w:szCs w:val="20"/>
          <w:color w:val="auto"/>
        </w:rPr>
      </w:pPr>
    </w:p>
    <w:p>
      <w:pPr>
        <w:ind w:left="10" w:right="80"/>
        <w:spacing w:after="0" w:line="245" w:lineRule="auto"/>
        <w:rPr>
          <w:sz w:val="20"/>
          <w:szCs w:val="20"/>
          <w:color w:val="auto"/>
        </w:rPr>
      </w:pPr>
      <w:r>
        <w:rPr>
          <w:rFonts w:ascii="Times New Roman" w:cs="Times New Roman" w:eastAsia="Times New Roman" w:hAnsi="Times New Roman"/>
          <w:sz w:val="10"/>
          <w:szCs w:val="10"/>
          <w:color w:val="auto"/>
        </w:rPr>
        <w:t>(43)Consists of (i) 7,897,913 Ordinary Shares, (ii) 1,240,865 Ordinary Shares currently held by Apeiron on Mr. Wickens' behalf, (iii) 44,643 Ordinary Shares, which is the amount of Ordinary Shares issuable upon conversion of the Promissory Note held by Mr. Wickens when converted at $7 per share, (iv) 333,333 Ordinary Shares, which is the maximum number of Ordinary Shares issuable upon the conversion of the Advance Subscription made by Mr. Wickens, (v) 62,500 Ordinary Shares underlying the Private Warrants held by Mr. Wickens; and (vi) 2,965,206 Ordinary Shares issuable upon conversion of the Convertible Note held by Mr. Wickens.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(44)Consists of (i) 15,170,676 Ordinary Shares and (ii) 9,200,000 Ordinary Shares, which is the maximum number of Ordinary Shares issuable upon the conversion of the Advance Subscription made by Mr. Newmark.</w:t>
      </w:r>
    </w:p>
    <w:p>
      <w:pPr>
        <w:spacing w:after="0" w:line="56" w:lineRule="exact"/>
        <w:rPr>
          <w:sz w:val="20"/>
          <w:szCs w:val="20"/>
          <w:color w:val="auto"/>
        </w:rPr>
      </w:pPr>
    </w:p>
    <w:p>
      <w:pPr>
        <w:ind w:left="10" w:right="20" w:hanging="10"/>
        <w:spacing w:after="0" w:line="243" w:lineRule="auto"/>
        <w:tabs>
          <w:tab w:leader="none" w:pos="199"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Cantor Fitzgerald &amp; Co. ("</w:t>
      </w:r>
      <w:r>
        <w:rPr>
          <w:rFonts w:ascii="Times New Roman" w:cs="Times New Roman" w:eastAsia="Times New Roman" w:hAnsi="Times New Roman"/>
          <w:sz w:val="10"/>
          <w:szCs w:val="10"/>
          <w:b w:val="1"/>
          <w:bCs w:val="1"/>
          <w:i w:val="1"/>
          <w:iCs w:val="1"/>
          <w:color w:val="auto"/>
        </w:rPr>
        <w:t>CF&amp;CO</w:t>
      </w:r>
      <w:r>
        <w:rPr>
          <w:rFonts w:ascii="Times New Roman" w:cs="Times New Roman" w:eastAsia="Times New Roman" w:hAnsi="Times New Roman"/>
          <w:sz w:val="10"/>
          <w:szCs w:val="10"/>
          <w:color w:val="auto"/>
        </w:rPr>
        <w:t>")is the record owner of the securities. The business address of CF&amp;CO is 110 East 59th Street, New York, NY 10022. Cantor Fitzgerald Securities ("</w:t>
      </w:r>
      <w:r>
        <w:rPr>
          <w:rFonts w:ascii="Times New Roman" w:cs="Times New Roman" w:eastAsia="Times New Roman" w:hAnsi="Times New Roman"/>
          <w:sz w:val="10"/>
          <w:szCs w:val="10"/>
          <w:b w:val="1"/>
          <w:bCs w:val="1"/>
          <w:i w:val="1"/>
          <w:iCs w:val="1"/>
          <w:color w:val="auto"/>
        </w:rPr>
        <w:t>CFS</w:t>
      </w:r>
      <w:r>
        <w:rPr>
          <w:rFonts w:ascii="Times New Roman" w:cs="Times New Roman" w:eastAsia="Times New Roman" w:hAnsi="Times New Roman"/>
          <w:sz w:val="10"/>
          <w:szCs w:val="10"/>
          <w:color w:val="auto"/>
        </w:rPr>
        <w:t>") controls the managing general partner of CF&amp;CO. Cantor Fitzgerald, L.P. ("CFLP") indirectly controls each of CFS and CF&amp;CO. CFLP is controlled by CF Group Management, Inc. ("</w:t>
      </w:r>
      <w:r>
        <w:rPr>
          <w:rFonts w:ascii="Times New Roman" w:cs="Times New Roman" w:eastAsia="Times New Roman" w:hAnsi="Times New Roman"/>
          <w:sz w:val="10"/>
          <w:szCs w:val="10"/>
          <w:b w:val="1"/>
          <w:bCs w:val="1"/>
          <w:i w:val="1"/>
          <w:iCs w:val="1"/>
          <w:color w:val="auto"/>
        </w:rPr>
        <w:t>CFGM</w:t>
      </w:r>
      <w:r>
        <w:rPr>
          <w:rFonts w:ascii="Times New Roman" w:cs="Times New Roman" w:eastAsia="Times New Roman" w:hAnsi="Times New Roman"/>
          <w:sz w:val="10"/>
          <w:szCs w:val="10"/>
          <w:color w:val="auto"/>
        </w:rPr>
        <w:t>"), its managing general partner. Mr. Howard Lutnick is the Chairman and Chief Executive Officer of CFGM and also the trustee of CFGM's sole stockholder and therefore controls CFGM. As such, each of CFS, CFLP, CFGM and Mr. Lutnick may be deemed to have beneficial ownership of the securities directly held by CF&amp;CO. Each such entity or person disclaims any beneficial ownership of the reported shares other than to the extent of any pecuniary interest they may have therein, directly or indirectly.</w:t>
      </w:r>
    </w:p>
    <w:p>
      <w:pPr>
        <w:spacing w:after="0" w:line="10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95" w:right="640" w:bottom="1440" w:gutter="0" w:footer="0" w:header="0"/>
        </w:sectPr>
      </w:pPr>
    </w:p>
    <w:bookmarkStart w:id="120" w:name="page121"/>
    <w:bookmarkEnd w:id="120"/>
    <w:p>
      <w:pPr>
        <w:ind w:left="10" w:right="160" w:hanging="10"/>
        <w:spacing w:after="0" w:line="255" w:lineRule="auto"/>
        <w:tabs>
          <w:tab w:leader="none" w:pos="199"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Offered securities consist of the maximum number of Ordinary Shares that may be issued in relation to those Ordinary Shares the Company issued to CF&amp;CO, a registered broker-dealer, as transaction-based compensation for the performance of investment banking services rendered to the Company in connection with the recently completed Business Combination.</w:t>
      </w:r>
    </w:p>
    <w:p>
      <w:pPr>
        <w:spacing w:after="0" w:line="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(47)Consists of (i) 20,553 Ordinary Shares and (ii) 10,000 Ordinary Shares, which is the maximum number of Ordinary Shares issuable upon the conversion of the Advance Subscription made by Cecil Levy.</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(48)Mr. White served as a director of Armada, which became a wholly owned subsidiary of the Company in connection with the Business Combination, since August 2021. Mr. White’s principal business address is 34 N. Calibogue Cay Road, Hilton Head Island, SC</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29928.</w:t>
      </w:r>
    </w:p>
    <w:p>
      <w:pPr>
        <w:spacing w:after="0" w:line="46" w:lineRule="exact"/>
        <w:rPr>
          <w:sz w:val="20"/>
          <w:szCs w:val="20"/>
          <w:color w:val="auto"/>
        </w:rPr>
      </w:pPr>
    </w:p>
    <w:p>
      <w:pPr>
        <w:ind w:left="10"/>
        <w:spacing w:after="0" w:line="243" w:lineRule="auto"/>
        <w:rPr>
          <w:sz w:val="20"/>
          <w:szCs w:val="20"/>
          <w:color w:val="auto"/>
        </w:rPr>
      </w:pPr>
      <w:r>
        <w:rPr>
          <w:rFonts w:ascii="Times New Roman" w:cs="Times New Roman" w:eastAsia="Times New Roman" w:hAnsi="Times New Roman"/>
          <w:sz w:val="10"/>
          <w:szCs w:val="10"/>
          <w:color w:val="auto"/>
        </w:rPr>
        <w:t>(49)Cohen &amp; Company Financial Management LLC ("</w:t>
      </w:r>
      <w:r>
        <w:rPr>
          <w:rFonts w:ascii="Times New Roman" w:cs="Times New Roman" w:eastAsia="Times New Roman" w:hAnsi="Times New Roman"/>
          <w:sz w:val="10"/>
          <w:szCs w:val="10"/>
          <w:b w:val="1"/>
          <w:bCs w:val="1"/>
          <w:i w:val="1"/>
          <w:iCs w:val="1"/>
          <w:color w:val="auto"/>
        </w:rPr>
        <w:t>Cohen</w:t>
      </w:r>
      <w:r>
        <w:rPr>
          <w:rFonts w:ascii="Times New Roman" w:cs="Times New Roman" w:eastAsia="Times New Roman" w:hAnsi="Times New Roman"/>
          <w:sz w:val="10"/>
          <w:szCs w:val="10"/>
          <w:color w:val="auto"/>
        </w:rPr>
        <w:t>")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is 2929 Arch Street, Suite 1703, Philadelphia, PA.</w:t>
      </w:r>
    </w:p>
    <w:p>
      <w:pPr>
        <w:spacing w:after="0" w:line="187" w:lineRule="exact"/>
        <w:rPr>
          <w:sz w:val="20"/>
          <w:szCs w:val="20"/>
          <w:color w:val="auto"/>
        </w:rPr>
      </w:pPr>
    </w:p>
    <w:p>
      <w:pPr>
        <w:ind w:left="10" w:right="60"/>
        <w:spacing w:after="0" w:line="243" w:lineRule="auto"/>
        <w:rPr>
          <w:sz w:val="20"/>
          <w:szCs w:val="20"/>
          <w:color w:val="auto"/>
        </w:rPr>
      </w:pPr>
      <w:r>
        <w:rPr>
          <w:rFonts w:ascii="Times New Roman" w:cs="Times New Roman" w:eastAsia="Times New Roman" w:hAnsi="Times New Roman"/>
          <w:sz w:val="10"/>
          <w:szCs w:val="10"/>
          <w:color w:val="auto"/>
        </w:rPr>
        <w:t>(50)Consists of 12,579,532 Ordinary Shares, which is the maximum number of Ordinary Shares issuable upon the conversion of the unsecured convertible loan (the "</w:t>
      </w:r>
      <w:r>
        <w:rPr>
          <w:rFonts w:ascii="Times New Roman" w:cs="Times New Roman" w:eastAsia="Times New Roman" w:hAnsi="Times New Roman"/>
          <w:sz w:val="10"/>
          <w:szCs w:val="10"/>
          <w:b w:val="1"/>
          <w:bCs w:val="1"/>
          <w:i w:val="1"/>
          <w:iCs w:val="1"/>
          <w:color w:val="auto"/>
        </w:rPr>
        <w:t>Cohen Note</w:t>
      </w:r>
      <w:r>
        <w:rPr>
          <w:rFonts w:ascii="Times New Roman" w:cs="Times New Roman" w:eastAsia="Times New Roman" w:hAnsi="Times New Roman"/>
          <w:sz w:val="10"/>
          <w:szCs w:val="10"/>
          <w:color w:val="auto"/>
        </w:rPr>
        <w:t>") issued to Cohen on August 14, 2024. In accordance with Rule 13d-3(d) under the Exchange Act, we have excluded from the number of Ordinary Shares beneficially owned prior to the offering all of the Ordinary Shares that Cohen may receive under the Cohen Note, because the issuance of such Ordinary Shares is at our discretion and is subject to conditions contained in the Cohen Note, the satisfaction of which are entirely outside of Cohen's control, including the registration statement that includes this prospectus becoming and remaining effective. Furthermore, pursuant to the terms of the Cohen Note, we cannot issue Ordinary Shares to Cohen, and we cannot convert the Cohen Note, to the extent that Cohen would beneficially own, after any such issuance or conversion, more than 9.9% of the then issued and outstanding Ordinary Shares.</w:t>
      </w:r>
    </w:p>
    <w:p>
      <w:pPr>
        <w:spacing w:after="0" w:line="46" w:lineRule="exact"/>
        <w:rPr>
          <w:sz w:val="20"/>
          <w:szCs w:val="20"/>
          <w:color w:val="auto"/>
        </w:rPr>
      </w:pPr>
    </w:p>
    <w:p>
      <w:pPr>
        <w:ind w:left="10" w:right="60"/>
        <w:spacing w:after="0" w:line="241" w:lineRule="auto"/>
        <w:rPr>
          <w:sz w:val="20"/>
          <w:szCs w:val="20"/>
          <w:color w:val="auto"/>
        </w:rPr>
      </w:pPr>
      <w:r>
        <w:rPr>
          <w:rFonts w:ascii="Times New Roman" w:cs="Times New Roman" w:eastAsia="Times New Roman" w:hAnsi="Times New Roman"/>
          <w:sz w:val="10"/>
          <w:szCs w:val="10"/>
          <w:color w:val="auto"/>
        </w:rPr>
        <w:t>(51)Cohen Sponsor LLC - A14 RS is an affiliate of a registered broker -dealer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Sponsor LLC - A14 RS is 2929 Arch Street, Suite 1703, Philadelphia, PA.</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(52)The principal business address of Context Partners Master Fund, LP is 27 Hospital Road, George Town, Grand Cayman KY1-9008 C.</w:t>
      </w:r>
    </w:p>
    <w:p>
      <w:pPr>
        <w:spacing w:after="0" w:line="56" w:lineRule="exact"/>
        <w:rPr>
          <w:sz w:val="20"/>
          <w:szCs w:val="20"/>
          <w:color w:val="auto"/>
        </w:rPr>
      </w:pPr>
    </w:p>
    <w:p>
      <w:pPr>
        <w:ind w:left="10" w:right="20"/>
        <w:spacing w:after="0" w:line="277" w:lineRule="auto"/>
        <w:rPr>
          <w:sz w:val="20"/>
          <w:szCs w:val="20"/>
          <w:color w:val="auto"/>
        </w:rPr>
      </w:pPr>
      <w:r>
        <w:rPr>
          <w:rFonts w:ascii="Times New Roman" w:cs="Times New Roman" w:eastAsia="Times New Roman" w:hAnsi="Times New Roman"/>
          <w:sz w:val="9"/>
          <w:szCs w:val="9"/>
          <w:color w:val="auto"/>
        </w:rPr>
        <w:t>(53)Corbin Capital Partners, L.P. (“</w:t>
      </w:r>
      <w:r>
        <w:rPr>
          <w:rFonts w:ascii="Times New Roman" w:cs="Times New Roman" w:eastAsia="Times New Roman" w:hAnsi="Times New Roman"/>
          <w:sz w:val="9"/>
          <w:szCs w:val="9"/>
          <w:b w:val="1"/>
          <w:bCs w:val="1"/>
          <w:i w:val="1"/>
          <w:iCs w:val="1"/>
          <w:color w:val="auto"/>
        </w:rPr>
        <w:t>Corbin</w:t>
      </w:r>
      <w:r>
        <w:rPr>
          <w:rFonts w:ascii="Times New Roman" w:cs="Times New Roman" w:eastAsia="Times New Roman" w:hAnsi="Times New Roman"/>
          <w:sz w:val="9"/>
          <w:szCs w:val="9"/>
          <w:color w:val="auto"/>
        </w:rPr>
        <w:t>”) is the investment manager of Corbin ERISA Opportunity Fund, Ltd (“</w:t>
      </w:r>
      <w:r>
        <w:rPr>
          <w:rFonts w:ascii="Times New Roman" w:cs="Times New Roman" w:eastAsia="Times New Roman" w:hAnsi="Times New Roman"/>
          <w:sz w:val="9"/>
          <w:szCs w:val="9"/>
          <w:b w:val="1"/>
          <w:bCs w:val="1"/>
          <w:i w:val="1"/>
          <w:iCs w:val="1"/>
          <w:color w:val="auto"/>
        </w:rPr>
        <w:t>Corbin ERISA</w:t>
      </w:r>
      <w:r>
        <w:rPr>
          <w:rFonts w:ascii="Times New Roman" w:cs="Times New Roman" w:eastAsia="Times New Roman" w:hAnsi="Times New Roman"/>
          <w:sz w:val="9"/>
          <w:szCs w:val="9"/>
          <w:color w:val="auto"/>
        </w:rPr>
        <w:t>”). Craig Bergstrom, as the chief investment officer of Corbin, directs the voting and investment decisions with respect to the Ordinary Shares as listed herein. The foregoing statement and table shall not be construed as an admission that Mr. Bergstrom is, for purposes of Sections 13(d) or 13(g) of the Exchange Act, the beneficial owner of such securities and Mr. Bergstrom disclaims any such beneficial</w:t>
      </w:r>
    </w:p>
    <w:p>
      <w:pPr>
        <w:ind w:left="10"/>
        <w:spacing w:after="0"/>
        <w:rPr>
          <w:sz w:val="20"/>
          <w:szCs w:val="20"/>
          <w:color w:val="auto"/>
        </w:rPr>
      </w:pPr>
      <w:r>
        <w:rPr>
          <w:rFonts w:ascii="Times New Roman" w:cs="Times New Roman" w:eastAsia="Times New Roman" w:hAnsi="Times New Roman"/>
          <w:sz w:val="10"/>
          <w:szCs w:val="10"/>
          <w:color w:val="auto"/>
        </w:rPr>
        <w:t>ownership. The principal business address of Corbin ERISA is 474 Madison Avenue, 21</w:t>
      </w:r>
      <w:r>
        <w:rPr>
          <w:rFonts w:ascii="Times New Roman" w:cs="Times New Roman" w:eastAsia="Times New Roman" w:hAnsi="Times New Roman"/>
          <w:sz w:val="13"/>
          <w:szCs w:val="13"/>
          <w:color w:val="auto"/>
          <w:vertAlign w:val="superscript"/>
        </w:rPr>
        <w:t>st</w:t>
      </w:r>
      <w:r>
        <w:rPr>
          <w:rFonts w:ascii="Times New Roman" w:cs="Times New Roman" w:eastAsia="Times New Roman" w:hAnsi="Times New Roman"/>
          <w:sz w:val="10"/>
          <w:szCs w:val="10"/>
          <w:color w:val="auto"/>
        </w:rPr>
        <w:t xml:space="preserve"> Floor, New York, NY 10022.</w:t>
      </w:r>
    </w:p>
    <w:p>
      <w:pPr>
        <w:spacing w:after="0" w:line="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(54)Consists of (i) 5,357 Ordinary Shares, which is the maximum amount of Ordinary Shares issuable upon conversion of the Promissory Note held by Mr. Meller, when converted at $7 per share and (ii) 7,500 Ordinary Shares underlying the Private Warrants held by Mr.</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Meller.</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(55)Consists of (i) 300 Ordinary Shares and (ii) 201,000 Ordinary Shares, which is the maximum number of Ordinary Shares issuable upon the conversion of the Advance Subscription made by Mr. Weinberger.</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(56)Consists of 33,334 Ordinary Shares, which is the maximum number of Ordinary Shares issuable upon the conversion of the Advance Subscription made by Mr. Smith.</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(57)Mr. Kolyris has provided services to Rezolve as a contractor since November 2018. The principal business address for Mr. Kolyris is Noyaroy 12, Maroysi, 15126, Athens, Greece.</w:t>
      </w:r>
    </w:p>
    <w:p>
      <w:pPr>
        <w:spacing w:after="0" w:line="58" w:lineRule="exact"/>
        <w:rPr>
          <w:sz w:val="20"/>
          <w:szCs w:val="20"/>
          <w:color w:val="auto"/>
        </w:rPr>
      </w:pPr>
    </w:p>
    <w:p>
      <w:pPr>
        <w:ind w:left="10" w:right="160"/>
        <w:spacing w:after="0" w:line="255" w:lineRule="auto"/>
        <w:rPr>
          <w:sz w:val="20"/>
          <w:szCs w:val="20"/>
          <w:color w:val="auto"/>
        </w:rPr>
      </w:pPr>
      <w:r>
        <w:rPr>
          <w:rFonts w:ascii="Times New Roman" w:cs="Times New Roman" w:eastAsia="Times New Roman" w:hAnsi="Times New Roman"/>
          <w:sz w:val="10"/>
          <w:szCs w:val="10"/>
          <w:color w:val="auto"/>
        </w:rPr>
        <w:t>(58)Consists of 65,209 Ordinary Shares, of which 11,951 Ordinary Shares are beneficially owned by Mr. Kolyris and is the maximum number of Ordinary Shares issuable upon the conversion of the Advance Subscription made by Nadenco P.C., a company Mr. Kolyris may be deemed to control.</w:t>
      </w:r>
    </w:p>
    <w:p>
      <w:pPr>
        <w:spacing w:after="0" w:line="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(59)Consists of 7,333 Ordinary Shares, which is the maximum number of Ordinary Shares issuable upon the conversion of the Advance Subscription made by DXG Deutsche Digital GmbH.</w:t>
      </w:r>
    </w:p>
    <w:p>
      <w:pPr>
        <w:spacing w:after="0" w:line="118"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70"/>
          </w:cols>
          <w:pgMar w:left="630" w:top="1095" w:right="600" w:bottom="1440" w:gutter="0" w:footer="0" w:header="0"/>
        </w:sectPr>
      </w:pPr>
    </w:p>
    <w:bookmarkStart w:id="121" w:name="page122"/>
    <w:bookmarkEnd w:id="121"/>
    <w:p>
      <w:pPr>
        <w:ind w:right="360"/>
        <w:spacing w:after="0" w:line="259" w:lineRule="auto"/>
        <w:rPr>
          <w:sz w:val="20"/>
          <w:szCs w:val="20"/>
          <w:color w:val="auto"/>
        </w:rPr>
      </w:pPr>
      <w:r>
        <w:rPr>
          <w:rFonts w:ascii="Times New Roman" w:cs="Times New Roman" w:eastAsia="Times New Roman" w:hAnsi="Times New Roman"/>
          <w:sz w:val="10"/>
          <w:szCs w:val="10"/>
          <w:color w:val="auto"/>
        </w:rPr>
        <w:t>(60)Messrs. Steven Levine and David Nussbaum and Ms. Amy Kaufmann may be deemed to share beneficial ownership of the securities beneficially owned by EarlyBirdCapital, Inc. (“</w:t>
      </w:r>
      <w:r>
        <w:rPr>
          <w:rFonts w:ascii="Times New Roman" w:cs="Times New Roman" w:eastAsia="Times New Roman" w:hAnsi="Times New Roman"/>
          <w:sz w:val="10"/>
          <w:szCs w:val="10"/>
          <w:b w:val="1"/>
          <w:bCs w:val="1"/>
          <w:i w:val="1"/>
          <w:iCs w:val="1"/>
          <w:color w:val="auto"/>
        </w:rPr>
        <w:t>EarlyBird</w:t>
      </w:r>
      <w:r>
        <w:rPr>
          <w:rFonts w:ascii="Times New Roman" w:cs="Times New Roman" w:eastAsia="Times New Roman" w:hAnsi="Times New Roman"/>
          <w:sz w:val="10"/>
          <w:szCs w:val="10"/>
          <w:color w:val="auto"/>
        </w:rPr>
        <w:t>”). The principal business address of EarlyBird is One Huntington Quadrangle 1C15, Melville, NY 11747.</w:t>
      </w:r>
    </w:p>
    <w:p>
      <w:pPr>
        <w:spacing w:after="0" w:line="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0"/>
          <w:szCs w:val="10"/>
          <w:color w:val="auto"/>
        </w:rPr>
        <w:t>(61)Offered securities consist of the maximum number of Ordinary Shares that may be issued in relation to those Ordinary Shares the Company issued to EarlyBird, a registered broker-dealer, as transaction-based compensation for the performance of investment banking services rendered to the Company in connection with the initial public offering of Armada, which became a wholly-owned subsidiary of the Company in connection with the Business Combination.</w:t>
      </w:r>
    </w:p>
    <w:p>
      <w:pPr>
        <w:spacing w:after="0" w:line="3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0"/>
          <w:szCs w:val="10"/>
          <w:color w:val="auto"/>
        </w:rPr>
        <w:t>(62)Mr. David Boral, CEO and Manager of EF Hutton LLC (“</w:t>
      </w:r>
      <w:r>
        <w:rPr>
          <w:rFonts w:ascii="Times New Roman" w:cs="Times New Roman" w:eastAsia="Times New Roman" w:hAnsi="Times New Roman"/>
          <w:sz w:val="10"/>
          <w:szCs w:val="10"/>
          <w:b w:val="1"/>
          <w:bCs w:val="1"/>
          <w:i w:val="1"/>
          <w:iCs w:val="1"/>
          <w:color w:val="auto"/>
        </w:rPr>
        <w:t>EF Hutton</w:t>
      </w:r>
      <w:r>
        <w:rPr>
          <w:rFonts w:ascii="Times New Roman" w:cs="Times New Roman" w:eastAsia="Times New Roman" w:hAnsi="Times New Roman"/>
          <w:sz w:val="10"/>
          <w:szCs w:val="10"/>
          <w:color w:val="auto"/>
        </w:rPr>
        <w:t>”), may be deemed to beneficially own the securities owned by EF Hutton. Mr. Ben Reed, in his capacity as the Head of Wealth Management and Power of Attorney, may also be deemed to control the securities owned by EF Hutton and thereby may be deemed to beneficially own the securities owned by EF Hutton. Mr. Reed has sole investment power over these securities. The principal address of EF Hutton LLC is 590 Madison Avenue, 39th Floor New York, NY 10022.</w:t>
      </w:r>
    </w:p>
    <w:p>
      <w:pPr>
        <w:spacing w:after="0" w:line="4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0"/>
          <w:szCs w:val="10"/>
          <w:color w:val="auto"/>
        </w:rPr>
        <w:t>(63)Offered securities consist of the maximum number of Ordinary Shares that may be issued in relation to those Ordinary Shares the Company issued to EF Hutton, a registered broker-dealer, as transaction-based compensation for the performance of advisory services rendered to the Company in connection with the recently completed Business Combination.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(64)Mr. Kilic is employed as Vice President Global Head of Payments and Director DACH &amp; TR at Rezolve. The principal business address for Mr. Kilic is Manstedtener Berg 19, 50259, Pulheim, Germany.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(65)Consists of 18,175 Ordinary Shares, which is the maximum number of Ordinary Shares issuable upon the conversion of the Advance Subscription made by Mr. Kilic.</w:t>
      </w:r>
    </w:p>
    <w:p>
      <w:pPr>
        <w:spacing w:after="0" w:line="19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color w:val="auto"/>
        </w:rPr>
        <w:t>(66)Messrs. Clinton Biondo and David Sultan are Managing Partners of Fir Capital Management LP (“</w:t>
      </w:r>
      <w:r>
        <w:rPr>
          <w:rFonts w:ascii="Times New Roman" w:cs="Times New Roman" w:eastAsia="Times New Roman" w:hAnsi="Times New Roman"/>
          <w:sz w:val="10"/>
          <w:szCs w:val="10"/>
          <w:b w:val="1"/>
          <w:bCs w:val="1"/>
          <w:i w:val="1"/>
          <w:iCs w:val="1"/>
          <w:color w:val="auto"/>
        </w:rPr>
        <w:t>Fir Capital Management</w:t>
      </w:r>
      <w:r>
        <w:rPr>
          <w:rFonts w:ascii="Times New Roman" w:cs="Times New Roman" w:eastAsia="Times New Roman" w:hAnsi="Times New Roman"/>
          <w:sz w:val="10"/>
          <w:szCs w:val="10"/>
          <w:color w:val="auto"/>
        </w:rPr>
        <w:t>”), the Investment Manager of Fir Tree Capital Opportunity Master Fund LP (“</w:t>
      </w:r>
      <w:r>
        <w:rPr>
          <w:rFonts w:ascii="Times New Roman" w:cs="Times New Roman" w:eastAsia="Times New Roman" w:hAnsi="Times New Roman"/>
          <w:sz w:val="10"/>
          <w:szCs w:val="10"/>
          <w:b w:val="1"/>
          <w:bCs w:val="1"/>
          <w:i w:val="1"/>
          <w:iCs w:val="1"/>
          <w:color w:val="auto"/>
        </w:rPr>
        <w:t>Fir Tree Opportunity Master Fund</w:t>
      </w:r>
      <w:r>
        <w:rPr>
          <w:rFonts w:ascii="Times New Roman" w:cs="Times New Roman" w:eastAsia="Times New Roman" w:hAnsi="Times New Roman"/>
          <w:sz w:val="10"/>
          <w:szCs w:val="10"/>
          <w:color w:val="auto"/>
        </w:rPr>
        <w:t>”) and may be deemed to share beneficial ownership of the securities beneficially owned by Fir Tree Opportunity Master Fund. The principal business address of Fir Tree Master Fund is 89 Nexus Way, Camana Bay, Grand Cayman, KY1-1205.</w:t>
      </w:r>
    </w:p>
    <w:p>
      <w:pPr>
        <w:spacing w:after="0" w:line="3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0"/>
          <w:szCs w:val="10"/>
          <w:color w:val="auto"/>
        </w:rPr>
        <w:t>(67)Messrs. Clinton Biondo and David Sultan are Managing Partners of Fir Capital Management, the Investment Manager of Fir Tree Capital Opportunity Master Fund III, LP (“</w:t>
      </w:r>
      <w:r>
        <w:rPr>
          <w:rFonts w:ascii="Times New Roman" w:cs="Times New Roman" w:eastAsia="Times New Roman" w:hAnsi="Times New Roman"/>
          <w:sz w:val="10"/>
          <w:szCs w:val="10"/>
          <w:b w:val="1"/>
          <w:bCs w:val="1"/>
          <w:i w:val="1"/>
          <w:iCs w:val="1"/>
          <w:color w:val="auto"/>
        </w:rPr>
        <w:t>Fir Tree Capital Opportunity Master Fund III</w:t>
      </w:r>
      <w:r>
        <w:rPr>
          <w:rFonts w:ascii="Times New Roman" w:cs="Times New Roman" w:eastAsia="Times New Roman" w:hAnsi="Times New Roman"/>
          <w:sz w:val="10"/>
          <w:szCs w:val="10"/>
          <w:color w:val="auto"/>
        </w:rPr>
        <w:t xml:space="preserve"> ”) and may be deemed to share beneficial ownership of the securities beneficially owned by Fir Tree Capital Opportunity Master Fund III. The principal business address of Fir Tree Capital Opportunity Master Fund III is 89 Nexus Way, Camana Bay, Grand Cayman, KY1-1205.</w:t>
      </w:r>
    </w:p>
    <w:p>
      <w:pPr>
        <w:spacing w:after="0" w:line="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(68)Messrs. Clinton Biondo and David Sultan are Managing Partners of Fir Capital Management, the Investment Manager of Fir Tree Value Master Fund, LP (“</w:t>
      </w:r>
      <w:r>
        <w:rPr>
          <w:rFonts w:ascii="Times New Roman" w:cs="Times New Roman" w:eastAsia="Times New Roman" w:hAnsi="Times New Roman"/>
          <w:sz w:val="10"/>
          <w:szCs w:val="10"/>
          <w:b w:val="1"/>
          <w:bCs w:val="1"/>
          <w:i w:val="1"/>
          <w:iCs w:val="1"/>
          <w:color w:val="auto"/>
        </w:rPr>
        <w:t>Fir Tree Value Master Fund</w:t>
      </w:r>
      <w:r>
        <w:rPr>
          <w:rFonts w:ascii="Times New Roman" w:cs="Times New Roman" w:eastAsia="Times New Roman" w:hAnsi="Times New Roman"/>
          <w:sz w:val="10"/>
          <w:szCs w:val="10"/>
          <w:color w:val="auto"/>
        </w:rPr>
        <w:t>”) and may be deemed to share beneficial ownership of the securities beneficially owned by Fir Tree Value Master Fund. The principal business address of Fir Tree Fir Tree Value Master Fund is 89 Nexus Way, Camana Bay, Grand Cayman, KY1-1205.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(69)The principal business address of FT SOF XIII (SPAC) Holdings, LLC is 500 Fifth Ave, 9</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Floor, New York, NY 10110.</w:t>
      </w:r>
    </w:p>
    <w:p>
      <w:pPr>
        <w:spacing w:after="0" w:line="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(70)Consists of (i) 35,714 Ordinary Shares, which is the maximum amount of Ordinary Shares issuable upon conversion of the Promissory Note held by FMS China when converted at $7 per share; (ii) 50,000 Ordinary Shares underlying the Private Warrants held by FMS China; and (iii) 140,000 Ordinary Shares, which is the maximum number of Ordinary Shares issuable upon the conversion of the Advance Subscription made by Fujian Global Services Co., Ltd. (collectively, with FMS China “</w:t>
      </w:r>
      <w:r>
        <w:rPr>
          <w:rFonts w:ascii="Times New Roman" w:cs="Times New Roman" w:eastAsia="Times New Roman" w:hAnsi="Times New Roman"/>
          <w:sz w:val="10"/>
          <w:szCs w:val="10"/>
          <w:b w:val="1"/>
          <w:bCs w:val="1"/>
          <w:i w:val="1"/>
          <w:iCs w:val="1"/>
          <w:color w:val="auto"/>
        </w:rPr>
        <w:t>Fujian Limatong XinXi Keji Youxian</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Gongsi</w:t>
      </w:r>
      <w:r>
        <w:rPr>
          <w:rFonts w:ascii="Times New Roman" w:cs="Times New Roman" w:eastAsia="Times New Roman" w:hAnsi="Times New Roman"/>
          <w:sz w:val="10"/>
          <w:szCs w:val="10"/>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(71)Consists of 8,000 Ordinary Shares, which is the maximum number of Ordinary Shares issuable upon the conversion of the Advance Subscription made by Mr. Bellow.</w:t>
      </w:r>
    </w:p>
    <w:p>
      <w:pPr>
        <w:spacing w:after="0" w:line="5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0"/>
          <w:szCs w:val="10"/>
          <w:color w:val="auto"/>
        </w:rPr>
        <w:t>(72)Highbridge Capital Management, LLC (“</w:t>
      </w:r>
      <w:r>
        <w:rPr>
          <w:rFonts w:ascii="Times New Roman" w:cs="Times New Roman" w:eastAsia="Times New Roman" w:hAnsi="Times New Roman"/>
          <w:sz w:val="10"/>
          <w:szCs w:val="10"/>
          <w:b w:val="1"/>
          <w:bCs w:val="1"/>
          <w:i w:val="1"/>
          <w:iCs w:val="1"/>
          <w:color w:val="auto"/>
        </w:rPr>
        <w:t>Highbridge Capital Management</w:t>
      </w:r>
      <w:r>
        <w:rPr>
          <w:rFonts w:ascii="Times New Roman" w:cs="Times New Roman" w:eastAsia="Times New Roman" w:hAnsi="Times New Roman"/>
          <w:sz w:val="10"/>
          <w:szCs w:val="10"/>
          <w:color w:val="auto"/>
        </w:rPr>
        <w:t>”) is the trading manager of Highbridge Tactical Credit Master Fund, L.P. (“</w:t>
      </w:r>
      <w:r>
        <w:rPr>
          <w:rFonts w:ascii="Times New Roman" w:cs="Times New Roman" w:eastAsia="Times New Roman" w:hAnsi="Times New Roman"/>
          <w:sz w:val="10"/>
          <w:szCs w:val="10"/>
          <w:b w:val="1"/>
          <w:bCs w:val="1"/>
          <w:i w:val="1"/>
          <w:iCs w:val="1"/>
          <w:color w:val="auto"/>
        </w:rPr>
        <w:t>Highbridge Tactical Credit Master Fund</w:t>
      </w:r>
      <w:r>
        <w:rPr>
          <w:rFonts w:ascii="Times New Roman" w:cs="Times New Roman" w:eastAsia="Times New Roman" w:hAnsi="Times New Roman"/>
          <w:sz w:val="10"/>
          <w:szCs w:val="10"/>
          <w:color w:val="auto"/>
        </w:rPr>
        <w:t>”). Highbridge Tactical Credit Master Fund disclaims beneficial ownership over these shares. The address of Highbridge Capital Management is 277 Park Avenue, 23rd Floor, New York, NY 10172, and the address of Highbridge tactical Credit Master Fund is c/o Maples Corporate Services Limited #309 Ugland House, South Church Street, George Town, Grand Cayman KY1-1104, Cayman Islands.</w:t>
      </w:r>
    </w:p>
    <w:p>
      <w:pPr>
        <w:spacing w:after="0" w:line="185"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0"/>
          <w:szCs w:val="10"/>
          <w:color w:val="auto"/>
        </w:rPr>
        <w:t>(73)Highbridge Capital Management is the trading manager of Highbridge Tactical Credit Institutional Fund, Ltd. (“</w:t>
      </w:r>
      <w:r>
        <w:rPr>
          <w:rFonts w:ascii="Times New Roman" w:cs="Times New Roman" w:eastAsia="Times New Roman" w:hAnsi="Times New Roman"/>
          <w:sz w:val="10"/>
          <w:szCs w:val="10"/>
          <w:b w:val="1"/>
          <w:bCs w:val="1"/>
          <w:i w:val="1"/>
          <w:iCs w:val="1"/>
          <w:color w:val="auto"/>
        </w:rPr>
        <w:t>Highbridge Tactical Credit Institutional Fund</w:t>
      </w:r>
      <w:r>
        <w:rPr>
          <w:rFonts w:ascii="Times New Roman" w:cs="Times New Roman" w:eastAsia="Times New Roman" w:hAnsi="Times New Roman"/>
          <w:sz w:val="10"/>
          <w:szCs w:val="10"/>
          <w:color w:val="auto"/>
        </w:rPr>
        <w:t>”) Highbridge Tactical Credit Institutional Fund disclaims beneficial ownership over these shares. The address of Highbridge Capital Management is 277 Park Avenue, 23rd Floor, New York, NY 10172, and the address of Highbridge tactical Credit Master Fund is c/o Maples Corporate Services Limited #309 Ugland House, South Church Street, George Town, Grand Cayman KY1-1104, 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(74)Consists of 10,286 Ordinary Shares, which is the maximum number of Ordinary Shares issuable upon the conversion of the Advance Subscription made by Jamie Beadle.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3" w:right="680" w:bottom="1440" w:gutter="0" w:footer="0" w:header="0"/>
        </w:sectPr>
      </w:pPr>
    </w:p>
    <w:bookmarkStart w:id="122" w:name="page123"/>
    <w:bookmarkEnd w:id="122"/>
    <w:p>
      <w:pPr>
        <w:ind w:right="60"/>
        <w:spacing w:after="0" w:line="239" w:lineRule="auto"/>
        <w:rPr>
          <w:sz w:val="20"/>
          <w:szCs w:val="20"/>
          <w:color w:val="auto"/>
        </w:rPr>
      </w:pPr>
      <w:r>
        <w:rPr>
          <w:rFonts w:ascii="Times New Roman" w:cs="Times New Roman" w:eastAsia="Times New Roman" w:hAnsi="Times New Roman"/>
          <w:sz w:val="10"/>
          <w:szCs w:val="10"/>
          <w:color w:val="auto"/>
        </w:rPr>
        <w:t>(75)Consists of up to 758,294 of Ordinary Shares that may be issued upon conversion of the convertible note issued to J.V.B. Financial Group, LLC ("</w:t>
      </w:r>
      <w:r>
        <w:rPr>
          <w:rFonts w:ascii="Times New Roman" w:cs="Times New Roman" w:eastAsia="Times New Roman" w:hAnsi="Times New Roman"/>
          <w:sz w:val="10"/>
          <w:szCs w:val="10"/>
          <w:b w:val="1"/>
          <w:bCs w:val="1"/>
          <w:i w:val="1"/>
          <w:iCs w:val="1"/>
          <w:color w:val="auto"/>
        </w:rPr>
        <w:t>JVB</w:t>
      </w:r>
      <w:r>
        <w:rPr>
          <w:rFonts w:ascii="Times New Roman" w:cs="Times New Roman" w:eastAsia="Times New Roman" w:hAnsi="Times New Roman"/>
          <w:sz w:val="10"/>
          <w:szCs w:val="10"/>
          <w:color w:val="auto"/>
        </w:rPr>
        <w:t>"), a registered broker-dealer, on August 14, 2024 (the “</w:t>
      </w:r>
      <w:r>
        <w:rPr>
          <w:rFonts w:ascii="Times New Roman" w:cs="Times New Roman" w:eastAsia="Times New Roman" w:hAnsi="Times New Roman"/>
          <w:sz w:val="10"/>
          <w:szCs w:val="10"/>
          <w:b w:val="1"/>
          <w:bCs w:val="1"/>
          <w:i w:val="1"/>
          <w:iCs w:val="1"/>
          <w:color w:val="auto"/>
        </w:rPr>
        <w:t>JVB Note</w:t>
      </w:r>
      <w:r>
        <w:rPr>
          <w:rFonts w:ascii="Times New Roman" w:cs="Times New Roman" w:eastAsia="Times New Roman" w:hAnsi="Times New Roman"/>
          <w:sz w:val="10"/>
          <w:szCs w:val="10"/>
          <w:color w:val="auto"/>
        </w:rPr>
        <w:t>”). In accordance with Rule 13d-3(d) under the Exchange Act, we have excluded from the number of Ordinary Shares beneficially owned prior to the offering all of the Ordinary Shares that JVB may receive under the JVB Note, because the issuance of such Ordinary Shares is at our discretion and is subject to conditions contained in the JVB Note, the satisfaction of which are entirely outside of JVB's control, including the registration statement that includes this prospectus becoming and remaining effective. Furthermore, pursuant to the terms of the JVB Note, we cannot issue Ordinary Shares to JVB, and we cannot convert the JVB Note, to the extent that JVB would beneficially own, after any such issuance or conversion, more than 9.9% of the then issued and outstanding Ordinary Shares. The Company issued the JVB Note and the shares of Ordinary Shares underlying the JVB Note as transaction-based compensation for the performance of investment banking services rendered to the Company in connection with the recently completed Business Combination. The business address of JVB is 2929 Arch Street Ste. 1703, Philadelphia, PA 19104.</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0"/>
          <w:szCs w:val="10"/>
          <w:color w:val="auto"/>
        </w:rPr>
        <w:t>(76)Consists of (i) 7,188 Ordinary Shares; (ii) 6,804 Ordinary Shares, which is the maximum amount of Ordinary Shares issuable upon conversion of the Promissory Note held by Mr. King, when converted at $7 per share; and 9,525 Ordinary Shares underlying the Private Warrants held by Mr. King.</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0"/>
          <w:szCs w:val="10"/>
          <w:color w:val="auto"/>
        </w:rPr>
        <w:t>(77)Consists of (i) 5,670 Ordinary Shares, which is the maximum amount of Ordinary Shares issuable upon conversion of the Promissory Note held by Mr. Nurse, when converted at $7 per share; (ii) 29,667 Ordinary Shares, which is the maximum number of Ordinary Shares issuable upon the conversion of the Advance Subscription made by Mr. Nurse; and (iii) 7,938 Ordinary Shares underlying the Private Warrants held by Julian Nurse.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(78)Consists of (i) 69,785 Ordinary Shares and (ii) 10,000 Ordinary Shares, which is the maximum number of Ordinary Shares issuable upon the conversion of the Advance Subscription made by Kantor Investment Company LLC.</w:t>
      </w:r>
    </w:p>
    <w:p>
      <w:pPr>
        <w:spacing w:after="0" w:line="58"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0"/>
          <w:szCs w:val="10"/>
          <w:color w:val="auto"/>
        </w:rPr>
        <w:t>(79)Consists of (i) 65,279 Ordinary Shares; (ii) 8,929 Ordinary Shares, which is the maximum number of Ordinary Shares issuable upon the conversion of the Promissory Note held by Ms. Kalaris, when converted at $7 per share; and (iii) 12,500 Ordinary Shares underlying the Private Warrants held by Ms. Kalaris.</w:t>
      </w:r>
    </w:p>
    <w:p>
      <w:pPr>
        <w:spacing w:after="0" w:line="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9"/>
          <w:szCs w:val="9"/>
          <w:color w:val="auto"/>
        </w:rPr>
        <w:t>(80) Kepos Capital LP (“</w:t>
      </w:r>
      <w:r>
        <w:rPr>
          <w:rFonts w:ascii="Times New Roman" w:cs="Times New Roman" w:eastAsia="Times New Roman" w:hAnsi="Times New Roman"/>
          <w:sz w:val="9"/>
          <w:szCs w:val="9"/>
          <w:b w:val="1"/>
          <w:bCs w:val="1"/>
          <w:i w:val="1"/>
          <w:iCs w:val="1"/>
          <w:color w:val="auto"/>
        </w:rPr>
        <w:t>Kepos Capital</w:t>
      </w:r>
      <w:r>
        <w:rPr>
          <w:rFonts w:ascii="Times New Roman" w:cs="Times New Roman" w:eastAsia="Times New Roman" w:hAnsi="Times New Roman"/>
          <w:sz w:val="9"/>
          <w:szCs w:val="9"/>
          <w:color w:val="auto"/>
        </w:rPr>
        <w:t>”) is the investment manager of Kepos Alpha Master Fund L.P. (“</w:t>
      </w:r>
      <w:r>
        <w:rPr>
          <w:rFonts w:ascii="Times New Roman" w:cs="Times New Roman" w:eastAsia="Times New Roman" w:hAnsi="Times New Roman"/>
          <w:sz w:val="9"/>
          <w:szCs w:val="9"/>
          <w:b w:val="1"/>
          <w:bCs w:val="1"/>
          <w:i w:val="1"/>
          <w:iCs w:val="1"/>
          <w:color w:val="auto"/>
        </w:rPr>
        <w:t>Kepos Alpha Master Fund</w:t>
      </w:r>
      <w:r>
        <w:rPr>
          <w:rFonts w:ascii="Times New Roman" w:cs="Times New Roman" w:eastAsia="Times New Roman" w:hAnsi="Times New Roman"/>
          <w:sz w:val="9"/>
          <w:szCs w:val="9"/>
          <w:color w:val="auto"/>
        </w:rPr>
        <w:t>”) and Kepos Partners LLC (“</w:t>
      </w:r>
      <w:r>
        <w:rPr>
          <w:rFonts w:ascii="Times New Roman" w:cs="Times New Roman" w:eastAsia="Times New Roman" w:hAnsi="Times New Roman"/>
          <w:sz w:val="9"/>
          <w:szCs w:val="9"/>
          <w:b w:val="1"/>
          <w:bCs w:val="1"/>
          <w:i w:val="1"/>
          <w:iCs w:val="1"/>
          <w:color w:val="auto"/>
        </w:rPr>
        <w:t>Kepos Partners</w:t>
      </w:r>
      <w:r>
        <w:rPr>
          <w:rFonts w:ascii="Times New Roman" w:cs="Times New Roman" w:eastAsia="Times New Roman" w:hAnsi="Times New Roman"/>
          <w:sz w:val="9"/>
          <w:szCs w:val="9"/>
          <w:color w:val="auto"/>
        </w:rPr>
        <w:t xml:space="preserve"> ”) is the General Partner of Kepos Alpha Master Fund and each may be deemed to have voting and dispositive power with respect to the shares. The general partner of Kepos Capital is Kepos Capital GP LLC (the “</w:t>
      </w:r>
      <w:r>
        <w:rPr>
          <w:rFonts w:ascii="Times New Roman" w:cs="Times New Roman" w:eastAsia="Times New Roman" w:hAnsi="Times New Roman"/>
          <w:sz w:val="9"/>
          <w:szCs w:val="9"/>
          <w:b w:val="1"/>
          <w:bCs w:val="1"/>
          <w:i w:val="1"/>
          <w:iCs w:val="1"/>
          <w:color w:val="auto"/>
        </w:rPr>
        <w:t>Kepos GP</w:t>
      </w:r>
      <w:r>
        <w:rPr>
          <w:rFonts w:ascii="Times New Roman" w:cs="Times New Roman" w:eastAsia="Times New Roman" w:hAnsi="Times New Roman"/>
          <w:sz w:val="9"/>
          <w:szCs w:val="9"/>
          <w:color w:val="auto"/>
        </w:rPr>
        <w:t>”) and the Managing Member of Kepos Partners is Kepos Partners MM (“</w:t>
      </w:r>
      <w:r>
        <w:rPr>
          <w:rFonts w:ascii="Times New Roman" w:cs="Times New Roman" w:eastAsia="Times New Roman" w:hAnsi="Times New Roman"/>
          <w:sz w:val="9"/>
          <w:szCs w:val="9"/>
          <w:b w:val="1"/>
          <w:bCs w:val="1"/>
          <w:i w:val="1"/>
          <w:iCs w:val="1"/>
          <w:color w:val="auto"/>
        </w:rPr>
        <w:t>Kepos MM</w:t>
      </w:r>
      <w:r>
        <w:rPr>
          <w:rFonts w:ascii="Times New Roman" w:cs="Times New Roman" w:eastAsia="Times New Roman" w:hAnsi="Times New Roman"/>
          <w:sz w:val="9"/>
          <w:szCs w:val="9"/>
          <w:color w:val="auto"/>
        </w:rPr>
        <w:t>”). Mark Carhart controls Kepos GP and Kepos MM and, accordingly, may be deemed to have voting and dispositive power with respect to the shares held by Kepos Alpha Master Fund. Mr. Carhart disclaims beneficial ownership of the shares held by Kepos Alpha Master Fund. The address of Kepos Capital and Mr. Carhart is</w:t>
      </w:r>
    </w:p>
    <w:p>
      <w:pPr>
        <w:spacing w:after="0"/>
        <w:rPr>
          <w:sz w:val="20"/>
          <w:szCs w:val="20"/>
          <w:color w:val="auto"/>
        </w:rPr>
      </w:pPr>
      <w:r>
        <w:rPr>
          <w:rFonts w:ascii="Times New Roman" w:cs="Times New Roman" w:eastAsia="Times New Roman" w:hAnsi="Times New Roman"/>
          <w:sz w:val="10"/>
          <w:szCs w:val="10"/>
          <w:color w:val="auto"/>
        </w:rPr>
        <w:t>c/o Kepos Capital LP 11 Times Square, 35</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Floor, New York, NY 10036.</w:t>
      </w:r>
    </w:p>
    <w:p>
      <w:pPr>
        <w:spacing w:after="0" w:line="3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9"/>
          <w:szCs w:val="9"/>
          <w:color w:val="auto"/>
        </w:rPr>
        <w:t>(81) Kepos Capital is the investment manager of Kepos Special Opportunities Master Fund L.P. (“</w:t>
      </w:r>
      <w:r>
        <w:rPr>
          <w:rFonts w:ascii="Times New Roman" w:cs="Times New Roman" w:eastAsia="Times New Roman" w:hAnsi="Times New Roman"/>
          <w:sz w:val="9"/>
          <w:szCs w:val="9"/>
          <w:b w:val="1"/>
          <w:bCs w:val="1"/>
          <w:i w:val="1"/>
          <w:iCs w:val="1"/>
          <w:color w:val="auto"/>
        </w:rPr>
        <w:t>Kepos Special Opportunities Master Fund</w:t>
      </w:r>
      <w:r>
        <w:rPr>
          <w:rFonts w:ascii="Times New Roman" w:cs="Times New Roman" w:eastAsia="Times New Roman" w:hAnsi="Times New Roman"/>
          <w:sz w:val="9"/>
          <w:szCs w:val="9"/>
          <w:color w:val="auto"/>
        </w:rPr>
        <w:t>”) and Kepos Partners is the General Partner of Kepos Special Opportunities Master Fund and each may be deemed to have voting and dispositive power with respect to the shares. The general partner of Kepos Capital is the Kepos GP and the Managing Member of Kepos Partners is Kepos M. Mark Carhart controls Kepos GP and Kepos MM and, accordingly, may be deemed to have voting and dispositive power with respect to the shares held by Kepos Special Opportunities Master Fund. Mr. Carhart disclaims beneficial ownership of the shares held by Kepos Special Opportunities Master Fund. The address of Kepos Capital and Mr. Carhart is c/o Kepos Capital</w:t>
      </w:r>
    </w:p>
    <w:p>
      <w:pPr>
        <w:spacing w:after="0"/>
        <w:rPr>
          <w:sz w:val="20"/>
          <w:szCs w:val="20"/>
          <w:color w:val="auto"/>
        </w:rPr>
      </w:pPr>
      <w:r>
        <w:rPr>
          <w:rFonts w:ascii="Times New Roman" w:cs="Times New Roman" w:eastAsia="Times New Roman" w:hAnsi="Times New Roman"/>
          <w:sz w:val="10"/>
          <w:szCs w:val="10"/>
          <w:color w:val="auto"/>
        </w:rPr>
        <w:t>LP 11 Times Square, 35</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Floor, New York, NY 10036.</w:t>
      </w:r>
    </w:p>
    <w:p>
      <w:pPr>
        <w:spacing w:after="0" w:line="3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9"/>
          <w:szCs w:val="9"/>
          <w:color w:val="auto"/>
        </w:rPr>
        <w:t>(82)Consists of 400,625 Ordinary Shares, which is the maximum number of Ordinary Shares issuable upon the conversion of the unsecured convertible loan (the "</w:t>
      </w:r>
      <w:r>
        <w:rPr>
          <w:rFonts w:ascii="Times New Roman" w:cs="Times New Roman" w:eastAsia="Times New Roman" w:hAnsi="Times New Roman"/>
          <w:sz w:val="9"/>
          <w:szCs w:val="9"/>
          <w:b w:val="1"/>
          <w:bCs w:val="1"/>
          <w:i w:val="1"/>
          <w:iCs w:val="1"/>
          <w:color w:val="auto"/>
        </w:rPr>
        <w:t>Northland Note</w:t>
      </w:r>
      <w:r>
        <w:rPr>
          <w:rFonts w:ascii="Times New Roman" w:cs="Times New Roman" w:eastAsia="Times New Roman" w:hAnsi="Times New Roman"/>
          <w:sz w:val="9"/>
          <w:szCs w:val="9"/>
          <w:color w:val="auto"/>
        </w:rPr>
        <w:t>") issued to Northland Securities, Inc. ("</w:t>
      </w:r>
      <w:r>
        <w:rPr>
          <w:rFonts w:ascii="Times New Roman" w:cs="Times New Roman" w:eastAsia="Times New Roman" w:hAnsi="Times New Roman"/>
          <w:sz w:val="9"/>
          <w:szCs w:val="9"/>
          <w:b w:val="1"/>
          <w:bCs w:val="1"/>
          <w:i w:val="1"/>
          <w:iCs w:val="1"/>
          <w:color w:val="auto"/>
        </w:rPr>
        <w:t>Northland</w:t>
      </w:r>
      <w:r>
        <w:rPr>
          <w:rFonts w:ascii="Times New Roman" w:cs="Times New Roman" w:eastAsia="Times New Roman" w:hAnsi="Times New Roman"/>
          <w:sz w:val="9"/>
          <w:szCs w:val="9"/>
          <w:color w:val="auto"/>
        </w:rPr>
        <w:t>"), a registered-broker dealer, on July 30, 2024. In accordance with Rule 13d- 3(d) under the Exchange Act, we have excluded from the number of Ordinary Shares beneficially owned prior to the offering all of the Ordinary Shares that Northland may receive under the Northland Note, because the issuance of such Ordinary Shares is at our discretion and is subject to conditions contained in the Northland Note, the satisfaction of which are entirely outside of Northland's control. Furthermore, pursuant to the terms of the Northland Note, we can only convert all but $1,135,000 of the Northland Note into Ordinary Shares. The Company issued the Northland Note and the shares of Ordinary Shares underlying the Northland Note as transaction -based compensation for the performance of investment banking services rendered to the Company in connection with the initial public offering of Armada, which became a wholly-owned subsidiary of the Company in connection with the Business Combination. The business address of Northland is 150 South Fifth Street, Suite 3300, Minneapolis, MN 55402.</w:t>
      </w:r>
    </w:p>
    <w:p>
      <w:pPr>
        <w:spacing w:after="0" w:line="17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0"/>
          <w:szCs w:val="10"/>
          <w:color w:val="auto"/>
        </w:rPr>
        <w:t>(83)The registered holders of the referenced shares to be registered are the following funds and accounts that are managed by Magnetar Financial LLC(“</w:t>
      </w:r>
      <w:r>
        <w:rPr>
          <w:rFonts w:ascii="Times New Roman" w:cs="Times New Roman" w:eastAsia="Times New Roman" w:hAnsi="Times New Roman"/>
          <w:sz w:val="10"/>
          <w:szCs w:val="10"/>
          <w:b w:val="1"/>
          <w:bCs w:val="1"/>
          <w:i w:val="1"/>
          <w:iCs w:val="1"/>
          <w:color w:val="auto"/>
        </w:rPr>
        <w:t>MFL</w:t>
      </w:r>
      <w:r>
        <w:rPr>
          <w:rFonts w:ascii="Times New Roman" w:cs="Times New Roman" w:eastAsia="Times New Roman" w:hAnsi="Times New Roman"/>
          <w:sz w:val="10"/>
          <w:szCs w:val="10"/>
          <w:color w:val="auto"/>
        </w:rPr>
        <w:t>”), which serves as investment manager of Magnetar Capital Master Fund Ltd, Magnetar Constellation Master Fund, Ltd, Magnetar Constellation Fund II, Ltd, Magnetar Discovery Master Fund Ltd, Magnetar Xing He Master Fund Ltd, Purpose Alternative Credit Fund Ltd, Purpose Alternative Credit Fund – T LLC, and Magnetar SC Fund Ltd. MFL is the manager of Magnetar Lake Credit Fund LLC, and general partner of Magnetar Structured Credit Fund, LP (together with all of the foregoing funds, the “</w:t>
      </w:r>
      <w:r>
        <w:rPr>
          <w:rFonts w:ascii="Times New Roman" w:cs="Times New Roman" w:eastAsia="Times New Roman" w:hAnsi="Times New Roman"/>
          <w:sz w:val="10"/>
          <w:szCs w:val="10"/>
          <w:b w:val="1"/>
          <w:bCs w:val="1"/>
          <w:i w:val="1"/>
          <w:iCs w:val="1"/>
          <w:color w:val="auto"/>
        </w:rPr>
        <w:t>Magnetar Funds</w:t>
      </w:r>
      <w:r>
        <w:rPr>
          <w:rFonts w:ascii="Times New Roman" w:cs="Times New Roman" w:eastAsia="Times New Roman" w:hAnsi="Times New Roman"/>
          <w:sz w:val="10"/>
          <w:szCs w:val="10"/>
          <w:color w:val="auto"/>
        </w:rPr>
        <w:t>”). In such capacities, MFL exercises voting and investment power over the securities listed above held for the accounts of the Magnetar Funds. MFL is a registered investment adviser under Section 203 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123" w:name="page124"/>
    <w:bookmarkEnd w:id="123"/>
    <w:p>
      <w:pPr>
        <w:spacing w:after="0" w:line="272" w:lineRule="auto"/>
        <w:rPr>
          <w:sz w:val="20"/>
          <w:szCs w:val="20"/>
          <w:color w:val="auto"/>
        </w:rPr>
      </w:pPr>
      <w:r>
        <w:rPr>
          <w:rFonts w:ascii="Times New Roman" w:cs="Times New Roman" w:eastAsia="Times New Roman" w:hAnsi="Times New Roman"/>
          <w:sz w:val="9"/>
          <w:szCs w:val="9"/>
          <w:color w:val="auto"/>
        </w:rPr>
        <w:t>the Investment Advisers Act of 1940, as amended. Magnetar Capital Partners LP (“</w:t>
      </w:r>
      <w:r>
        <w:rPr>
          <w:rFonts w:ascii="Times New Roman" w:cs="Times New Roman" w:eastAsia="Times New Roman" w:hAnsi="Times New Roman"/>
          <w:sz w:val="9"/>
          <w:szCs w:val="9"/>
          <w:b w:val="1"/>
          <w:bCs w:val="1"/>
          <w:i w:val="1"/>
          <w:iCs w:val="1"/>
          <w:color w:val="auto"/>
        </w:rPr>
        <w:t>MCP</w:t>
      </w:r>
      <w:r>
        <w:rPr>
          <w:rFonts w:ascii="Times New Roman" w:cs="Times New Roman" w:eastAsia="Times New Roman" w:hAnsi="Times New Roman"/>
          <w:sz w:val="9"/>
          <w:szCs w:val="9"/>
          <w:color w:val="auto"/>
        </w:rPr>
        <w:t>”), is the sole member and parent holding company of MFL. Supernova Management LLC (“</w:t>
      </w:r>
      <w:r>
        <w:rPr>
          <w:rFonts w:ascii="Times New Roman" w:cs="Times New Roman" w:eastAsia="Times New Roman" w:hAnsi="Times New Roman"/>
          <w:sz w:val="9"/>
          <w:szCs w:val="9"/>
          <w:b w:val="1"/>
          <w:bCs w:val="1"/>
          <w:i w:val="1"/>
          <w:iCs w:val="1"/>
          <w:color w:val="auto"/>
        </w:rPr>
        <w:t>Supernova</w:t>
      </w:r>
      <w:r>
        <w:rPr>
          <w:rFonts w:ascii="Times New Roman" w:cs="Times New Roman" w:eastAsia="Times New Roman" w:hAnsi="Times New Roman"/>
          <w:sz w:val="9"/>
          <w:szCs w:val="9"/>
          <w:color w:val="auto"/>
        </w:rPr>
        <w:t>”), is the sole general partner of MCP. The manager of Supernova is David Snyderman, a citizen of the United States of America. Each of the Magnetar Funds, MFL, MCP, Supernova and David J. Snyderman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principal business address of MFL and each of the</w:t>
      </w:r>
    </w:p>
    <w:p>
      <w:pPr>
        <w:spacing w:after="0"/>
        <w:rPr>
          <w:sz w:val="20"/>
          <w:szCs w:val="20"/>
          <w:color w:val="auto"/>
        </w:rPr>
      </w:pPr>
      <w:r>
        <w:rPr>
          <w:rFonts w:ascii="Times New Roman" w:cs="Times New Roman" w:eastAsia="Times New Roman" w:hAnsi="Times New Roman"/>
          <w:sz w:val="10"/>
          <w:szCs w:val="10"/>
          <w:color w:val="auto"/>
        </w:rPr>
        <w:t>Magnetar Funds is 1603 Orrington Ave., 13</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Floor, Evanston, IL 60201.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(84)Consists of (i) 31,785 Ordinary Shares and (ii) 40,000 Ordinary Shares, which is the maximum number of Ordinary Shares issuable upon the conversion of the Advance Subscription made by Mr. Israel.</w:t>
      </w:r>
    </w:p>
    <w:p>
      <w:pPr>
        <w:spacing w:after="0" w:line="56"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0"/>
          <w:szCs w:val="10"/>
          <w:color w:val="auto"/>
        </w:rPr>
        <w:t>(85)Offered securities consist of the maximum number of Ordinary Shares that may be issued in relation to those Ordinary Shares the Company issued to Maxim Group LLC (“</w:t>
      </w:r>
      <w:r>
        <w:rPr>
          <w:rFonts w:ascii="Times New Roman" w:cs="Times New Roman" w:eastAsia="Times New Roman" w:hAnsi="Times New Roman"/>
          <w:sz w:val="10"/>
          <w:szCs w:val="10"/>
          <w:b w:val="1"/>
          <w:bCs w:val="1"/>
          <w:i w:val="1"/>
          <w:iCs w:val="1"/>
          <w:color w:val="auto"/>
        </w:rPr>
        <w:t>Maxim</w:t>
      </w:r>
      <w:r>
        <w:rPr>
          <w:rFonts w:ascii="Times New Roman" w:cs="Times New Roman" w:eastAsia="Times New Roman" w:hAnsi="Times New Roman"/>
          <w:sz w:val="10"/>
          <w:szCs w:val="10"/>
          <w:color w:val="auto"/>
        </w:rPr>
        <w:t>”), a registered broker-dealer, as transaction-based compensation for the performance of advisory services rendered to the Company in connection with the recently completed Business Combination. The business address of Maxim is 300 Park Ave., 16th Floor, New York, NY 10022.</w:t>
      </w:r>
    </w:p>
    <w:p>
      <w:pPr>
        <w:spacing w:after="0" w:line="3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0"/>
          <w:szCs w:val="10"/>
          <w:color w:val="auto"/>
        </w:rPr>
        <w:t>(86)Vikas Mittal is the Managing Member of Meteora Capital Partners, L.P. (“</w:t>
      </w:r>
      <w:r>
        <w:rPr>
          <w:rFonts w:ascii="Times New Roman" w:cs="Times New Roman" w:eastAsia="Times New Roman" w:hAnsi="Times New Roman"/>
          <w:sz w:val="10"/>
          <w:szCs w:val="10"/>
          <w:b w:val="1"/>
          <w:bCs w:val="1"/>
          <w:i w:val="1"/>
          <w:iCs w:val="1"/>
          <w:color w:val="auto"/>
        </w:rPr>
        <w:t>Meteora</w:t>
      </w:r>
      <w:r>
        <w:rPr>
          <w:rFonts w:ascii="Times New Roman" w:cs="Times New Roman" w:eastAsia="Times New Roman" w:hAnsi="Times New Roman"/>
          <w:sz w:val="10"/>
          <w:szCs w:val="10"/>
          <w:color w:val="auto"/>
        </w:rPr>
        <w:t xml:space="preserve"> ”) and in such capacity may be deemed to be the beneficial owner having shared voting power and shared investment power over the securities described in this footnote. Mr. Mittal expressly declares that he is not the beneficial owner for the purposes of sections 13(d) or 13(g) of the Act. The business address of Meteora is 1200 N. Federal Hwy #200 Boca Raton, Florida 33432.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(87)Mr. Khan served as a director of Armada, which became a wholly owned subsidiary of the Company in connection with the Business Combination, since August 2021. Mr. Khan’s principal business address is 2238 Bentley Ridge Drive, San Jose, CA 95138.</w:t>
      </w:r>
    </w:p>
    <w:p>
      <w:pPr>
        <w:spacing w:after="0" w:line="198"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0"/>
          <w:szCs w:val="10"/>
          <w:color w:val="auto"/>
        </w:rPr>
        <w:t>(88)Voting and investment power over the interests held by Nautilus Master Fund, L.P. (“</w:t>
      </w:r>
      <w:r>
        <w:rPr>
          <w:rFonts w:ascii="Times New Roman" w:cs="Times New Roman" w:eastAsia="Times New Roman" w:hAnsi="Times New Roman"/>
          <w:sz w:val="10"/>
          <w:szCs w:val="10"/>
          <w:b w:val="1"/>
          <w:bCs w:val="1"/>
          <w:i w:val="1"/>
          <w:iCs w:val="1"/>
          <w:color w:val="auto"/>
        </w:rPr>
        <w:t>Nautilus</w:t>
      </w:r>
      <w:r>
        <w:rPr>
          <w:rFonts w:ascii="Times New Roman" w:cs="Times New Roman" w:eastAsia="Times New Roman" w:hAnsi="Times New Roman"/>
          <w:sz w:val="10"/>
          <w:szCs w:val="10"/>
          <w:color w:val="auto"/>
        </w:rPr>
        <w:t>”) resides with its investment manager, Periscope Capital Inc. (“</w:t>
      </w:r>
      <w:r>
        <w:rPr>
          <w:rFonts w:ascii="Times New Roman" w:cs="Times New Roman" w:eastAsia="Times New Roman" w:hAnsi="Times New Roman"/>
          <w:sz w:val="10"/>
          <w:szCs w:val="10"/>
          <w:b w:val="1"/>
          <w:bCs w:val="1"/>
          <w:i w:val="1"/>
          <w:iCs w:val="1"/>
          <w:color w:val="auto"/>
        </w:rPr>
        <w:t>Periscope Capital</w:t>
      </w:r>
      <w:r>
        <w:rPr>
          <w:rFonts w:ascii="Times New Roman" w:cs="Times New Roman" w:eastAsia="Times New Roman" w:hAnsi="Times New Roman"/>
          <w:sz w:val="10"/>
          <w:szCs w:val="10"/>
          <w:color w:val="auto"/>
        </w:rPr>
        <w:t>”). Jamie Wise is the Chief Executive Officer of Periscope Capital and may be deemed to be the beneficial owner of the interests held by Nautilus. Jaime Wise and Periscope Capital, however, disclaim any beneficial ownership of the interests held by Nautilus. The principal business address of Nautilus is c/o 333 Bay Street, Suite 1240, Toronto, ON M5H 2R2, Canada.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(89)Consists of (i) 70,200 Ordinary Shares and (ii) 35,800 Ordinary Shares underlying the Public Warrants owned by Nautilus that will be exercisable within 60 days of the date hereof.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(90)Consists of (i) 39,731 Ordinary Shares and (ii) 166,667 Ordinary Shares, which is the maximum number of Ordinary Shares issuable upon the conversion of the Advance Subscription made by Patel Family Investment LLC.</w:t>
      </w:r>
    </w:p>
    <w:p>
      <w:pPr>
        <w:spacing w:after="0" w:line="5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0"/>
          <w:szCs w:val="10"/>
          <w:color w:val="auto"/>
        </w:rPr>
        <w:t>(91)Polar Multi -Strategy Master Fund (“</w:t>
      </w:r>
      <w:r>
        <w:rPr>
          <w:rFonts w:ascii="Times New Roman" w:cs="Times New Roman" w:eastAsia="Times New Roman" w:hAnsi="Times New Roman"/>
          <w:sz w:val="10"/>
          <w:szCs w:val="10"/>
          <w:b w:val="1"/>
          <w:bCs w:val="1"/>
          <w:i w:val="1"/>
          <w:iCs w:val="1"/>
          <w:color w:val="auto"/>
        </w:rPr>
        <w:t>Polar Fund</w:t>
      </w:r>
      <w:r>
        <w:rPr>
          <w:rFonts w:ascii="Times New Roman" w:cs="Times New Roman" w:eastAsia="Times New Roman" w:hAnsi="Times New Roman"/>
          <w:sz w:val="10"/>
          <w:szCs w:val="10"/>
          <w:color w:val="auto"/>
        </w:rPr>
        <w:t>”) is under management by Polar Asset Management Partners Inc. (“</w:t>
      </w:r>
      <w:r>
        <w:rPr>
          <w:rFonts w:ascii="Times New Roman" w:cs="Times New Roman" w:eastAsia="Times New Roman" w:hAnsi="Times New Roman"/>
          <w:sz w:val="10"/>
          <w:szCs w:val="10"/>
          <w:b w:val="1"/>
          <w:bCs w:val="1"/>
          <w:i w:val="1"/>
          <w:iCs w:val="1"/>
          <w:color w:val="auto"/>
        </w:rPr>
        <w:t>PAMPI</w:t>
      </w:r>
      <w:r>
        <w:rPr>
          <w:rFonts w:ascii="Times New Roman" w:cs="Times New Roman" w:eastAsia="Times New Roman" w:hAnsi="Times New Roman"/>
          <w:sz w:val="10"/>
          <w:szCs w:val="10"/>
          <w:color w:val="auto"/>
        </w:rPr>
        <w:t>”). PAMPI serves as Investment Adviser to the Polar Fund and has control and discretion over the shares held by the Polar Fund. As such, PAMPI may be deemed the beneficial owner of the shares held by the Polar Fund. PAMPI disclaims any beneficial ownership of the reported shares other than to the extent of any pecuniary interest therein. The principal business address the Polar Fund is C/O Polar Asset Management Partners Inc., 16 York Street, Suite 2900, Toronto, Ontario M5J 0E6 Canada.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(92)Consists of 35,402 Ordinary Shares, which is the maximum number of Ordinary Shares issuable upon the conversion of the Advance Subscription made by Quality Kiosk.</w:t>
      </w:r>
    </w:p>
    <w:p>
      <w:pPr>
        <w:spacing w:after="0" w:line="56"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10"/>
          <w:szCs w:val="10"/>
          <w:color w:val="auto"/>
        </w:rPr>
        <w:t>(93)Pursuant to an investment management agreement, Radcliffe Capital Management, L.P. (“</w:t>
      </w:r>
      <w:r>
        <w:rPr>
          <w:rFonts w:ascii="Times New Roman" w:cs="Times New Roman" w:eastAsia="Times New Roman" w:hAnsi="Times New Roman"/>
          <w:sz w:val="10"/>
          <w:szCs w:val="10"/>
          <w:b w:val="1"/>
          <w:bCs w:val="1"/>
          <w:i w:val="1"/>
          <w:iCs w:val="1"/>
          <w:color w:val="auto"/>
        </w:rPr>
        <w:t>RCM</w:t>
      </w:r>
      <w:r>
        <w:rPr>
          <w:rFonts w:ascii="Times New Roman" w:cs="Times New Roman" w:eastAsia="Times New Roman" w:hAnsi="Times New Roman"/>
          <w:sz w:val="10"/>
          <w:szCs w:val="10"/>
          <w:color w:val="auto"/>
        </w:rPr>
        <w:t>”) serves as the investment manager of the Radcliffe SPAC Master Fund, L.P. (“</w:t>
      </w:r>
      <w:r>
        <w:rPr>
          <w:rFonts w:ascii="Times New Roman" w:cs="Times New Roman" w:eastAsia="Times New Roman" w:hAnsi="Times New Roman"/>
          <w:sz w:val="10"/>
          <w:szCs w:val="10"/>
          <w:b w:val="1"/>
          <w:bCs w:val="1"/>
          <w:i w:val="1"/>
          <w:iCs w:val="1"/>
          <w:color w:val="auto"/>
        </w:rPr>
        <w:t>Radcliffe Fund</w:t>
      </w:r>
      <w:r>
        <w:rPr>
          <w:rFonts w:ascii="Times New Roman" w:cs="Times New Roman" w:eastAsia="Times New Roman" w:hAnsi="Times New Roman"/>
          <w:sz w:val="10"/>
          <w:szCs w:val="10"/>
          <w:color w:val="auto"/>
        </w:rPr>
        <w:t>”). RGC Management Company, LLC (“</w:t>
      </w:r>
      <w:r>
        <w:rPr>
          <w:rFonts w:ascii="Times New Roman" w:cs="Times New Roman" w:eastAsia="Times New Roman" w:hAnsi="Times New Roman"/>
          <w:sz w:val="10"/>
          <w:szCs w:val="10"/>
          <w:b w:val="1"/>
          <w:bCs w:val="1"/>
          <w:i w:val="1"/>
          <w:iCs w:val="1"/>
          <w:color w:val="auto"/>
        </w:rPr>
        <w:t>Management</w:t>
      </w:r>
      <w:r>
        <w:rPr>
          <w:rFonts w:ascii="Times New Roman" w:cs="Times New Roman" w:eastAsia="Times New Roman" w:hAnsi="Times New Roman"/>
          <w:sz w:val="10"/>
          <w:szCs w:val="10"/>
          <w:color w:val="auto"/>
        </w:rPr>
        <w: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principal business address of Radcliffe Fund is c/o Radcliffe Capital Management, L.P., 50 Monument Road, Suite 300, Bala Cynwyd, PA 19004.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(94)The principal business address of Jingquain Hou is 610, Haitian Ge, Haiwaihuayuan, Ligang Lu, Haizhuqu, Guangzhou, Zhongguo.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(95)Consists of 2,321 Ordinary Shares, which is the maximum number of Ordinary Shares issuable upon the conversion of the Advance Subscription made by Jingquain Hou.</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(96)The principal business address of RiverNorth Capital Partners, L.P. (“</w:t>
      </w:r>
      <w:r>
        <w:rPr>
          <w:rFonts w:ascii="Times New Roman" w:cs="Times New Roman" w:eastAsia="Times New Roman" w:hAnsi="Times New Roman"/>
          <w:sz w:val="10"/>
          <w:szCs w:val="10"/>
          <w:b w:val="1"/>
          <w:bCs w:val="1"/>
          <w:i w:val="1"/>
          <w:iCs w:val="1"/>
          <w:color w:val="auto"/>
        </w:rPr>
        <w:t>RiverNorth Capital Partners</w:t>
      </w:r>
      <w:r>
        <w:rPr>
          <w:rFonts w:ascii="Times New Roman" w:cs="Times New Roman" w:eastAsia="Times New Roman" w:hAnsi="Times New Roman"/>
          <w:sz w:val="10"/>
          <w:szCs w:val="10"/>
          <w:color w:val="auto"/>
        </w:rPr>
        <w:t>”) is 360 S. Rosemary Avenue, Suite 1420, West Palm Beach, Florida 33401.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(97)Consists of (i) 10,313 Ordinary Shares and (ii) 37,125 Ordinary Shares underlying the Warrants owned by RiverNorth Capital Partners that will be exercisable within 60 days of the date hereof.</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3" w:right="62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0"/>
          <w:szCs w:val="10"/>
          <w:color w:val="auto"/>
        </w:rPr>
        <w:t>(98)The principal business address of RiverNorth Institutional Partners, L.P. (“</w:t>
      </w:r>
      <w:r>
        <w:rPr>
          <w:rFonts w:ascii="Times New Roman" w:cs="Times New Roman" w:eastAsia="Times New Roman" w:hAnsi="Times New Roman"/>
          <w:sz w:val="10"/>
          <w:szCs w:val="10"/>
          <w:b w:val="1"/>
          <w:bCs w:val="1"/>
          <w:i w:val="1"/>
          <w:iCs w:val="1"/>
          <w:color w:val="auto"/>
        </w:rPr>
        <w:t>RiverNorth Institutional Partners</w:t>
      </w:r>
      <w:r>
        <w:rPr>
          <w:rFonts w:ascii="Times New Roman" w:cs="Times New Roman" w:eastAsia="Times New Roman" w:hAnsi="Times New Roman"/>
          <w:sz w:val="10"/>
          <w:szCs w:val="10"/>
          <w:color w:val="auto"/>
        </w:rPr>
        <w:t>”) is 360 S. Rosemary Avenue, Suite 1420, West Palm Beach, Florida 33401.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(99)Consists of (i) 92,812 Ordinary Shares and (ii) 272,145 Ordinary Shares underlying the Warrants owned by RiverNorth Institutional Partners that will be exercisable within 60 days of the date hereof.</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(100)The principal business address of RiverNorth SPAC Arbitrage Fund, L.P. (“</w:t>
      </w:r>
      <w:r>
        <w:rPr>
          <w:rFonts w:ascii="Times New Roman" w:cs="Times New Roman" w:eastAsia="Times New Roman" w:hAnsi="Times New Roman"/>
          <w:sz w:val="10"/>
          <w:szCs w:val="10"/>
          <w:b w:val="1"/>
          <w:bCs w:val="1"/>
          <w:i w:val="1"/>
          <w:iCs w:val="1"/>
          <w:color w:val="auto"/>
        </w:rPr>
        <w:t>RiverNorth SPAC Arbitrage Fund</w:t>
      </w:r>
      <w:r>
        <w:rPr>
          <w:rFonts w:ascii="Times New Roman" w:cs="Times New Roman" w:eastAsia="Times New Roman" w:hAnsi="Times New Roman"/>
          <w:sz w:val="10"/>
          <w:szCs w:val="10"/>
          <w:color w:val="auto"/>
        </w:rPr>
        <w:t>”) is 360 S. Rosemary Avenue, Suite 1420, West Palm Beach, Florida 33401.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(101)Consists of (i) 103,125 Ordinary Shares and (ii) 371,250 Ordinary Shares underlying the Warrants owned by RiverNorth SPAC Arbitrage Fund that will be exercisable within 60 days of the date hereof.</w:t>
      </w:r>
    </w:p>
    <w:p>
      <w:pPr>
        <w:spacing w:after="0" w:line="5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0"/>
          <w:szCs w:val="10"/>
          <w:color w:val="auto"/>
        </w:rPr>
        <w:t>(102)Offered securities consist of the maximum number of Ordinary Shares that may be issued in relation to those Ordinary Shares the Company issued to Roth Capital Partners, LLC (“</w:t>
      </w:r>
      <w:r>
        <w:rPr>
          <w:rFonts w:ascii="Times New Roman" w:cs="Times New Roman" w:eastAsia="Times New Roman" w:hAnsi="Times New Roman"/>
          <w:sz w:val="10"/>
          <w:szCs w:val="10"/>
          <w:b w:val="1"/>
          <w:bCs w:val="1"/>
          <w:i w:val="1"/>
          <w:iCs w:val="1"/>
          <w:color w:val="auto"/>
        </w:rPr>
        <w:t>Roth Capital</w:t>
      </w:r>
      <w:r>
        <w:rPr>
          <w:rFonts w:ascii="Times New Roman" w:cs="Times New Roman" w:eastAsia="Times New Roman" w:hAnsi="Times New Roman"/>
          <w:sz w:val="10"/>
          <w:szCs w:val="10"/>
          <w:color w:val="auto"/>
        </w:rPr>
        <w:t>”), a registered broker-dealer, as transaction-based compensation for the performance of advisory services rendered to the Company in connection with the recently completed Business Combination. The business address of Roth Capital is 888 San Clemente Drive, Suite 400, Newport Beach, CA 92660.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(103)Consists of (i) 16,320 Ordinary Shares and (ii) 9,283 Ordinary Shares, which is the maximum number of Ordinary Shares issuable upon the conversion of the Advance Subscription made by Mr. Lin.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(104)Consists of (i) 117,832 Ordinary Shares and (ii) 20,000 Ordinary Shares, which is the maximum number of Ordinary Shares issuable upon the conversion of the Advance Subscription made by Sam Lewis.</w:t>
      </w:r>
    </w:p>
    <w:p>
      <w:pPr>
        <w:spacing w:after="0" w:line="5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0"/>
          <w:szCs w:val="10"/>
          <w:color w:val="auto"/>
        </w:rPr>
        <w:t>(105)Consists of Ordinary Shares held by Boothbay Absolute Return Strategies, LP, BoothBay Diversified Alpha Master Fund, LP, Sandia Crest LP, WWJr. Enterprises, Inc., Crestline Summit Master, SPC – Peak SPC and Crestline Summit Master, SPC – Crestline Summit APEX SP, each of which is managed by Sandia Investment Management LP (“</w:t>
      </w:r>
      <w:r>
        <w:rPr>
          <w:rFonts w:ascii="Times New Roman" w:cs="Times New Roman" w:eastAsia="Times New Roman" w:hAnsi="Times New Roman"/>
          <w:sz w:val="10"/>
          <w:szCs w:val="10"/>
          <w:b w:val="1"/>
          <w:bCs w:val="1"/>
          <w:i w:val="1"/>
          <w:iCs w:val="1"/>
          <w:color w:val="auto"/>
        </w:rPr>
        <w:t>Sandia Investment Management</w:t>
      </w:r>
      <w:r>
        <w:rPr>
          <w:rFonts w:ascii="Times New Roman" w:cs="Times New Roman" w:eastAsia="Times New Roman" w:hAnsi="Times New Roman"/>
          <w:sz w:val="10"/>
          <w:szCs w:val="10"/>
          <w:color w:val="auto"/>
        </w:rPr>
        <w:t>”). Tim Sichler is the majority owner of Sandia Investment Management. The principal business address of Sandia Investment Management is 201 Washington Street, Suite 2600, Boston, MA 02108.</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(106)Consists of 3,372 Ordinary Shares, which is the maximum number of Ordinary Shares issuable upon the conversion of the Advance Subscription made by Sharat Williams.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(107)Consists of 35,155 Ordinary Shares, which is the maximum number of Ordinary Shares issuable upon conversion of the Convertible Note held by Ms. Briggs.</w:t>
      </w:r>
    </w:p>
    <w:p>
      <w:pPr>
        <w:spacing w:after="0" w:line="5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(108)Consists of (i) 790,455 Ordinary Shares; (ii) 17,857 Ordinary Shares, which is the maximum number of Ordinary Shares issuable upon the conversion of the Promissory Note held by Tanist Group Limited, when converted at $7 per share; (iii) 166,666 Ordinary Shares, which is the maximum number of Ordinary Shares issuable upon the conversion of the Advance Subscription made by Tanist Group Limited; and (iv) 25,000 Ordinary Shares underlying the Private Warrants held by Tanist Group Limited.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(109)Consists of 17,078 Ordinary Shares, which is the maximum number of Ordinary Shares issuable upon the conversion of the Advance Subscription made by Techouts Solutions India Pvt ltd.</w:t>
      </w:r>
    </w:p>
    <w:p>
      <w:pPr>
        <w:spacing w:after="0" w:line="5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0"/>
          <w:szCs w:val="10"/>
          <w:color w:val="auto"/>
        </w:rPr>
        <w:t>(110)K2 Genpar 2017 Inc., the General Partner of The K2 Principal Fund L.P. (the “</w:t>
      </w:r>
      <w:r>
        <w:rPr>
          <w:rFonts w:ascii="Times New Roman" w:cs="Times New Roman" w:eastAsia="Times New Roman" w:hAnsi="Times New Roman"/>
          <w:sz w:val="10"/>
          <w:szCs w:val="10"/>
          <w:b w:val="1"/>
          <w:bCs w:val="1"/>
          <w:i w:val="1"/>
          <w:iCs w:val="1"/>
          <w:color w:val="auto"/>
        </w:rPr>
        <w:t>K2 Partnership</w:t>
      </w:r>
      <w:r>
        <w:rPr>
          <w:rFonts w:ascii="Times New Roman" w:cs="Times New Roman" w:eastAsia="Times New Roman" w:hAnsi="Times New Roman"/>
          <w:sz w:val="10"/>
          <w:szCs w:val="10"/>
          <w:color w:val="auto"/>
        </w:rPr>
        <w:t>”), has appointed K2 &amp; Associates Investment Management Inc. as the manager of the K2 Partnership. These corporations are controlled by Shawn Kimel, who is the chairman and Chief Investment Officer of K2 &amp; Associates Investment Management Inc. and may be deemed to have voting and dispositive power of the securities held by the K2 Partnership. The principal business address of the K2 Partnership is 2 Bloor S West – Suite 801, Toronto Ontario, M4W 3E2, Canada.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(111)Consists of (i) 131,250 Ordinary Shares and (ii) 207,659 Ordinary Shares underlying the Warrants owned by the K2 Partnership that will be exercisable within 60 days of the date hereof.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(112)Mr. Decker served as a director of Armada, which became a wholly owned subsidiary of the Company in connection with the Business Combination, since August 2021. The principal business office of Mr. Decker is 517 Old Gulph Road, Bryn Mawr, PA 19010.</w:t>
      </w:r>
    </w:p>
    <w:p>
      <w:pPr>
        <w:spacing w:after="0" w:line="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0"/>
          <w:szCs w:val="10"/>
          <w:color w:val="auto"/>
        </w:rPr>
        <w:t>(113)Consists of (i) 440,634 Ordinary Shares, (ii) 8,929 Ordinary Shares, which is the maximum number of Ordinary Shares issuable upon the conversion of the Promissory Note held by Trustees of Risol Limited Pension, when converted at $7 per share, and (iii) 12,500 Ordinary Shares underlying the Private Warrants held by Trustees of Risol Limited Pension.</w:t>
      </w:r>
    </w:p>
    <w:p>
      <w:pPr>
        <w:spacing w:after="0" w:line="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0"/>
          <w:szCs w:val="10"/>
          <w:color w:val="auto"/>
        </w:rPr>
        <w:t>(114)Consists of (i) 8,929 Ordinary Shares, which is the maximum number of Ordinary Shares issuable upon the conversion of the Promissory Note held by UBIRY GmbH, when converted at $7 per share and (ii) 12,500 Ordinary Shares underlying the Private Warrants held by UBIRY GmbH.</w:t>
      </w:r>
    </w:p>
    <w:p>
      <w:pPr>
        <w:spacing w:after="0" w:line="3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0"/>
          <w:szCs w:val="10"/>
          <w:color w:val="auto"/>
        </w:rPr>
        <w:t>(115)Walleye Investments Fund LLC (“</w:t>
      </w:r>
      <w:r>
        <w:rPr>
          <w:rFonts w:ascii="Times New Roman" w:cs="Times New Roman" w:eastAsia="Times New Roman" w:hAnsi="Times New Roman"/>
          <w:sz w:val="10"/>
          <w:szCs w:val="10"/>
          <w:b w:val="1"/>
          <w:bCs w:val="1"/>
          <w:i w:val="1"/>
          <w:iCs w:val="1"/>
          <w:color w:val="auto"/>
        </w:rPr>
        <w:t>Walleye Investments Fund</w:t>
      </w:r>
      <w:r>
        <w:rPr>
          <w:rFonts w:ascii="Times New Roman" w:cs="Times New Roman" w:eastAsia="Times New Roman" w:hAnsi="Times New Roman"/>
          <w:sz w:val="10"/>
          <w:szCs w:val="10"/>
          <w:color w:val="auto"/>
        </w:rPr>
        <w:t>”) is a private investment fund managed by Walleye Capital LLC (“</w:t>
      </w:r>
      <w:r>
        <w:rPr>
          <w:rFonts w:ascii="Times New Roman" w:cs="Times New Roman" w:eastAsia="Times New Roman" w:hAnsi="Times New Roman"/>
          <w:sz w:val="10"/>
          <w:szCs w:val="10"/>
          <w:b w:val="1"/>
          <w:bCs w:val="1"/>
          <w:i w:val="1"/>
          <w:iCs w:val="1"/>
          <w:color w:val="auto"/>
        </w:rPr>
        <w:t>Walleye Capital</w:t>
      </w:r>
      <w:r>
        <w:rPr>
          <w:rFonts w:ascii="Times New Roman" w:cs="Times New Roman" w:eastAsia="Times New Roman" w:hAnsi="Times New Roman"/>
          <w:sz w:val="10"/>
          <w:szCs w:val="10"/>
          <w:color w:val="auto"/>
        </w:rPr>
        <w:t>”). William England serves as the Chief Executive Officer of Walleye Capital. As a result, Walleye Capital and Mr. England may be deemed to have shared voting and dispositive power with respect to the shares held by Walleye</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093" w:right="700" w:bottom="1440" w:gutter="0" w:footer="0" w:header="0"/>
        </w:sectPr>
      </w:pPr>
    </w:p>
    <w:bookmarkStart w:id="125" w:name="page126"/>
    <w:bookmarkEnd w:id="125"/>
    <w:p>
      <w:pPr>
        <w:ind w:right="80"/>
        <w:spacing w:after="0" w:line="241" w:lineRule="auto"/>
        <w:rPr>
          <w:sz w:val="20"/>
          <w:szCs w:val="20"/>
          <w:color w:val="auto"/>
        </w:rPr>
      </w:pPr>
      <w:r>
        <w:rPr>
          <w:rFonts w:ascii="Times New Roman" w:cs="Times New Roman" w:eastAsia="Times New Roman" w:hAnsi="Times New Roman"/>
          <w:sz w:val="10"/>
          <w:szCs w:val="10"/>
          <w:color w:val="auto"/>
        </w:rPr>
        <w:t>Investments Fund. Walleye Capital and Mr. England disclaim beneficial ownership of such shares except to the extent of each of their pecuniary interest therein. Walleye Investments Fund is an affiliate of a registered broker -dealer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Walleye Investment Fund is 2800 Niagara Lane, Plymouth, MN 55447.</w:t>
      </w:r>
    </w:p>
    <w:p>
      <w:pPr>
        <w:spacing w:after="0" w:line="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9"/>
          <w:szCs w:val="9"/>
          <w:color w:val="auto"/>
        </w:rPr>
        <w:t>(116)Walleye Opportunities Master Fund Ltd (“</w:t>
      </w:r>
      <w:r>
        <w:rPr>
          <w:rFonts w:ascii="Times New Roman" w:cs="Times New Roman" w:eastAsia="Times New Roman" w:hAnsi="Times New Roman"/>
          <w:sz w:val="9"/>
          <w:szCs w:val="9"/>
          <w:b w:val="1"/>
          <w:bCs w:val="1"/>
          <w:i w:val="1"/>
          <w:iCs w:val="1"/>
          <w:color w:val="auto"/>
        </w:rPr>
        <w:t>Walleye Opportunities Fund</w:t>
      </w:r>
      <w:r>
        <w:rPr>
          <w:rFonts w:ascii="Times New Roman" w:cs="Times New Roman" w:eastAsia="Times New Roman" w:hAnsi="Times New Roman"/>
          <w:sz w:val="9"/>
          <w:szCs w:val="9"/>
          <w:color w:val="auto"/>
        </w:rPr>
        <w:t>”) is a private investment fund managed by Walleye Capital. William England serves as the Chief Executive Officer of Walleye Capital. As a result, Walleye Capital and Mr. England may be deemed to have shared voting and dispositive power with respect to the shares held by Walleye Opportunities Fund. Walleye Capital and Mr. England disclaim beneficial ownership of such shares except to the extent of each of their pecuniary interest therein. Walleye Opportunities Fund is an affiliate of a registered broker- 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Walleye Opportunities Fund is 2800 Niagara Lane, Plymouth, MN 55447.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(117)Consists of (i) 72,208 Ordinary Shares and (ii) 31 Ordinary Shares underlying the Warrants owned by Walleye Opportunities Fund that will be exercisable within 60 days of the date hereof.</w:t>
      </w:r>
    </w:p>
    <w:p>
      <w:pPr>
        <w:spacing w:after="0" w:line="56"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0"/>
          <w:szCs w:val="10"/>
          <w:color w:val="auto"/>
        </w:rPr>
        <w:t>(118)Solomon J. Cohen, in his capacity as Director of Vellar Opportunities Fund Master, Ltd. ("</w:t>
      </w:r>
      <w:r>
        <w:rPr>
          <w:rFonts w:ascii="Times New Roman" w:cs="Times New Roman" w:eastAsia="Times New Roman" w:hAnsi="Times New Roman"/>
          <w:sz w:val="10"/>
          <w:szCs w:val="10"/>
          <w:b w:val="1"/>
          <w:bCs w:val="1"/>
          <w:i w:val="1"/>
          <w:iCs w:val="1"/>
          <w:color w:val="auto"/>
        </w:rPr>
        <w:t>Vellar</w:t>
      </w:r>
      <w:r>
        <w:rPr>
          <w:rFonts w:ascii="Times New Roman" w:cs="Times New Roman" w:eastAsia="Times New Roman" w:hAnsi="Times New Roman"/>
          <w:sz w:val="10"/>
          <w:szCs w:val="10"/>
          <w:color w:val="auto"/>
        </w:rPr>
        <w:t>") may be deemed to control the securities owned by Vellar. Vellar is an affiliate of a registered broker- 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Vellar is 3 Columbus Circle, 24th Floor, New York, NY 10019.</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(119)Ms. Pao has been employed as a junior employee at the Taiwan branch of Rezolve since April 2022. The principal business address for Ms. Pao is 5F., No. 15, Ln. 128, Xinhu 1st Rd., Neihu District, Taipei City 114065, Taiwan (R.O.C.).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(120)Consists of 1,000 Ordinary Shares, which is the maximum number of Ordinary Shares issuable upon the conversion of the Advance Subscription made by Ms. Pao.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(121)Consists of 100,000 Ordinary Shares, which is the maximum number of Ordinary Shares issuable upon the conversion of the Advance Subscription made by Zedfesto Holding Ltd.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(122)Consists of 1,857 Ordinary Shares, which is the maximum number of Ordinary Shares issuable upon the conversion of the Advance Subscription made by Zheng Jie.</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0"/>
          <w:szCs w:val="10"/>
          <w:b w:val="1"/>
          <w:bCs w:val="1"/>
          <w:color w:val="auto"/>
        </w:rPr>
        <w:t>DESCRIPTION OF ORDINARY SHARES, ARTICLES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ASSOCIATION AND CERTAIN LEGAL CONSIDERATIONS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58"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xml:space="preserve">”), and (iii) a summary of relevant provisions of the UK Companies Act 2006 (as amended) (the “ </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General Description of Ordinary Shares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comprise a single class of ordinary shares with a nominal value of £0.0001 each.</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carry the right to receive dividends and distributions paid by Rezolve, if any.</w:t>
      </w:r>
    </w:p>
    <w:p>
      <w:pPr>
        <w:spacing w:after="0" w:line="58" w:lineRule="exact"/>
        <w:rPr>
          <w:sz w:val="20"/>
          <w:szCs w:val="20"/>
          <w:color w:val="auto"/>
        </w:rPr>
      </w:pPr>
    </w:p>
    <w:p>
      <w:pPr>
        <w:ind w:left="480" w:right="240"/>
        <w:spacing w:after="0" w:line="310" w:lineRule="auto"/>
        <w:rPr>
          <w:sz w:val="20"/>
          <w:szCs w:val="20"/>
          <w:color w:val="auto"/>
        </w:rPr>
      </w:pPr>
      <w:r>
        <w:rPr>
          <w:rFonts w:ascii="Times New Roman" w:cs="Times New Roman" w:eastAsia="Times New Roman" w:hAnsi="Times New Roman"/>
          <w:sz w:val="9"/>
          <w:szCs w:val="9"/>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equity securities issued by Rezolve for cash must first be offered to Rezolve shareholders in proportion to their existing holdings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69"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01"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99" w:lineRule="exact"/>
        <w:rPr>
          <w:sz w:val="20"/>
          <w:szCs w:val="20"/>
          <w:color w:val="auto"/>
        </w:rPr>
      </w:pPr>
    </w:p>
    <w:p>
      <w:pPr>
        <w:jc w:val="both"/>
        <w:ind w:right="20" w:firstLine="480"/>
        <w:spacing w:after="0" w:line="247" w:lineRule="auto"/>
        <w:rPr>
          <w:sz w:val="20"/>
          <w:szCs w:val="20"/>
          <w:color w:val="auto"/>
        </w:rPr>
      </w:pPr>
      <w:r>
        <w:rPr>
          <w:rFonts w:ascii="Times New Roman" w:cs="Times New Roman" w:eastAsia="Times New Roman" w:hAnsi="Times New Roman"/>
          <w:sz w:val="10"/>
          <w:szCs w:val="10"/>
          <w:color w:val="auto"/>
        </w:rPr>
        <w:t>Rezolve may convert Ordinary Shares into deferred shares of £ 0.0001 each (or other nominal value) in the capital of Rezolve (the “</w:t>
      </w:r>
      <w:r>
        <w:rPr>
          <w:rFonts w:ascii="Times New Roman" w:cs="Times New Roman" w:eastAsia="Times New Roman" w:hAnsi="Times New Roman"/>
          <w:sz w:val="10"/>
          <w:szCs w:val="10"/>
          <w:b w:val="1"/>
          <w:bCs w:val="1"/>
          <w:i w:val="1"/>
          <w:iCs w:val="1"/>
          <w:color w:val="auto"/>
        </w:rPr>
        <w:t>Deferred Shares</w:t>
      </w:r>
      <w:r>
        <w:rPr>
          <w:rFonts w:ascii="Times New Roman" w:cs="Times New Roman" w:eastAsia="Times New Roman" w:hAnsi="Times New Roman"/>
          <w:sz w:val="10"/>
          <w:szCs w:val="10"/>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04"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Register</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27" w:name="page128"/>
    <w:bookmarkEnd w:id="127"/>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any of its shareholders or any other affected person may apply to the court for rectification of the share register if: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name of any person, without sufficient cause, is wrongly entered in or omitted from Rezolve’s register of shareholders; or</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Public Warrants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92"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 xml:space="preserve">Redemption of Public Warrants when the price per Ordinary Share equals or exceeds $18.00. </w:t>
      </w:r>
      <w:r>
        <w:rPr>
          <w:rFonts w:ascii="Times New Roman" w:cs="Times New Roman" w:eastAsia="Times New Roman" w:hAnsi="Times New Roman"/>
          <w:sz w:val="10"/>
          <w:szCs w:val="10"/>
          <w:color w:val="auto"/>
        </w:rPr>
        <w:t>Once the warrants become exercisable, we may redeem the outstanding warrants (subject to any restrictions under the UK Companies Act):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 price of $0.01 per warrant;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a minimum of 30 days’ prior written notice of redemption; and</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128" w:name="page129"/>
    <w:bookmarkEnd w:id="128"/>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03" w:lineRule="exact"/>
        <w:rPr>
          <w:sz w:val="20"/>
          <w:szCs w:val="20"/>
          <w:color w:val="auto"/>
        </w:rPr>
      </w:pPr>
    </w:p>
    <w:p>
      <w:pPr>
        <w:ind w:right="22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Holder Election to Limit Exercise</w:t>
      </w:r>
      <w:r>
        <w:rPr>
          <w:rFonts w:ascii="Times New Roman" w:cs="Times New Roman" w:eastAsia="Times New Roman" w:hAnsi="Times New Roman"/>
          <w:sz w:val="10"/>
          <w:szCs w:val="10"/>
          <w:color w:val="auto"/>
        </w:rPr>
        <w:t>. A holder of a warrant may notify us in writing in the event it elects to be subject to a requirement that such holder will not have the right to exercise such warrant, to the extent that after giving effect to such exercise, such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person (together with such person’s affiliates), to the warrant agent’s actual knowledge, would beneficially own in excess of 9.8% (as specified by the holder) of the Ordinary Shares outstanding immediately after giving effect to such exercise.</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Anti -Dilution Adjustments</w:t>
      </w:r>
      <w:r>
        <w:rPr>
          <w:rFonts w:ascii="Times New Roman" w:cs="Times New Roman" w:eastAsia="Times New Roman" w:hAnsi="Times New Roman"/>
          <w:sz w:val="10"/>
          <w:szCs w:val="10"/>
          <w:color w:val="auto"/>
        </w:rPr>
        <w:t>. If the number of outstanding Ordinary Shares is increased by a stock dividend payable in Ordinary Shares, or by a split up of common stock or other similar event, then, on the effective date of such share capitalization, sub-division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7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1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0"/>
          <w:szCs w:val="10"/>
          <w:b w:val="1"/>
          <w:bCs w:val="1"/>
          <w:color w:val="auto"/>
        </w:rPr>
        <w:t>Articles of Association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rights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Voting rights and quorum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holder.</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number of votes attaching to all the shares held by Daniel Wagner as the “Rezolve Founder” or in which he is interested shall be equal to the higher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(i)75% of the votes attaching to all shares in the capital of the Company;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(ii)the total number of votes that would otherwise have been conferred on Daniel Wagner.</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Restrictions on Voting</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Variation of Rights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rights attached to any class of shares may be varied in accordance with the provisions of the UK Companies Act and with either the written consent of the holders of not less than three- 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0"/>
          <w:szCs w:val="10"/>
          <w:b w:val="1"/>
          <w:bCs w:val="1"/>
          <w:i w:val="1"/>
          <w:iCs w:val="1"/>
          <w:color w:val="auto"/>
        </w:rPr>
        <w:t>Share transfers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Ordinary Shares are in registered form. Any Ordinary Shares may be held in uncertificated form.</w:t>
      </w:r>
    </w:p>
    <w:p>
      <w:pPr>
        <w:spacing w:after="0" w:line="11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transferor of an ordinary share is deemed to remain the holder until the transferee’s name is entered in the share register.</w:t>
      </w:r>
    </w:p>
    <w:p>
      <w:pPr>
        <w:spacing w:after="0" w:line="118"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Dividends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dividends on shares are to be paid according to the amounts paid up on their nominal value, or otherwise in accordance with the terms concerning entitlement to dividends on which shares were issued.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unclaimed dividends may be made use of by Rezolve’s board of directors for Rezolve’s benefit until claimed.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dividend unclaimed for a period of 10 years from the date when it was declared or became due for payment shall revert to Rezolve.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Shareholder meetings</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31" w:name="page132"/>
    <w:bookmarkEnd w:id="131"/>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voting rights of each member at a general meeting are as set out under the heading “Voting Rights and Quorum”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Alteration of share capital</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agree with any member terms and conditions upon which all or any part of the Ordinary Shares held by such member from time to time shall be automatically converted into deferred shares.</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Change of Control</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There is no specific provision in the articles of association that would have the effect of delaying, deferring or preventing a change of control. Our board will be divided into three classes serving staggered three -year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Winding Up</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Number of Directors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1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Rezolve’s board is divided into three classes serving staggered three -year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0"/>
          <w:szCs w:val="10"/>
          <w:b w:val="1"/>
          <w:bCs w:val="1"/>
          <w:i w:val="1"/>
          <w:iCs w:val="1"/>
          <w:color w:val="auto"/>
        </w:rPr>
        <w:t>Appointment of Directors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0"/>
          <w:szCs w:val="10"/>
          <w:i w:val="1"/>
          <w:iCs w:val="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Retirement of Directors</w:t>
      </w:r>
    </w:p>
    <w:p>
      <w:pPr>
        <w:spacing w:after="0" w:line="60" w:lineRule="exact"/>
        <w:rPr>
          <w:sz w:val="20"/>
          <w:szCs w:val="20"/>
          <w:color w:val="auto"/>
        </w:rPr>
      </w:pPr>
    </w:p>
    <w:p>
      <w:pPr>
        <w:jc w:val="both"/>
        <w:ind w:right="320" w:firstLine="480"/>
        <w:spacing w:after="0" w:line="245" w:lineRule="auto"/>
        <w:rPr>
          <w:sz w:val="20"/>
          <w:szCs w:val="20"/>
          <w:color w:val="auto"/>
        </w:rPr>
      </w:pPr>
      <w:r>
        <w:rPr>
          <w:rFonts w:ascii="Times New Roman" w:cs="Times New Roman" w:eastAsia="Times New Roman" w:hAnsi="Times New Roman"/>
          <w:sz w:val="10"/>
          <w:szCs w:val="10"/>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Interests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2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director shall be entitled to vote (and be counted in the quorum) in respect of any resolution concerning any of the following matters: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contract, transaction or arrangement in which the director is interested by virtue of an interest in shares, debentures or other securities of Rezolve or any of its subsidiary undertakings;</w:t>
      </w:r>
    </w:p>
    <w:p>
      <w:pPr>
        <w:spacing w:after="0" w:line="58"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•indemnification by Rezolve in relation to the performance of the director’s duties on behalf of the Company or any of its subsidiary undertakings;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33" w:name="page134"/>
    <w:bookmarkEnd w:id="133"/>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8" w:lineRule="exact"/>
        <w:rPr>
          <w:sz w:val="20"/>
          <w:szCs w:val="20"/>
          <w:color w:val="auto"/>
        </w:rPr>
      </w:pPr>
    </w:p>
    <w:p>
      <w:pPr>
        <w:ind w:left="480" w:right="420"/>
        <w:spacing w:after="0" w:line="380" w:lineRule="auto"/>
        <w:rPr>
          <w:sz w:val="20"/>
          <w:szCs w:val="20"/>
          <w:color w:val="auto"/>
        </w:rPr>
      </w:pPr>
      <w:r>
        <w:rPr>
          <w:rFonts w:ascii="Times New Roman" w:cs="Times New Roman" w:eastAsia="Times New Roman" w:hAnsi="Times New Roman"/>
          <w:sz w:val="10"/>
          <w:szCs w:val="10"/>
          <w:color w:val="auto"/>
        </w:rPr>
        <w:t>•any arrangement for the benefit of employees of Rezolve or of any of its subsidiary undertakings which does not accord to the director any privilege or benefit not generally accorded to the employees to whom the contract or arrangement relates; and •the purchase or maintenance of insurance either for or for the benefit of any director or for persons who include directors.</w:t>
      </w:r>
    </w:p>
    <w:p>
      <w:pPr>
        <w:spacing w:after="0" w:line="4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Fees and Remuneration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Special remuneration may be granted to any director who performs any special or extra services to, or at the request of, Rezolve, to be paid by way of lump sum, salary, commission, participation in profits or otherwise as the Rezolve board of directors may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decide.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Borrowing Powers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Indemnity</w:t>
      </w:r>
    </w:p>
    <w:p>
      <w:pPr>
        <w:spacing w:after="0" w:line="60" w:lineRule="exact"/>
        <w:rPr>
          <w:sz w:val="20"/>
          <w:szCs w:val="20"/>
          <w:color w:val="auto"/>
        </w:rPr>
      </w:pPr>
    </w:p>
    <w:p>
      <w:pPr>
        <w:ind w:right="28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Other English Law Considerations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Mandatory Purchases and Acquisitions</w:t>
      </w:r>
    </w:p>
    <w:p>
      <w:pPr>
        <w:spacing w:after="0" w:line="60" w:lineRule="exact"/>
        <w:rPr>
          <w:sz w:val="20"/>
          <w:szCs w:val="20"/>
          <w:color w:val="auto"/>
        </w:rPr>
      </w:pPr>
    </w:p>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0"/>
          <w:szCs w:val="10"/>
          <w:color w:val="auto"/>
        </w:rPr>
        <w:t>acquire, those shares on the same terms as the general offer. The offeror would do so by sending a notice to the outstanding minority shareholders telling them that it will compulsorily acquire their shares.</w:t>
      </w:r>
    </w:p>
    <w:p>
      <w:pPr>
        <w:spacing w:after="0" w:line="11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Such notice must be sent within three months of the last day on which the offer can be accepted in the prescribed manner. The squeeze -out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Sell Out</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Disclosure of Interest in Shares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8" w:lineRule="exact"/>
        <w:rPr>
          <w:sz w:val="20"/>
          <w:szCs w:val="20"/>
          <w:color w:val="auto"/>
        </w:rPr>
      </w:pPr>
    </w:p>
    <w:p>
      <w:pPr>
        <w:jc w:val="both"/>
        <w:ind w:left="480" w:right="220"/>
        <w:spacing w:after="0" w:line="245" w:lineRule="auto"/>
        <w:rPr>
          <w:sz w:val="20"/>
          <w:szCs w:val="20"/>
          <w:color w:val="auto"/>
        </w:rPr>
      </w:pPr>
      <w:r>
        <w:rPr>
          <w:rFonts w:ascii="Times New Roman" w:cs="Times New Roman" w:eastAsia="Times New Roman" w:hAnsi="Times New Roman"/>
          <w:sz w:val="10"/>
          <w:szCs w:val="10"/>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Purchase of Own Shares</w:t>
      </w:r>
    </w:p>
    <w:p>
      <w:pPr>
        <w:spacing w:after="0" w:line="60" w:lineRule="exact"/>
        <w:rPr>
          <w:sz w:val="20"/>
          <w:szCs w:val="20"/>
          <w:color w:val="auto"/>
        </w:rPr>
      </w:pPr>
    </w:p>
    <w:p>
      <w:pPr>
        <w:ind w:right="200" w:firstLine="480"/>
        <w:spacing w:after="0" w:line="241" w:lineRule="auto"/>
        <w:rPr>
          <w:sz w:val="20"/>
          <w:szCs w:val="20"/>
          <w:color w:val="auto"/>
        </w:rPr>
      </w:pPr>
      <w:r>
        <w:rPr>
          <w:rFonts w:ascii="Times New Roman" w:cs="Times New Roman" w:eastAsia="Times New Roman" w:hAnsi="Times New Roman"/>
          <w:sz w:val="10"/>
          <w:szCs w:val="10"/>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the maximum number of shares authorized to be acquired;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•determine the maximum and minimum prices that may be paid for the shares;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a date, not being later than five years after the passing of the resolution, on which the authority to purchase is to expire.</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35" w:name="page136"/>
    <w:bookmarkEnd w:id="135"/>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and Dividends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It is not sufficient that Rezolve, once re- 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41" w:lineRule="exact"/>
        <w:rPr>
          <w:sz w:val="20"/>
          <w:szCs w:val="20"/>
          <w:color w:val="auto"/>
        </w:rPr>
      </w:pPr>
    </w:p>
    <w:p>
      <w:pPr>
        <w:ind w:left="480" w:right="2120"/>
        <w:spacing w:after="0" w:line="380" w:lineRule="auto"/>
        <w:rPr>
          <w:sz w:val="20"/>
          <w:szCs w:val="20"/>
          <w:color w:val="auto"/>
        </w:rPr>
      </w:pPr>
      <w:r>
        <w:rPr>
          <w:rFonts w:ascii="Times New Roman" w:cs="Times New Roman" w:eastAsia="Times New Roman" w:hAnsi="Times New Roman"/>
          <w:sz w:val="10"/>
          <w:szCs w:val="10"/>
          <w:color w:val="auto"/>
        </w:rPr>
        <w:t>•if, at the time that the distribution is made, the amount of its net assets (that is, the total excess of assets over liabilities) is not less than the total of its called-up share capital and undistributable reserves; and •if, and to the extent that, the distribution itself, at the time that it is made, does not reduce the amount of the net assets to less than that total.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Anti-Money Laundering</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Enforceability of Civil Liabilities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05"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Data Protection - United Kingdom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has certain duties under the General Data Protection Regulation (as implemented in the UK) and the Data Protection Act 2018 (“</w:t>
      </w:r>
      <w:r>
        <w:rPr>
          <w:rFonts w:ascii="Times New Roman" w:cs="Times New Roman" w:eastAsia="Times New Roman" w:hAnsi="Times New Roman"/>
          <w:sz w:val="10"/>
          <w:szCs w:val="10"/>
          <w:b w:val="1"/>
          <w:bCs w:val="1"/>
          <w:i w:val="1"/>
          <w:iCs w:val="1"/>
          <w:color w:val="auto"/>
        </w:rPr>
        <w:t>UK GDPR</w:t>
      </w:r>
      <w:r>
        <w:rPr>
          <w:rFonts w:ascii="Times New Roman" w:cs="Times New Roman" w:eastAsia="Times New Roman" w:hAnsi="Times New Roman"/>
          <w:sz w:val="10"/>
          <w:szCs w:val="10"/>
          <w:color w:val="auto"/>
        </w:rPr>
        <w:t>”) based on internationally accepted principles of data privacy.</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0"/>
          <w:szCs w:val="10"/>
          <w:b w:val="1"/>
          <w:bCs w:val="1"/>
          <w:i w:val="1"/>
          <w:iCs w:val="1"/>
          <w:color w:val="auto"/>
        </w:rPr>
        <w:t>Privacy Notice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Introduction</w:t>
      </w:r>
    </w:p>
    <w:p>
      <w:pPr>
        <w:spacing w:after="0" w:line="58" w:lineRule="exact"/>
        <w:rPr>
          <w:sz w:val="20"/>
          <w:szCs w:val="20"/>
          <w:color w:val="auto"/>
        </w:rPr>
      </w:pPr>
    </w:p>
    <w:p>
      <w:pPr>
        <w:ind w:right="260" w:firstLine="480"/>
        <w:spacing w:after="0" w:line="259" w:lineRule="auto"/>
        <w:rPr>
          <w:sz w:val="20"/>
          <w:szCs w:val="20"/>
          <w:color w:val="auto"/>
        </w:rPr>
      </w:pPr>
      <w:r>
        <w:rPr>
          <w:rFonts w:ascii="Times New Roman" w:cs="Times New Roman" w:eastAsia="Times New Roman" w:hAnsi="Times New Roman"/>
          <w:sz w:val="10"/>
          <w:szCs w:val="10"/>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0"/>
          <w:szCs w:val="10"/>
          <w:b w:val="1"/>
          <w:bCs w:val="1"/>
          <w:i w:val="1"/>
          <w:iCs w:val="1"/>
          <w:color w:val="auto"/>
        </w:rPr>
        <w:t>personal data</w:t>
      </w:r>
      <w:r>
        <w:rPr>
          <w:rFonts w:ascii="Times New Roman" w:cs="Times New Roman" w:eastAsia="Times New Roman" w:hAnsi="Times New Roman"/>
          <w:sz w:val="10"/>
          <w:szCs w:val="10"/>
          <w:color w:val="auto"/>
        </w:rPr>
        <w:t>”). In the following discussion, the “Company” refers to Rezolve and its affiliates and/or delegates, except where the context requires otherwise.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Investor Data</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05"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05" w:lineRule="exact"/>
        <w:rPr>
          <w:sz w:val="20"/>
          <w:szCs w:val="20"/>
          <w:color w:val="auto"/>
        </w:rPr>
      </w:pPr>
    </w:p>
    <w:p>
      <w:pPr>
        <w:ind w:right="320" w:firstLine="480"/>
        <w:spacing w:after="0" w:line="245" w:lineRule="auto"/>
        <w:rPr>
          <w:sz w:val="20"/>
          <w:szCs w:val="20"/>
          <w:color w:val="auto"/>
        </w:rPr>
      </w:pPr>
      <w:r>
        <w:rPr>
          <w:rFonts w:ascii="Times New Roman" w:cs="Times New Roman" w:eastAsia="Times New Roman" w:hAnsi="Times New Roman"/>
          <w:sz w:val="10"/>
          <w:szCs w:val="10"/>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Who this Affects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How Rezolve May Use a Member’s Personal Data</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as the data controller, may collect, store and use personal data for lawful purposes, including, in particular: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•where this is necessary for the performance of its rights and obligations under any purchase agreements;</w:t>
      </w:r>
    </w:p>
    <w:p>
      <w:pPr>
        <w:spacing w:after="0" w:line="58" w:lineRule="exact"/>
        <w:rPr>
          <w:sz w:val="20"/>
          <w:szCs w:val="20"/>
          <w:color w:val="auto"/>
        </w:rPr>
      </w:pPr>
    </w:p>
    <w:p>
      <w:pPr>
        <w:ind w:left="480" w:right="2380"/>
        <w:spacing w:after="0" w:line="380" w:lineRule="auto"/>
        <w:rPr>
          <w:sz w:val="20"/>
          <w:szCs w:val="20"/>
          <w:color w:val="auto"/>
        </w:rPr>
      </w:pPr>
      <w:r>
        <w:rPr>
          <w:rFonts w:ascii="Times New Roman" w:cs="Times New Roman" w:eastAsia="Times New Roman" w:hAnsi="Times New Roman"/>
          <w:sz w:val="10"/>
          <w:szCs w:val="10"/>
          <w:color w:val="auto"/>
        </w:rPr>
        <w:t>•where this is necessary for compliance with a legal and regulatory obligation to which the company is subject (such as compliance with anti-money laundering and FATCA/CRS requirements); and/or •where this is necessary for the purposes of our legitimate interests and such interests are not overridden by your interests, fundamental rights or freedoms.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Should Rezolve wish to use personal data for other specific purposes (including, if applicable, any purpose that requires your consent), it will contact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Why Rezolve May Share Your Personal Data</w:t>
      </w:r>
    </w:p>
    <w:p>
      <w:pPr>
        <w:spacing w:after="0" w:line="60"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137" w:name="page138"/>
    <w:bookmarkEnd w:id="137"/>
    <w:p>
      <w:pPr>
        <w:ind w:left="480"/>
        <w:spacing w:after="0"/>
        <w:rPr>
          <w:sz w:val="20"/>
          <w:szCs w:val="20"/>
          <w:color w:val="auto"/>
        </w:rPr>
      </w:pPr>
      <w:r>
        <w:rPr>
          <w:rFonts w:ascii="Times New Roman" w:cs="Times New Roman" w:eastAsia="Times New Roman" w:hAnsi="Times New Roman"/>
          <w:sz w:val="10"/>
          <w:szCs w:val="10"/>
          <w:color w:val="auto"/>
        </w:rPr>
        <w:t>Rezolve may share your personal data with our affiliates for any of the purposes described in this privacy notice.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International Data Transfers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The Data Protection Measures Rezolve Takes</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Retention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38" w:name="page139"/>
    <w:bookmarkEnd w:id="138"/>
    <w:p>
      <w:pPr>
        <w:jc w:val="center"/>
        <w:ind w:right="-139"/>
        <w:spacing w:after="0"/>
        <w:rPr>
          <w:sz w:val="20"/>
          <w:szCs w:val="20"/>
          <w:color w:val="auto"/>
        </w:rPr>
      </w:pPr>
      <w:r>
        <w:rPr>
          <w:rFonts w:ascii="Times New Roman" w:cs="Times New Roman" w:eastAsia="Times New Roman" w:hAnsi="Times New Roman"/>
          <w:sz w:val="10"/>
          <w:szCs w:val="10"/>
          <w:b w:val="1"/>
          <w:bCs w:val="1"/>
          <w:color w:val="auto"/>
        </w:rPr>
        <w:t>MATERIAL TAX CONSIDERATIONS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United Kingdom Tax Considerations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29"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statements are not directed at and do not apply to persons who are resident, or in the case of individuals, domiciled for tax purposes in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YOU ARE IN ANY DOUBT AS TO YOUR TAX POSITION, YOU SHOULD CONSULT YOUR PROFESSIONAL TAX ADVISER.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subject to UK corporation tax on its taxable profits and gains, as it is tax resident in the UK. The Business Combination will not give rise to any taxable profits or gains for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Disposals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Dividends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not required to withhold UK tax when paying a dividend.</w:t>
      </w:r>
    </w:p>
    <w:p>
      <w:pPr>
        <w:spacing w:after="0" w:line="118"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0"/>
          <w:szCs w:val="1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40" w:top="1033" w:right="78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0"/>
          <w:szCs w:val="10"/>
          <w:b w:val="1"/>
          <w:bCs w:val="1"/>
          <w:i w:val="1"/>
          <w:iCs w:val="1"/>
          <w:color w:val="auto"/>
        </w:rPr>
        <w:t>Stamp Duty and Stamp Duty Reserve Tax (“SDRT”)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UK stamp duty or UK SDRT should arise on the issue of Ordinary Shares.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An agreement to transfer Ordinary Shares or Warrants other than to a depository trust company (“</w:t>
      </w:r>
      <w:r>
        <w:rPr>
          <w:rFonts w:ascii="Times New Roman" w:cs="Times New Roman" w:eastAsia="Times New Roman" w:hAnsi="Times New Roman"/>
          <w:sz w:val="10"/>
          <w:szCs w:val="10"/>
          <w:b w:val="1"/>
          <w:bCs w:val="1"/>
          <w:i w:val="1"/>
          <w:iCs w:val="1"/>
          <w:color w:val="auto"/>
        </w:rPr>
        <w:t>DTC</w:t>
      </w:r>
      <w:r>
        <w:rPr>
          <w:rFonts w:ascii="Times New Roman" w:cs="Times New Roman" w:eastAsia="Times New Roman" w:hAnsi="Times New Roman"/>
          <w:sz w:val="10"/>
          <w:szCs w:val="10"/>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06"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U.S. Federal Tax Considerations</w:t>
      </w:r>
    </w:p>
    <w:p>
      <w:pPr>
        <w:spacing w:after="0" w:line="60" w:lineRule="exact"/>
        <w:rPr>
          <w:sz w:val="20"/>
          <w:szCs w:val="20"/>
          <w:color w:val="auto"/>
        </w:rPr>
      </w:pPr>
    </w:p>
    <w:p>
      <w:pPr>
        <w:ind w:right="300" w:firstLine="480"/>
        <w:spacing w:after="0" w:line="245" w:lineRule="auto"/>
        <w:rPr>
          <w:sz w:val="20"/>
          <w:szCs w:val="20"/>
          <w:color w:val="auto"/>
        </w:rPr>
      </w:pPr>
      <w:r>
        <w:rPr>
          <w:rFonts w:ascii="Times New Roman" w:cs="Times New Roman" w:eastAsia="Times New Roman" w:hAnsi="Times New Roman"/>
          <w:sz w:val="10"/>
          <w:szCs w:val="10"/>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•brokers, dealers and other investors that do not own their Ordinary Shares or Warrants as capital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•traders in securities that elect to use a mark-to-market method of accounting for their securities holdings;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•tax-exempt organizations, qualified retirement plans, individual retirement accounts or other tax deferred accounts;</w:t>
      </w:r>
    </w:p>
    <w:p>
      <w:pPr>
        <w:spacing w:after="0" w:line="58" w:lineRule="exact"/>
        <w:rPr>
          <w:sz w:val="20"/>
          <w:szCs w:val="20"/>
          <w:color w:val="auto"/>
        </w:rPr>
      </w:pPr>
    </w:p>
    <w:p>
      <w:pPr>
        <w:ind w:left="480" w:right="4800"/>
        <w:spacing w:after="0" w:line="360" w:lineRule="auto"/>
        <w:rPr>
          <w:sz w:val="20"/>
          <w:szCs w:val="20"/>
          <w:color w:val="auto"/>
        </w:rPr>
      </w:pPr>
      <w:r>
        <w:rPr>
          <w:rFonts w:ascii="Times New Roman" w:cs="Times New Roman" w:eastAsia="Times New Roman" w:hAnsi="Times New Roman"/>
          <w:sz w:val="10"/>
          <w:szCs w:val="10"/>
          <w:color w:val="auto"/>
        </w:rPr>
        <w:t>•banks or other financial institutions, underwriters, insurance companies, real estate investment trusts or regulated investment companies; •U.S. expatriates or former long-term residents of the United States;</w:t>
      </w:r>
    </w:p>
    <w:p>
      <w:pPr>
        <w:ind w:left="480" w:right="4400"/>
        <w:spacing w:after="0" w:line="400" w:lineRule="auto"/>
        <w:rPr>
          <w:sz w:val="20"/>
          <w:szCs w:val="20"/>
          <w:color w:val="auto"/>
        </w:rPr>
      </w:pPr>
      <w:r>
        <w:rPr>
          <w:rFonts w:ascii="Times New Roman" w:cs="Times New Roman" w:eastAsia="Times New Roman" w:hAnsi="Times New Roman"/>
          <w:sz w:val="9"/>
          <w:szCs w:val="9"/>
          <w:color w:val="auto"/>
        </w:rPr>
        <w:t>•persons that own (directly, indirectly, or by attribution) 5% or more (by vote or value) of the Armada Common Stock or Ordinary Shares; •partnerships or other pass-through entities for U.S. federal income tax purposes, or beneficial owners of partnerships or other pass-through entities;</w:t>
      </w:r>
    </w:p>
    <w:p>
      <w:pPr>
        <w:ind w:left="480"/>
        <w:spacing w:after="0"/>
        <w:rPr>
          <w:sz w:val="20"/>
          <w:szCs w:val="20"/>
          <w:color w:val="auto"/>
        </w:rPr>
      </w:pPr>
      <w:r>
        <w:rPr>
          <w:rFonts w:ascii="Times New Roman" w:cs="Times New Roman" w:eastAsia="Times New Roman" w:hAnsi="Times New Roman"/>
          <w:sz w:val="10"/>
          <w:szCs w:val="10"/>
          <w:color w:val="auto"/>
        </w:rPr>
        <w:t>•persons holding Ordinary Shares or Warrants as part of a straddle, hedging or conversion transaction, constructive sale, or other arrangement involving more than one position;</w:t>
      </w:r>
    </w:p>
    <w:p>
      <w:pPr>
        <w:spacing w:after="0" w:line="58" w:lineRule="exact"/>
        <w:rPr>
          <w:sz w:val="20"/>
          <w:szCs w:val="20"/>
          <w:color w:val="auto"/>
        </w:rPr>
      </w:pPr>
    </w:p>
    <w:p>
      <w:pPr>
        <w:ind w:left="480" w:right="2320"/>
        <w:spacing w:after="0" w:line="360" w:lineRule="auto"/>
        <w:rPr>
          <w:sz w:val="20"/>
          <w:szCs w:val="20"/>
          <w:color w:val="auto"/>
        </w:rPr>
      </w:pPr>
      <w:r>
        <w:rPr>
          <w:rFonts w:ascii="Times New Roman" w:cs="Times New Roman" w:eastAsia="Times New Roman" w:hAnsi="Times New Roman"/>
          <w:sz w:val="10"/>
          <w:szCs w:val="10"/>
          <w:color w:val="auto"/>
        </w:rPr>
        <w:t>•persons required to accelerate the recognition of any item of gross income with respect to Ordinary Shares or Warrants as a result of such income being recognized on an applicable financial statement; •persons whose functional currency is not the U.S. dollar;</w:t>
      </w:r>
    </w:p>
    <w:p>
      <w:pPr>
        <w:ind w:left="480"/>
        <w:spacing w:after="0"/>
        <w:rPr>
          <w:sz w:val="20"/>
          <w:szCs w:val="20"/>
          <w:color w:val="auto"/>
        </w:rPr>
      </w:pPr>
      <w:r>
        <w:rPr>
          <w:rFonts w:ascii="Times New Roman" w:cs="Times New Roman" w:eastAsia="Times New Roman" w:hAnsi="Times New Roman"/>
          <w:sz w:val="10"/>
          <w:szCs w:val="10"/>
          <w:color w:val="auto"/>
        </w:rPr>
        <w:t>•persons that received Ordinary Shares or Warrants as compensation for services;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•controlled foreign corporations or passive foreign investment companies.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This discussion is based on the Code, its legislative history, existing and proposed Treasury regulations promulgated under the Code (the “</w:t>
      </w:r>
      <w:r>
        <w:rPr>
          <w:rFonts w:ascii="Times New Roman" w:cs="Times New Roman" w:eastAsia="Times New Roman" w:hAnsi="Times New Roman"/>
          <w:sz w:val="10"/>
          <w:szCs w:val="10"/>
          <w:b w:val="1"/>
          <w:bCs w:val="1"/>
          <w:i w:val="1"/>
          <w:iCs w:val="1"/>
          <w:color w:val="auto"/>
        </w:rPr>
        <w:t>Treasury Regulations</w:t>
      </w:r>
      <w:r>
        <w:rPr>
          <w:rFonts w:ascii="Times New Roman" w:cs="Times New Roman" w:eastAsia="Times New Roman" w:hAnsi="Times New Roman"/>
          <w:sz w:val="10"/>
          <w:szCs w:val="10"/>
          <w:color w:val="auto"/>
        </w:rPr>
        <w:t>”),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0"/>
          <w:szCs w:val="10"/>
          <w:color w:val="auto"/>
        </w:rPr>
        <w:t>IRS will not take positions concerning the tax consequences of the Business Combination that are different from those discussed below, or that any such different positions would not be sustained by a court.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as specifically provided, the discussion below applies only to U.S. holders. For purposes of this discussion, a U.S. holder means a beneficial owner of Ordinary Shares or Warrants that is, for U.S. federal income tax purposes: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individual who is a citizen or resident of the United States;</w:t>
      </w:r>
    </w:p>
    <w:p>
      <w:pPr>
        <w:spacing w:after="0" w:line="58" w:lineRule="exact"/>
        <w:rPr>
          <w:sz w:val="20"/>
          <w:szCs w:val="20"/>
          <w:color w:val="auto"/>
        </w:rPr>
      </w:pPr>
    </w:p>
    <w:p>
      <w:pPr>
        <w:ind w:left="480" w:right="2360"/>
        <w:spacing w:after="0" w:line="360" w:lineRule="auto"/>
        <w:rPr>
          <w:sz w:val="20"/>
          <w:szCs w:val="20"/>
          <w:color w:val="auto"/>
        </w:rPr>
      </w:pPr>
      <w:r>
        <w:rPr>
          <w:rFonts w:ascii="Times New Roman" w:cs="Times New Roman" w:eastAsia="Times New Roman" w:hAnsi="Times New Roman"/>
          <w:sz w:val="10"/>
          <w:szCs w:val="10"/>
          <w:color w:val="auto"/>
        </w:rPr>
        <w:t>•a corporation (or other entity taxable as a corporation for U.S. federal income tax purposes) created or organized in or under the laws of the United States, any state thereof or the District of Columbia; •an estate whose income is subject to U.S. federal income tax regardless of its source; or</w:t>
      </w:r>
    </w:p>
    <w:p>
      <w:pPr>
        <w:ind w:left="480" w:right="340"/>
        <w:spacing w:after="0" w:line="255" w:lineRule="auto"/>
        <w:rPr>
          <w:sz w:val="20"/>
          <w:szCs w:val="20"/>
          <w:color w:val="auto"/>
        </w:rPr>
      </w:pPr>
      <w:r>
        <w:rPr>
          <w:rFonts w:ascii="Times New Roman" w:cs="Times New Roman" w:eastAsia="Times New Roman" w:hAnsi="Times New Roman"/>
          <w:sz w:val="10"/>
          <w:szCs w:val="10"/>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Holders who are not U.S. holders should consult with their own tax advisors regarding the U.S. federal income tax consequences of holding Rezolve Securities.</w:t>
      </w:r>
    </w:p>
    <w:p>
      <w:pPr>
        <w:spacing w:after="0" w:line="11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Ordinary Shares</w:t>
      </w:r>
    </w:p>
    <w:p>
      <w:pPr>
        <w:spacing w:after="0" w:line="58" w:lineRule="exact"/>
        <w:rPr>
          <w:sz w:val="20"/>
          <w:szCs w:val="20"/>
          <w:color w:val="auto"/>
        </w:rPr>
      </w:pPr>
    </w:p>
    <w:p>
      <w:pPr>
        <w:ind w:right="120" w:firstLine="480"/>
        <w:spacing w:after="0" w:line="278" w:lineRule="auto"/>
        <w:rPr>
          <w:sz w:val="20"/>
          <w:szCs w:val="20"/>
          <w:color w:val="auto"/>
        </w:rPr>
      </w:pPr>
      <w:r>
        <w:rPr>
          <w:rFonts w:ascii="Times New Roman" w:cs="Times New Roman" w:eastAsia="Times New Roman" w:hAnsi="Times New Roman"/>
          <w:sz w:val="9"/>
          <w:szCs w:val="9"/>
          <w:color w:val="auto"/>
        </w:rPr>
        <w:t>Subject to the discussion under the section entitled “</w:t>
      </w:r>
      <w:r>
        <w:rPr>
          <w:rFonts w:ascii="Times New Roman" w:cs="Times New Roman" w:eastAsia="Times New Roman" w:hAnsi="Times New Roman"/>
          <w:sz w:val="9"/>
          <w:szCs w:val="9"/>
          <w:i w:val="1"/>
          <w:iCs w:val="1"/>
          <w:color w:val="auto"/>
        </w:rPr>
        <w:t>Material Tax Considerations — Material U.S. Federal Income Tax Considerations — Passive Foreign Investment Company Rules</w:t>
      </w:r>
      <w:r>
        <w:rPr>
          <w:rFonts w:ascii="Times New Roman" w:cs="Times New Roman" w:eastAsia="Times New Roman" w:hAnsi="Times New Roman"/>
          <w:sz w:val="9"/>
          <w:szCs w:val="9"/>
          <w:color w:val="auto"/>
        </w:rPr>
        <w:t>,” the gross amount of any distribution on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91"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0"/>
          <w:szCs w:val="10"/>
          <w:i w:val="1"/>
          <w:iCs w:val="1"/>
          <w:color w:val="auto"/>
        </w:rPr>
        <w:t>Material Tax Considerations — Material U.S. Federal Income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Tax Considerations — Passive Foreign Investment Company Rules.</w:t>
      </w:r>
      <w:r>
        <w:rPr>
          <w:rFonts w:ascii="Times New Roman" w:cs="Times New Roman" w:eastAsia="Times New Roman" w:hAnsi="Times New Roman"/>
          <w:sz w:val="10"/>
          <w:szCs w:val="10"/>
          <w:color w:val="auto"/>
        </w:rPr>
        <w:t>”</w:t>
      </w:r>
    </w:p>
    <w:p>
      <w:pPr>
        <w:spacing w:after="0" w:line="11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9"/>
          <w:szCs w:val="9"/>
          <w:color w:val="auto"/>
        </w:rPr>
        <w:t>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Sale, Exchange, Redemption or Other Taxable Disposition of Ordinary Shares and Warrants</w:t>
      </w:r>
    </w:p>
    <w:p>
      <w:pPr>
        <w:spacing w:after="0" w:line="5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xml:space="preserve"> ,”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Exercise or Lapse of a Warrant</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Possible Constructive Distributions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0"/>
          <w:szCs w:val="10"/>
          <w:i w:val="1"/>
          <w:iCs w:val="1"/>
          <w:color w:val="auto"/>
        </w:rPr>
        <w:t>Description of Rezolve Securities</w:t>
      </w:r>
      <w:r>
        <w:rPr>
          <w:rFonts w:ascii="Times New Roman" w:cs="Times New Roman" w:eastAsia="Times New Roman" w:hAnsi="Times New Roman"/>
          <w:sz w:val="10"/>
          <w:szCs w:val="10"/>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Distributions on Ordinary Shares.</w:t>
      </w:r>
      <w:r>
        <w:rPr>
          <w:rFonts w:ascii="Times New Roman" w:cs="Times New Roman" w:eastAsia="Times New Roman" w:hAnsi="Times New Roman"/>
          <w:sz w:val="10"/>
          <w:szCs w:val="10"/>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Passive Foreign Investment Company Rules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 xml:space="preserve">Generally. </w:t>
      </w:r>
      <w:r>
        <w:rPr>
          <w:rFonts w:ascii="Times New Roman" w:cs="Times New Roman" w:eastAsia="Times New Roman" w:hAnsi="Times New Roman"/>
          <w:sz w:val="10"/>
          <w:szCs w:val="10"/>
          <w:color w:val="auto"/>
        </w:rPr>
        <w:t>The treatment of U.S. holders of the Ordinary Shares could be materially different from that described above if Rezolve is treated as a passive foreign investment company, or PFIC, for U.S. federal income tax purposes. A PFIC is any foreign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0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42" w:name="page143"/>
    <w:bookmarkEnd w:id="142"/>
    <w:p>
      <w:pPr>
        <w:ind w:right="140"/>
        <w:spacing w:after="0" w:line="245" w:lineRule="auto"/>
        <w:rPr>
          <w:sz w:val="20"/>
          <w:szCs w:val="20"/>
          <w:color w:val="auto"/>
        </w:rPr>
      </w:pPr>
      <w:r>
        <w:rPr>
          <w:rFonts w:ascii="Times New Roman" w:cs="Times New Roman" w:eastAsia="Times New Roman" w:hAnsi="Times New Roman"/>
          <w:sz w:val="10"/>
          <w:szCs w:val="10"/>
          <w:color w:val="auto"/>
        </w:rPr>
        <w:t>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06" w:lineRule="exact"/>
        <w:rPr>
          <w:sz w:val="20"/>
          <w:szCs w:val="20"/>
          <w:color w:val="auto"/>
        </w:rPr>
      </w:pPr>
    </w:p>
    <w:p>
      <w:pPr>
        <w:jc w:val="both"/>
        <w:ind w:right="18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 xml:space="preserve">Excess Distribution Regime. </w:t>
      </w:r>
      <w:r>
        <w:rPr>
          <w:rFonts w:ascii="Times New Roman" w:cs="Times New Roman" w:eastAsia="Times New Roman" w:hAnsi="Times New Roman"/>
          <w:sz w:val="10"/>
          <w:szCs w:val="10"/>
          <w:color w:val="auto"/>
        </w:rPr>
        <w:t>If a U.S. holder does not make a mark-to-market election, as described below, the U.S. holder will be subject to the default “excess distribution regime” under the PFIC rules with respect to (i) any gain realized on a sale or other</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gain or excess distribution will be allocated ratably over the period during which the U.S. holder held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the current taxable year, will be treated as ordinary income;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99"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i w:val="1"/>
          <w:iCs w:val="1"/>
          <w:color w:val="auto"/>
        </w:rPr>
        <w:t xml:space="preserve">Mark-to-Market Regime. </w:t>
      </w:r>
      <w:r>
        <w:rPr>
          <w:rFonts w:ascii="Times New Roman" w:cs="Times New Roman" w:eastAsia="Times New Roman" w:hAnsi="Times New Roman"/>
          <w:sz w:val="10"/>
          <w:szCs w:val="10"/>
          <w:color w:val="auto"/>
        </w:rPr>
        <w:t>Alternatively, a U.S. holder may make an election to mark marketable shares in a PFIC to market on an annual basis. PFIC shares generally are marketable if: (i) they are “regularly traded” on a national securities exchange that is</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 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0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QEF Regime. </w:t>
      </w:r>
      <w:r>
        <w:rPr>
          <w:rFonts w:ascii="Times New Roman" w:cs="Times New Roman" w:eastAsia="Times New Roman" w:hAnsi="Times New Roman"/>
          <w:sz w:val="10"/>
          <w:szCs w:val="10"/>
          <w:color w:val="auto"/>
        </w:rPr>
        <w:t>Alternatively, a U.S. holder of a PFIC may avoid the adverse PFIC tax consequences described above in respect of stock of the PFIC (but not warrants) by making and maintaining a timely and valid qualified electing fund (“QEF”) election (if</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eligible to do so) to include in income its pro rata share of the PFIC’s net capital gains (as long-term capital gain) and other earnings</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43" w:name="page144"/>
    <w:bookmarkEnd w:id="143"/>
    <w:p>
      <w:pPr>
        <w:spacing w:after="0" w:line="245" w:lineRule="auto"/>
        <w:rPr>
          <w:sz w:val="20"/>
          <w:szCs w:val="20"/>
          <w:color w:val="auto"/>
        </w:rPr>
      </w:pPr>
      <w:r>
        <w:rPr>
          <w:rFonts w:ascii="Times New Roman" w:cs="Times New Roman" w:eastAsia="Times New Roman" w:hAnsi="Times New Roman"/>
          <w:sz w:val="10"/>
          <w:szCs w:val="10"/>
          <w:color w:val="auto"/>
        </w:rPr>
        <w:t>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03" w:lineRule="exact"/>
        <w:rPr>
          <w:sz w:val="20"/>
          <w:szCs w:val="20"/>
          <w:color w:val="auto"/>
        </w:rPr>
      </w:pPr>
    </w:p>
    <w:p>
      <w:pPr>
        <w:ind w:right="30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PFIC Reporting Requirements. </w:t>
      </w:r>
      <w:r>
        <w:rPr>
          <w:rFonts w:ascii="Times New Roman" w:cs="Times New Roman" w:eastAsia="Times New Roman" w:hAnsi="Times New Roman"/>
          <w:sz w:val="10"/>
          <w:szCs w:val="10"/>
          <w:color w:val="auto"/>
        </w:rPr>
        <w:t>A U.S. holder of Ordinary Shares will be required to file an annual report on IRS Form 8621 containing such information with respect to its interest in a PFIC as the IRS may require. Failure to file IRS Form 8621 for each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applicable taxable year may result in substantial penalties and result in the U.S. holder’s taxable years being open to audit by the IRS until such Forms are properly filed.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Additional Reporting Requirements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Information Reporting and Backup Withholding</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0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0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0"/>
          <w:szCs w:val="10"/>
          <w:b w:val="1"/>
          <w:bCs w:val="1"/>
          <w:color w:val="auto"/>
        </w:rPr>
        <w:t>PLAN OF DISTRIBUTION</w:t>
      </w:r>
    </w:p>
    <w:p>
      <w:pPr>
        <w:spacing w:after="0" w:line="97"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 xml:space="preserve">We are registering the issuance by us of up to 7,499,994 Ordinary Shares. We are also registering the resale, from time to time, by the Selling Holders or their permitted transferees of up to 185,068,790 Ordinary Shares, consisting of (i) 122,655,854 Ordinary Shares; (ii) 569,982 Ordinary Shares issuable in respect of the Private Warrants; (iii) 39,612,603 Ordinary Shares issuable upon conversion of the Convertible Notes; (iv) 15,374,145 Ordinary Shares issuable pursuant to the advanced subscription agreements; (v) 4,838,779 Ordinary Shares issuable pursuant to the </w:t>
      </w:r>
      <w:r>
        <w:rPr>
          <w:rFonts w:ascii="Times New Roman" w:cs="Times New Roman" w:eastAsia="Times New Roman" w:hAnsi="Times New Roman"/>
          <w:sz w:val="10"/>
          <w:szCs w:val="10"/>
          <w:color w:val="212529"/>
        </w:rPr>
        <w:t>Second A&amp;R</w:t>
      </w:r>
      <w:r>
        <w:rPr>
          <w:rFonts w:ascii="Times New Roman" w:cs="Times New Roman" w:eastAsia="Times New Roman" w:hAnsi="Times New Roman"/>
          <w:sz w:val="10"/>
          <w:szCs w:val="10"/>
          <w:color w:val="auto"/>
        </w:rPr>
        <w:t xml:space="preserve"> YA Agreement; (vi) </w:t>
      </w:r>
      <w:r>
        <w:rPr>
          <w:rFonts w:ascii="Times New Roman" w:cs="Times New Roman" w:eastAsia="Times New Roman" w:hAnsi="Times New Roman"/>
          <w:sz w:val="10"/>
          <w:szCs w:val="10"/>
          <w:color w:val="212529"/>
        </w:rPr>
        <w:t>1,071,429 Ordinary Shares issuable upon conversion of the YA Notes</w:t>
      </w:r>
      <w:r>
        <w:rPr>
          <w:rFonts w:ascii="Times New Roman" w:cs="Times New Roman" w:eastAsia="Times New Roman" w:hAnsi="Times New Roman"/>
          <w:sz w:val="10"/>
          <w:szCs w:val="10"/>
          <w:color w:val="auto"/>
        </w:rPr>
        <w:t>; (vii) 400,625 Ordinary Shares issuable upon conversion of the Northland Note and (viii) and 545,373 Ordinary Shares issuable upon the conversion of the Promissory Notes.</w:t>
      </w:r>
    </w:p>
    <w:p>
      <w:pPr>
        <w:spacing w:after="0" w:line="10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Selling Holders may offer and sell, from time to time, their respective Ordinary Shares or Resolve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Nasdaq, in the over-the-counter market or on any other national securities exchange on which our securities are listed or traded;</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•directly to purchasers, including through a specific bidding, auction or other process, or in in privately negotiated transactions;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one or more underwritten offerings;</w:t>
      </w:r>
    </w:p>
    <w:p>
      <w:pPr>
        <w:spacing w:after="0" w:line="58" w:lineRule="exact"/>
        <w:rPr>
          <w:sz w:val="20"/>
          <w:szCs w:val="20"/>
          <w:color w:val="auto"/>
        </w:rPr>
      </w:pPr>
    </w:p>
    <w:p>
      <w:pPr>
        <w:ind w:left="480" w:right="3060"/>
        <w:spacing w:after="0" w:line="360" w:lineRule="auto"/>
        <w:rPr>
          <w:sz w:val="20"/>
          <w:szCs w:val="20"/>
          <w:color w:val="auto"/>
        </w:rPr>
      </w:pPr>
      <w:r>
        <w:rPr>
          <w:rFonts w:ascii="Times New Roman" w:cs="Times New Roman" w:eastAsia="Times New Roman" w:hAnsi="Times New Roman"/>
          <w:sz w:val="10"/>
          <w:szCs w:val="10"/>
          <w:color w:val="auto"/>
        </w:rPr>
        <w:t>•in block trades in which a broker-dealer will attempt to sell the offered securities as agent but may purchase and resell a portion of the block as principal to facilitate the transaction; •through purchases by a broker-dealer as principal and resale by the broker-dealer for its account pursuant to this prospectus; •in ordinary brokerage transactions and transactions in which the broker solicits purchasers;</w:t>
      </w:r>
    </w:p>
    <w:p>
      <w:pPr>
        <w:ind w:left="480" w:right="3380"/>
        <w:spacing w:after="0" w:line="360" w:lineRule="auto"/>
        <w:rPr>
          <w:sz w:val="20"/>
          <w:szCs w:val="20"/>
          <w:color w:val="auto"/>
        </w:rPr>
      </w:pPr>
      <w:r>
        <w:rPr>
          <w:rFonts w:ascii="Times New Roman" w:cs="Times New Roman" w:eastAsia="Times New Roman" w:hAnsi="Times New Roman"/>
          <w:sz w:val="10"/>
          <w:szCs w:val="10"/>
          <w:color w:val="auto"/>
        </w:rPr>
        <w:t>•through the writing or settlement of options (including put or call options) or other hedging transactions, whether the options are listed on an options exchange or otherwise; •in short sales entered into after the effective date of the registration statement of which this prospectus is a part;</w:t>
      </w:r>
    </w:p>
    <w:p>
      <w:pPr>
        <w:ind w:left="480"/>
        <w:spacing w:after="0"/>
        <w:rPr>
          <w:sz w:val="20"/>
          <w:szCs w:val="20"/>
          <w:color w:val="auto"/>
        </w:rPr>
      </w:pPr>
      <w:r>
        <w:rPr>
          <w:rFonts w:ascii="Times New Roman" w:cs="Times New Roman" w:eastAsia="Times New Roman" w:hAnsi="Times New Roman"/>
          <w:sz w:val="10"/>
          <w:szCs w:val="10"/>
          <w:color w:val="auto"/>
        </w:rPr>
        <w:t>•through agreements with broker-dealers to sell a specified number of the securities at a stipulated price per share or warrant;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•by pledge to secured debts and other obligations;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•to or through underwriters or agents;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“at the market” or through market makers or into an existing market for the securities;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other method permitted pursuant to applicable law.</w:t>
      </w:r>
    </w:p>
    <w:p>
      <w:pPr>
        <w:spacing w:after="0" w:line="118"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01"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Selling Holders may also sell our securities short and deliver the securities to close out their short positions or loan or pledge the securities to broker -dealers that in turn may sell the securities. The shares may be sold directly or through broker-dealers acting as principal or agent or pursuant to a distribution by one or more underwriters on a firm commitment or best -efforts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145" w:name="page146"/>
    <w:bookmarkEnd w:id="145"/>
    <w:p>
      <w:pPr>
        <w:ind w:right="80"/>
        <w:spacing w:after="0" w:line="239" w:lineRule="auto"/>
        <w:rPr>
          <w:sz w:val="20"/>
          <w:szCs w:val="20"/>
          <w:color w:val="auto"/>
        </w:rPr>
      </w:pPr>
      <w:r>
        <w:rPr>
          <w:rFonts w:ascii="Times New Roman" w:cs="Times New Roman" w:eastAsia="Times New Roman" w:hAnsi="Times New Roman"/>
          <w:sz w:val="10"/>
          <w:szCs w:val="10"/>
          <w:color w:val="auto"/>
        </w:rPr>
        <w:t>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Selling Holders party to the Investor Rights Agreement have agreed, and the other Selling Holders may agree, to indemnify an underwriter, broker-dealer or agent against certain liabilities related to the sale of the securities, including liabilities under the Securities Act.</w:t>
      </w:r>
    </w:p>
    <w:p>
      <w:pPr>
        <w:spacing w:after="0" w:line="101"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08"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Lock-Up Agreements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Certain of our shareholders are subject to the transfer restrictions in the Investor Rights Agreement, which is incorporated by reference herein as Exhibit 4.7 to the registration statement of which this prospectus is a part, and the Lock-In Agreement, the form of which isincorporated by reference herein as Exhibits 4.8 to the registration statement of which this prospectus is a part.</w:t>
      </w:r>
    </w:p>
    <w:p>
      <w:pPr>
        <w:spacing w:after="0" w:line="1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0"/>
          <w:szCs w:val="1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80"/>
          </w:cols>
          <w:pgMar w:left="640" w:top="1155" w:right="58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27"/>
        </w:trPr>
        <w:tc>
          <w:tcPr>
            <w:tcW w:w="2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0" w:type="dxa"/>
            <w:vAlign w:val="bottom"/>
          </w:tcPr>
          <w:p>
            <w:pPr>
              <w:jc w:val="center"/>
              <w:ind w:left="1231"/>
              <w:spacing w:after="0"/>
              <w:rPr>
                <w:sz w:val="20"/>
                <w:szCs w:val="20"/>
                <w:color w:val="auto"/>
              </w:rPr>
            </w:pPr>
            <w:r>
              <w:rPr>
                <w:rFonts w:ascii="Times New Roman" w:cs="Times New Roman" w:eastAsia="Times New Roman" w:hAnsi="Times New Roman"/>
                <w:sz w:val="10"/>
                <w:szCs w:val="10"/>
                <w:b w:val="1"/>
                <w:bCs w:val="1"/>
                <w:color w:val="auto"/>
                <w:w w:val="97"/>
              </w:rPr>
              <w:t>EXPENSES RELATED TO THIS OFFERING</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0"/>
        </w:trPr>
        <w:tc>
          <w:tcPr>
            <w:tcW w:w="686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The following table sets forth the fees and expenses payable by us in connection with the sale and distribution of the securities being registered hereby.</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4"/>
        </w:trPr>
        <w:tc>
          <w:tcPr>
            <w:tcW w:w="2120" w:type="dxa"/>
            <w:vAlign w:val="bottom"/>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Expenses</w:t>
            </w:r>
          </w:p>
        </w:tc>
        <w:tc>
          <w:tcPr>
            <w:tcW w:w="4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28"/>
        </w:trPr>
        <w:tc>
          <w:tcPr>
            <w:tcW w:w="2120" w:type="dxa"/>
            <w:vAlign w:val="bottom"/>
          </w:tcPr>
          <w:p>
            <w:pPr>
              <w:spacing w:after="0"/>
              <w:rPr>
                <w:sz w:val="11"/>
                <w:szCs w:val="11"/>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SEC registration fee</w:t>
            </w:r>
          </w:p>
        </w:tc>
        <w:tc>
          <w:tcPr>
            <w:tcW w:w="7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w:t>
            </w:r>
          </w:p>
        </w:tc>
      </w:tr>
      <w:tr>
        <w:trPr>
          <w:trHeight w:val="113"/>
        </w:trPr>
        <w:tc>
          <w:tcPr>
            <w:tcW w:w="2120" w:type="dxa"/>
            <w:vAlign w:val="bottom"/>
          </w:tcPr>
          <w:p>
            <w:pPr>
              <w:spacing w:after="0"/>
              <w:rPr>
                <w:sz w:val="9"/>
                <w:szCs w:val="9"/>
                <w:color w:val="auto"/>
              </w:rPr>
            </w:pPr>
          </w:p>
        </w:tc>
        <w:tc>
          <w:tcPr>
            <w:tcW w:w="474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Legal fees and expenses Accounting fees and expenses</w:t>
            </w: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26"/>
        </w:trPr>
        <w:tc>
          <w:tcPr>
            <w:tcW w:w="2120" w:type="dxa"/>
            <w:vAlign w:val="bottom"/>
          </w:tcPr>
          <w:p>
            <w:pPr>
              <w:spacing w:after="0"/>
              <w:rPr>
                <w:sz w:val="10"/>
                <w:szCs w:val="10"/>
                <w:color w:val="auto"/>
              </w:rPr>
            </w:pPr>
          </w:p>
        </w:tc>
        <w:tc>
          <w:tcPr>
            <w:tcW w:w="47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Transfer agent fees and expenses Miscellaneous expenses</w:t>
            </w:r>
          </w:p>
        </w:tc>
        <w:tc>
          <w:tcPr>
            <w:tcW w:w="740" w:type="dxa"/>
            <w:vAlign w:val="bottom"/>
          </w:tcPr>
          <w:p>
            <w:pPr>
              <w:spacing w:after="0"/>
              <w:rPr>
                <w:sz w:val="10"/>
                <w:szCs w:val="1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2120" w:type="dxa"/>
            <w:vAlign w:val="bottom"/>
          </w:tcPr>
          <w:p>
            <w:pPr>
              <w:spacing w:after="0"/>
              <w:rPr>
                <w:sz w:val="11"/>
                <w:szCs w:val="11"/>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w:t>
            </w:r>
          </w:p>
        </w:tc>
        <w:tc>
          <w:tcPr>
            <w:tcW w:w="74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w:t>
            </w:r>
          </w:p>
        </w:tc>
      </w:tr>
      <w:tr>
        <w:trPr>
          <w:trHeight w:val="261"/>
        </w:trPr>
        <w:tc>
          <w:tcPr>
            <w:tcW w:w="68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These fees are calculated based on the securities offered and the number of issuances and accordingly cannot be defined at this time.</w:t>
            </w: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jc w:val="center"/>
              <w:ind w:left="1251"/>
              <w:spacing w:after="0"/>
              <w:rPr>
                <w:sz w:val="20"/>
                <w:szCs w:val="20"/>
                <w:color w:val="auto"/>
              </w:rPr>
            </w:pPr>
            <w:r>
              <w:rPr>
                <w:rFonts w:ascii="Times New Roman" w:cs="Times New Roman" w:eastAsia="Times New Roman" w:hAnsi="Times New Roman"/>
                <w:sz w:val="10"/>
                <w:szCs w:val="10"/>
                <w:b w:val="1"/>
                <w:bCs w:val="1"/>
                <w:color w:val="auto"/>
                <w:w w:val="98"/>
              </w:rPr>
              <w:t>LEGAL MATTERS</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DLA Piper LLP, New York, New York, and Taylor Wessing LLP, have passed upon the validity of the securities of Rezolve AI Limited offered by this prospectus and certain other legal matters related to this prospectus.</w:t>
      </w:r>
    </w:p>
    <w:p>
      <w:pPr>
        <w:spacing w:after="0" w:line="9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0"/>
          <w:szCs w:val="10"/>
          <w:b w:val="1"/>
          <w:bCs w:val="1"/>
          <w:color w:val="auto"/>
        </w:rPr>
        <w:t>EXPERTS</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financial statements of Armada as of September 30, 2023 and 2022 and for each of the two years in the period ended September 30, 2023, included in this registration statement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ENFORCEABILITY OF CIVIL LIABILITY</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WHERE YOU CAN FIND MORE INFORMATION</w:t>
      </w:r>
    </w:p>
    <w:p>
      <w:pPr>
        <w:spacing w:after="0" w:line="97"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01" w:lineRule="exact"/>
        <w:rPr>
          <w:sz w:val="20"/>
          <w:szCs w:val="20"/>
          <w:color w:val="auto"/>
        </w:rPr>
      </w:pPr>
    </w:p>
    <w:p>
      <w:pPr>
        <w:ind w:right="400" w:firstLine="480"/>
        <w:spacing w:after="0" w:line="245" w:lineRule="auto"/>
        <w:rPr>
          <w:sz w:val="20"/>
          <w:szCs w:val="20"/>
          <w:color w:val="auto"/>
        </w:rPr>
      </w:pPr>
      <w:r>
        <w:rPr>
          <w:rFonts w:ascii="Times New Roman" w:cs="Times New Roman" w:eastAsia="Times New Roman" w:hAnsi="Times New Roman"/>
          <w:sz w:val="10"/>
          <w:szCs w:val="10"/>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31" w:right="60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0"/>
          <w:szCs w:val="10"/>
          <w:b w:val="1"/>
          <w:bCs w:val="1"/>
          <w:color w:val="auto"/>
        </w:rPr>
        <w:t>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INDEX TO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interim condensed carve-out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six months ended June 30, 2024 and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60" w:type="dxa"/>
            <w:vAlign w:val="bottom"/>
            <w:gridSpan w:val="22"/>
          </w:tcPr>
          <w:p>
            <w:pPr>
              <w:spacing w:after="0"/>
              <w:rPr>
                <w:sz w:val="20"/>
                <w:szCs w:val="20"/>
                <w:color w:val="auto"/>
              </w:rPr>
            </w:pPr>
            <w:r>
              <w:rPr>
                <w:rFonts w:ascii="Times New Roman" w:cs="Times New Roman" w:eastAsia="Times New Roman" w:hAnsi="Times New Roman"/>
                <w:sz w:val="10"/>
                <w:szCs w:val="10"/>
                <w:color w:val="auto"/>
              </w:rPr>
              <w:t>Condensed Interim Carve-out Consolidated Financial Statements (Unaudited)</w:t>
            </w:r>
          </w:p>
        </w:tc>
        <w:tc>
          <w:tcPr>
            <w:tcW w:w="2060" w:type="dxa"/>
            <w:vAlign w:val="bottom"/>
          </w:tcPr>
          <w:p>
            <w:pPr>
              <w:spacing w:after="0"/>
              <w:rPr>
                <w:sz w:val="10"/>
                <w:szCs w:val="10"/>
                <w:color w:val="auto"/>
              </w:rPr>
            </w:pPr>
          </w:p>
        </w:tc>
      </w:tr>
      <w:tr>
        <w:trPr>
          <w:trHeight w:val="107"/>
        </w:trPr>
        <w:tc>
          <w:tcPr>
            <w:tcW w:w="4560" w:type="dxa"/>
            <w:vAlign w:val="bottom"/>
            <w:tcBorders>
              <w:bottom w:val="single" w:sz="8" w:color="0000FF"/>
            </w:tcBorders>
            <w:gridSpan w:val="17"/>
          </w:tcPr>
          <w:p>
            <w:pPr>
              <w:spacing w:after="0" w:line="107" w:lineRule="exact"/>
              <w:rPr>
                <w:rFonts w:ascii="Times New Roman" w:cs="Times New Roman" w:eastAsia="Times New Roman" w:hAnsi="Times New Roman"/>
                <w:sz w:val="10"/>
                <w:szCs w:val="10"/>
                <w:color w:val="0000FF"/>
                <w:w w:val="97"/>
              </w:rPr>
            </w:pPr>
            <w:hyperlink w:anchor="page150">
              <w:r>
                <w:rPr>
                  <w:rFonts w:ascii="Times New Roman" w:cs="Times New Roman" w:eastAsia="Times New Roman" w:hAnsi="Times New Roman"/>
                  <w:sz w:val="10"/>
                  <w:szCs w:val="10"/>
                  <w:color w:val="0000FF"/>
                  <w:w w:val="97"/>
                </w:rPr>
                <w:t>Condensed interim Carve-out Consolidated Balance Sheets as of June 30, 2024 (Unaudited) and December 31, 2023</w:t>
              </w:r>
            </w:hyperlink>
          </w:p>
        </w:tc>
        <w:tc>
          <w:tcPr>
            <w:tcW w:w="4000" w:type="dxa"/>
            <w:vAlign w:val="bottom"/>
            <w:gridSpan w:val="5"/>
          </w:tcPr>
          <w:p>
            <w:pPr>
              <w:spacing w:after="0"/>
              <w:rPr>
                <w:sz w:val="9"/>
                <w:szCs w:val="9"/>
                <w:color w:val="auto"/>
              </w:rPr>
            </w:pPr>
          </w:p>
        </w:tc>
        <w:tc>
          <w:tcPr>
            <w:tcW w:w="206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F-3</w:t>
            </w:r>
          </w:p>
        </w:tc>
      </w:tr>
      <w:tr>
        <w:trPr>
          <w:trHeight w:val="108"/>
        </w:trPr>
        <w:tc>
          <w:tcPr>
            <w:tcW w:w="5140" w:type="dxa"/>
            <w:vAlign w:val="bottom"/>
            <w:tcBorders>
              <w:bottom w:val="single" w:sz="8" w:color="0000FF"/>
            </w:tcBorders>
            <w:gridSpan w:val="19"/>
          </w:tcPr>
          <w:p>
            <w:pPr>
              <w:spacing w:after="0" w:line="108" w:lineRule="exact"/>
              <w:rPr>
                <w:rFonts w:ascii="Times New Roman" w:cs="Times New Roman" w:eastAsia="Times New Roman" w:hAnsi="Times New Roman"/>
                <w:sz w:val="10"/>
                <w:szCs w:val="10"/>
                <w:color w:val="0000FF"/>
                <w:w w:val="97"/>
              </w:rPr>
            </w:pPr>
            <w:hyperlink w:anchor="page152">
              <w:r>
                <w:rPr>
                  <w:rFonts w:ascii="Times New Roman" w:cs="Times New Roman" w:eastAsia="Times New Roman" w:hAnsi="Times New Roman"/>
                  <w:sz w:val="10"/>
                  <w:szCs w:val="10"/>
                  <w:color w:val="0000FF"/>
                  <w:w w:val="97"/>
                </w:rPr>
                <w:t>Condensed interim Carve-out Consolidated Statements of Operations for the six months ended June 30, 2024 and 2023 (Unaudited)</w:t>
              </w:r>
            </w:hyperlink>
          </w:p>
        </w:tc>
        <w:tc>
          <w:tcPr>
            <w:tcW w:w="3420" w:type="dxa"/>
            <w:vAlign w:val="bottom"/>
            <w:gridSpan w:val="3"/>
          </w:tcPr>
          <w:p>
            <w:pPr>
              <w:spacing w:after="0"/>
              <w:rPr>
                <w:sz w:val="9"/>
                <w:szCs w:val="9"/>
                <w:color w:val="auto"/>
              </w:rPr>
            </w:pP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F-5</w:t>
            </w:r>
          </w:p>
        </w:tc>
      </w:tr>
      <w:tr>
        <w:trPr>
          <w:trHeight w:val="108"/>
        </w:trPr>
        <w:tc>
          <w:tcPr>
            <w:tcW w:w="8560" w:type="dxa"/>
            <w:vAlign w:val="bottom"/>
            <w:gridSpan w:val="22"/>
          </w:tcPr>
          <w:p>
            <w:pPr>
              <w:spacing w:after="0" w:line="108" w:lineRule="exact"/>
              <w:rPr>
                <w:rFonts w:ascii="Times New Roman" w:cs="Times New Roman" w:eastAsia="Times New Roman" w:hAnsi="Times New Roman"/>
                <w:sz w:val="10"/>
                <w:szCs w:val="10"/>
                <w:color w:val="0000FF"/>
              </w:rPr>
            </w:pPr>
            <w:hyperlink w:anchor="page153">
              <w:r>
                <w:rPr>
                  <w:rFonts w:ascii="Times New Roman" w:cs="Times New Roman" w:eastAsia="Times New Roman" w:hAnsi="Times New Roman"/>
                  <w:sz w:val="10"/>
                  <w:szCs w:val="10"/>
                  <w:color w:val="0000FF"/>
                </w:rPr>
                <w:t>Condensed interim Carve-out Consolidated Statements of Comprehensive Loss (Unaudited)</w:t>
              </w:r>
            </w:hyperlink>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F-6</w:t>
            </w: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08"/>
        </w:trPr>
        <w:tc>
          <w:tcPr>
            <w:tcW w:w="8560" w:type="dxa"/>
            <w:vAlign w:val="bottom"/>
            <w:gridSpan w:val="22"/>
          </w:tcPr>
          <w:p>
            <w:pPr>
              <w:spacing w:after="0" w:line="108" w:lineRule="exact"/>
              <w:rPr>
                <w:rFonts w:ascii="Times New Roman" w:cs="Times New Roman" w:eastAsia="Times New Roman" w:hAnsi="Times New Roman"/>
                <w:sz w:val="10"/>
                <w:szCs w:val="10"/>
                <w:color w:val="0000FF"/>
              </w:rPr>
            </w:pPr>
            <w:hyperlink w:anchor="page154">
              <w:r>
                <w:rPr>
                  <w:rFonts w:ascii="Times New Roman" w:cs="Times New Roman" w:eastAsia="Times New Roman" w:hAnsi="Times New Roman"/>
                  <w:sz w:val="10"/>
                  <w:szCs w:val="10"/>
                  <w:color w:val="0000FF"/>
                </w:rPr>
                <w:t>Condensed interim Carve-out Consolidated Statements of Changes in Stockholders’ deficit for the six and the six months ended June 30, 2024 and 2023 (Unaudited)</w:t>
              </w:r>
            </w:hyperlink>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F-7</w:t>
            </w:r>
          </w:p>
        </w:tc>
      </w:tr>
      <w:tr>
        <w:trPr>
          <w:trHeight w:val="108"/>
        </w:trPr>
        <w:tc>
          <w:tcPr>
            <w:tcW w:w="5140" w:type="dxa"/>
            <w:vAlign w:val="bottom"/>
            <w:tcBorders>
              <w:top w:val="single" w:sz="8" w:color="0000FF"/>
              <w:bottom w:val="single" w:sz="8" w:color="0000FF"/>
            </w:tcBorders>
            <w:gridSpan w:val="19"/>
          </w:tcPr>
          <w:p>
            <w:pPr>
              <w:spacing w:after="0" w:line="108" w:lineRule="exact"/>
              <w:rPr>
                <w:rFonts w:ascii="Times New Roman" w:cs="Times New Roman" w:eastAsia="Times New Roman" w:hAnsi="Times New Roman"/>
                <w:sz w:val="10"/>
                <w:szCs w:val="10"/>
                <w:color w:val="0000FF"/>
                <w:w w:val="97"/>
              </w:rPr>
            </w:pPr>
            <w:hyperlink w:anchor="page155">
              <w:r>
                <w:rPr>
                  <w:rFonts w:ascii="Times New Roman" w:cs="Times New Roman" w:eastAsia="Times New Roman" w:hAnsi="Times New Roman"/>
                  <w:sz w:val="10"/>
                  <w:szCs w:val="10"/>
                  <w:color w:val="0000FF"/>
                  <w:w w:val="97"/>
                </w:rPr>
                <w:t>Condensed interim Carve-out Consolidated Statements of Cash Flows for the six and the six months ended June 30, 2024 and 2023</w:t>
              </w:r>
            </w:hyperlink>
          </w:p>
        </w:tc>
        <w:tc>
          <w:tcPr>
            <w:tcW w:w="1280" w:type="dxa"/>
            <w:vAlign w:val="bottom"/>
            <w:tcBorders>
              <w:top w:val="single" w:sz="8" w:color="0000FF"/>
            </w:tcBorders>
            <w:gridSpan w:val="2"/>
          </w:tcPr>
          <w:p>
            <w:pPr>
              <w:spacing w:after="0"/>
              <w:rPr>
                <w:sz w:val="9"/>
                <w:szCs w:val="9"/>
                <w:color w:val="auto"/>
              </w:rPr>
            </w:pPr>
          </w:p>
        </w:tc>
        <w:tc>
          <w:tcPr>
            <w:tcW w:w="2140" w:type="dxa"/>
            <w:vAlign w:val="bottom"/>
          </w:tcPr>
          <w:p>
            <w:pPr>
              <w:spacing w:after="0"/>
              <w:rPr>
                <w:sz w:val="9"/>
                <w:szCs w:val="9"/>
                <w:color w:val="auto"/>
              </w:rPr>
            </w:pP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F-8</w:t>
            </w:r>
          </w:p>
        </w:tc>
      </w:tr>
      <w:tr>
        <w:trPr>
          <w:trHeight w:val="108"/>
        </w:trPr>
        <w:tc>
          <w:tcPr>
            <w:tcW w:w="8560" w:type="dxa"/>
            <w:vAlign w:val="bottom"/>
            <w:gridSpan w:val="22"/>
          </w:tcPr>
          <w:p>
            <w:pPr>
              <w:spacing w:after="0" w:line="108" w:lineRule="exact"/>
              <w:rPr>
                <w:rFonts w:ascii="Times New Roman" w:cs="Times New Roman" w:eastAsia="Times New Roman" w:hAnsi="Times New Roman"/>
                <w:sz w:val="10"/>
                <w:szCs w:val="10"/>
                <w:color w:val="0000FF"/>
              </w:rPr>
            </w:pPr>
            <w:hyperlink w:anchor="page156">
              <w:r>
                <w:rPr>
                  <w:rFonts w:ascii="Times New Roman" w:cs="Times New Roman" w:eastAsia="Times New Roman" w:hAnsi="Times New Roman"/>
                  <w:sz w:val="10"/>
                  <w:szCs w:val="10"/>
                  <w:color w:val="0000FF"/>
                </w:rPr>
                <w:t>Notes to the Condensed interim Carve-out Consolidated Financial Statements June 30, 2024 (Unaudited)</w:t>
              </w:r>
            </w:hyperlink>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F-9</w:t>
            </w:r>
          </w:p>
        </w:tc>
      </w:tr>
      <w:tr>
        <w:trPr>
          <w:trHeight w:val="341"/>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Carve-out Consolidated Financial Statements</w:t>
            </w:r>
          </w:p>
        </w:tc>
        <w:tc>
          <w:tcPr>
            <w:tcW w:w="2060" w:type="dxa"/>
            <w:vAlign w:val="bottom"/>
          </w:tcPr>
          <w:p>
            <w:pPr>
              <w:spacing w:after="0"/>
              <w:rPr>
                <w:sz w:val="24"/>
                <w:szCs w:val="24"/>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gridSpan w:val="9"/>
          </w:tcPr>
          <w:p>
            <w:pPr>
              <w:jc w:val="center"/>
              <w:ind w:right="1860"/>
              <w:spacing w:after="0"/>
              <w:rPr>
                <w:sz w:val="20"/>
                <w:szCs w:val="20"/>
                <w:color w:val="auto"/>
              </w:rPr>
            </w:pPr>
            <w:r>
              <w:rPr>
                <w:rFonts w:ascii="Times New Roman" w:cs="Times New Roman" w:eastAsia="Times New Roman" w:hAnsi="Times New Roman"/>
                <w:sz w:val="10"/>
                <w:szCs w:val="10"/>
                <w:color w:val="auto"/>
                <w:w w:val="97"/>
              </w:rPr>
              <w:t>As of and for the years ended December 31, 2023 (Restated) and 2022</w:t>
            </w:r>
          </w:p>
        </w:tc>
        <w:tc>
          <w:tcPr>
            <w:tcW w:w="2060" w:type="dxa"/>
            <w:vAlign w:val="bottom"/>
          </w:tcPr>
          <w:p>
            <w:pPr>
              <w:spacing w:after="0"/>
              <w:rPr>
                <w:sz w:val="10"/>
                <w:szCs w:val="10"/>
                <w:color w:val="auto"/>
              </w:rPr>
            </w:pPr>
          </w:p>
        </w:tc>
      </w:tr>
      <w:tr>
        <w:trPr>
          <w:trHeight w:val="227"/>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174">
              <w:r>
                <w:rPr>
                  <w:rFonts w:ascii="Times New Roman" w:cs="Times New Roman" w:eastAsia="Times New Roman" w:hAnsi="Times New Roman"/>
                  <w:sz w:val="10"/>
                  <w:szCs w:val="10"/>
                  <w:color w:val="0000FF"/>
                </w:rPr>
                <w:t>Independent Auditor’s Report</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F-27</w:t>
            </w: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28"/>
        </w:trPr>
        <w:tc>
          <w:tcPr>
            <w:tcW w:w="8560" w:type="dxa"/>
            <w:vAlign w:val="bottom"/>
            <w:gridSpan w:val="22"/>
          </w:tcPr>
          <w:p>
            <w:pPr>
              <w:spacing w:after="0"/>
              <w:rPr>
                <w:sz w:val="20"/>
                <w:szCs w:val="20"/>
                <w:color w:val="auto"/>
              </w:rPr>
            </w:pPr>
            <w:r>
              <w:rPr>
                <w:rFonts w:ascii="Times New Roman" w:cs="Times New Roman" w:eastAsia="Times New Roman" w:hAnsi="Times New Roman"/>
                <w:sz w:val="10"/>
                <w:szCs w:val="10"/>
                <w:color w:val="auto"/>
              </w:rPr>
              <w:t>Carve-out Consolidated Financial Statements</w:t>
            </w:r>
          </w:p>
        </w:tc>
        <w:tc>
          <w:tcPr>
            <w:tcW w:w="2060" w:type="dxa"/>
            <w:vAlign w:val="bottom"/>
          </w:tcPr>
          <w:p>
            <w:pPr>
              <w:spacing w:after="0"/>
              <w:rPr>
                <w:sz w:val="11"/>
                <w:szCs w:val="11"/>
                <w:color w:val="auto"/>
              </w:rPr>
            </w:pPr>
          </w:p>
        </w:tc>
      </w:tr>
      <w:tr>
        <w:trPr>
          <w:trHeight w:val="107"/>
        </w:trPr>
        <w:tc>
          <w:tcPr>
            <w:tcW w:w="8560" w:type="dxa"/>
            <w:vAlign w:val="bottom"/>
            <w:gridSpan w:val="22"/>
          </w:tcPr>
          <w:p>
            <w:pPr>
              <w:spacing w:after="0" w:line="107" w:lineRule="exact"/>
              <w:rPr>
                <w:rFonts w:ascii="Times New Roman" w:cs="Times New Roman" w:eastAsia="Times New Roman" w:hAnsi="Times New Roman"/>
                <w:sz w:val="10"/>
                <w:szCs w:val="10"/>
                <w:color w:val="0000FF"/>
              </w:rPr>
            </w:pPr>
            <w:hyperlink w:anchor="page175">
              <w:r>
                <w:rPr>
                  <w:rFonts w:ascii="Times New Roman" w:cs="Times New Roman" w:eastAsia="Times New Roman" w:hAnsi="Times New Roman"/>
                  <w:sz w:val="10"/>
                  <w:szCs w:val="10"/>
                  <w:color w:val="0000FF"/>
                </w:rPr>
                <w:t xml:space="preserve">Carve-out Consolidated Balance Sheets </w:t>
              </w:r>
            </w:hyperlink>
            <w:r>
              <w:rPr>
                <w:rFonts w:ascii="Times New Roman" w:cs="Times New Roman" w:eastAsia="Times New Roman" w:hAnsi="Times New Roman"/>
                <w:sz w:val="10"/>
                <w:szCs w:val="10"/>
                <w:color w:val="000000"/>
              </w:rPr>
              <w:t>(Restated)</w:t>
            </w:r>
          </w:p>
        </w:tc>
        <w:tc>
          <w:tcPr>
            <w:tcW w:w="206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F-28</w:t>
            </w: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08"/>
        </w:trPr>
        <w:tc>
          <w:tcPr>
            <w:tcW w:w="8560" w:type="dxa"/>
            <w:vAlign w:val="bottom"/>
            <w:gridSpan w:val="22"/>
          </w:tcPr>
          <w:p>
            <w:pPr>
              <w:spacing w:after="0" w:line="108" w:lineRule="exact"/>
              <w:rPr>
                <w:rFonts w:ascii="Times New Roman" w:cs="Times New Roman" w:eastAsia="Times New Roman" w:hAnsi="Times New Roman"/>
                <w:sz w:val="10"/>
                <w:szCs w:val="10"/>
                <w:color w:val="0000FF"/>
              </w:rPr>
            </w:pPr>
            <w:hyperlink w:anchor="page176">
              <w:r>
                <w:rPr>
                  <w:rFonts w:ascii="Times New Roman" w:cs="Times New Roman" w:eastAsia="Times New Roman" w:hAnsi="Times New Roman"/>
                  <w:sz w:val="10"/>
                  <w:szCs w:val="10"/>
                  <w:color w:val="0000FF"/>
                </w:rPr>
                <w:t xml:space="preserve">Carve-out Consolidated Statements of Operations </w:t>
              </w:r>
            </w:hyperlink>
            <w:r>
              <w:rPr>
                <w:rFonts w:ascii="Times New Roman" w:cs="Times New Roman" w:eastAsia="Times New Roman" w:hAnsi="Times New Roman"/>
                <w:sz w:val="10"/>
                <w:szCs w:val="10"/>
                <w:color w:val="000000"/>
              </w:rPr>
              <w:t>(Restated)</w:t>
            </w: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F-29</w:t>
            </w:r>
          </w:p>
        </w:tc>
      </w:tr>
      <w:tr>
        <w:trPr>
          <w:trHeight w:val="20"/>
        </w:trPr>
        <w:tc>
          <w:tcPr>
            <w:tcW w:w="1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08"/>
        </w:trPr>
        <w:tc>
          <w:tcPr>
            <w:tcW w:w="8560" w:type="dxa"/>
            <w:vAlign w:val="bottom"/>
            <w:gridSpan w:val="22"/>
          </w:tcPr>
          <w:p>
            <w:pPr>
              <w:spacing w:after="0" w:line="108" w:lineRule="exact"/>
              <w:rPr>
                <w:rFonts w:ascii="Times New Roman" w:cs="Times New Roman" w:eastAsia="Times New Roman" w:hAnsi="Times New Roman"/>
                <w:sz w:val="10"/>
                <w:szCs w:val="10"/>
                <w:color w:val="0000FF"/>
              </w:rPr>
            </w:pPr>
            <w:hyperlink w:anchor="page177">
              <w:r>
                <w:rPr>
                  <w:rFonts w:ascii="Times New Roman" w:cs="Times New Roman" w:eastAsia="Times New Roman" w:hAnsi="Times New Roman"/>
                  <w:sz w:val="10"/>
                  <w:szCs w:val="10"/>
                  <w:color w:val="0000FF"/>
                </w:rPr>
                <w:t xml:space="preserve">Carve-out Consolidated Statements of Comprehensive Loss </w:t>
              </w:r>
            </w:hyperlink>
            <w:r>
              <w:rPr>
                <w:rFonts w:ascii="Times New Roman" w:cs="Times New Roman" w:eastAsia="Times New Roman" w:hAnsi="Times New Roman"/>
                <w:sz w:val="10"/>
                <w:szCs w:val="10"/>
                <w:color w:val="000000"/>
              </w:rPr>
              <w:t>(Restated)</w:t>
            </w: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F-30</w:t>
            </w: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08"/>
        </w:trPr>
        <w:tc>
          <w:tcPr>
            <w:tcW w:w="8560" w:type="dxa"/>
            <w:vAlign w:val="bottom"/>
            <w:gridSpan w:val="22"/>
          </w:tcPr>
          <w:p>
            <w:pPr>
              <w:spacing w:after="0" w:line="108" w:lineRule="exact"/>
              <w:rPr>
                <w:rFonts w:ascii="Times New Roman" w:cs="Times New Roman" w:eastAsia="Times New Roman" w:hAnsi="Times New Roman"/>
                <w:sz w:val="10"/>
                <w:szCs w:val="10"/>
                <w:color w:val="0000FF"/>
              </w:rPr>
            </w:pPr>
            <w:hyperlink w:anchor="page178">
              <w:r>
                <w:rPr>
                  <w:rFonts w:ascii="Times New Roman" w:cs="Times New Roman" w:eastAsia="Times New Roman" w:hAnsi="Times New Roman"/>
                  <w:sz w:val="10"/>
                  <w:szCs w:val="10"/>
                  <w:color w:val="0000FF"/>
                </w:rPr>
                <w:t xml:space="preserve">Carve-out Consolidated Statements of Changes in Shareholders’ Deficit </w:t>
              </w:r>
            </w:hyperlink>
            <w:r>
              <w:rPr>
                <w:rFonts w:ascii="Times New Roman" w:cs="Times New Roman" w:eastAsia="Times New Roman" w:hAnsi="Times New Roman"/>
                <w:sz w:val="10"/>
                <w:szCs w:val="10"/>
                <w:color w:val="000000"/>
              </w:rPr>
              <w:t>(Restated)</w:t>
            </w: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F-31</w:t>
            </w:r>
          </w:p>
        </w:tc>
      </w:tr>
      <w:tr>
        <w:trPr>
          <w:trHeight w:val="108"/>
        </w:trPr>
        <w:tc>
          <w:tcPr>
            <w:tcW w:w="2800" w:type="dxa"/>
            <w:vAlign w:val="bottom"/>
            <w:tcBorders>
              <w:top w:val="single" w:sz="8" w:color="0000FF"/>
            </w:tcBorders>
            <w:gridSpan w:val="8"/>
          </w:tcPr>
          <w:p>
            <w:pPr>
              <w:spacing w:after="0" w:line="108" w:lineRule="exact"/>
              <w:rPr>
                <w:rFonts w:ascii="Times New Roman" w:cs="Times New Roman" w:eastAsia="Times New Roman" w:hAnsi="Times New Roman"/>
                <w:sz w:val="10"/>
                <w:szCs w:val="10"/>
                <w:color w:val="0000FF"/>
              </w:rPr>
            </w:pPr>
            <w:hyperlink w:anchor="page179">
              <w:r>
                <w:rPr>
                  <w:rFonts w:ascii="Times New Roman" w:cs="Times New Roman" w:eastAsia="Times New Roman" w:hAnsi="Times New Roman"/>
                  <w:sz w:val="10"/>
                  <w:szCs w:val="10"/>
                  <w:color w:val="0000FF"/>
                </w:rPr>
                <w:t xml:space="preserve">Carve-out Consolidated Statements of Cash Flows </w:t>
              </w:r>
            </w:hyperlink>
            <w:r>
              <w:rPr>
                <w:rFonts w:ascii="Times New Roman" w:cs="Times New Roman" w:eastAsia="Times New Roman" w:hAnsi="Times New Roman"/>
                <w:sz w:val="10"/>
                <w:szCs w:val="10"/>
                <w:color w:val="000000"/>
              </w:rPr>
              <w:t>(Restated)</w:t>
            </w:r>
          </w:p>
        </w:tc>
        <w:tc>
          <w:tcPr>
            <w:tcW w:w="5760" w:type="dxa"/>
            <w:vAlign w:val="bottom"/>
            <w:gridSpan w:val="14"/>
          </w:tcPr>
          <w:p>
            <w:pPr>
              <w:spacing w:after="0"/>
              <w:rPr>
                <w:sz w:val="9"/>
                <w:szCs w:val="9"/>
                <w:color w:val="auto"/>
              </w:rPr>
            </w:pP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F-32</w:t>
            </w: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08"/>
        </w:trPr>
        <w:tc>
          <w:tcPr>
            <w:tcW w:w="8560" w:type="dxa"/>
            <w:vAlign w:val="bottom"/>
            <w:gridSpan w:val="22"/>
          </w:tcPr>
          <w:p>
            <w:pPr>
              <w:spacing w:after="0" w:line="108" w:lineRule="exact"/>
              <w:rPr>
                <w:rFonts w:ascii="Times New Roman" w:cs="Times New Roman" w:eastAsia="Times New Roman" w:hAnsi="Times New Roman"/>
                <w:sz w:val="10"/>
                <w:szCs w:val="10"/>
                <w:color w:val="0000FF"/>
              </w:rPr>
            </w:pPr>
            <w:hyperlink w:anchor="page180">
              <w:r>
                <w:rPr>
                  <w:rFonts w:ascii="Times New Roman" w:cs="Times New Roman" w:eastAsia="Times New Roman" w:hAnsi="Times New Roman"/>
                  <w:sz w:val="10"/>
                  <w:szCs w:val="10"/>
                  <w:color w:val="0000FF"/>
                </w:rPr>
                <w:t>Notes to the Carve-out Consolidated Financial Statements</w:t>
              </w:r>
            </w:hyperlink>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F-33</w:t>
            </w:r>
          </w:p>
        </w:tc>
      </w:tr>
      <w:tr>
        <w:trPr>
          <w:trHeight w:val="241"/>
        </w:trPr>
        <w:tc>
          <w:tcPr>
            <w:tcW w:w="11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gridSpan w:val="6"/>
          </w:tcPr>
          <w:p>
            <w:pPr>
              <w:jc w:val="center"/>
              <w:ind w:right="2240"/>
              <w:spacing w:after="0"/>
              <w:rPr>
                <w:sz w:val="20"/>
                <w:szCs w:val="20"/>
                <w:color w:val="auto"/>
              </w:rPr>
            </w:pPr>
            <w:r>
              <w:rPr>
                <w:rFonts w:ascii="Times New Roman" w:cs="Times New Roman" w:eastAsia="Times New Roman" w:hAnsi="Times New Roman"/>
                <w:sz w:val="10"/>
                <w:szCs w:val="10"/>
                <w:b w:val="1"/>
                <w:bCs w:val="1"/>
                <w:color w:val="auto"/>
                <w:w w:val="97"/>
              </w:rPr>
              <w:t>ARMADA ACQUISITION CORP. I</w:t>
            </w:r>
          </w:p>
        </w:tc>
        <w:tc>
          <w:tcPr>
            <w:tcW w:w="2060" w:type="dxa"/>
            <w:vAlign w:val="bottom"/>
          </w:tcPr>
          <w:p>
            <w:pPr>
              <w:spacing w:after="0"/>
              <w:rPr>
                <w:sz w:val="20"/>
                <w:szCs w:val="20"/>
                <w:color w:val="auto"/>
              </w:rPr>
            </w:pPr>
          </w:p>
        </w:tc>
      </w:tr>
      <w:tr>
        <w:trPr>
          <w:trHeight w:val="220"/>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6"/>
              </w:rPr>
              <w:t>For the Three and Nine Month Periods Ended June 30, 2024</w:t>
            </w:r>
          </w:p>
        </w:tc>
        <w:tc>
          <w:tcPr>
            <w:tcW w:w="2060" w:type="dxa"/>
            <w:vAlign w:val="bottom"/>
          </w:tcPr>
          <w:p>
            <w:pPr>
              <w:spacing w:after="0"/>
              <w:rPr>
                <w:sz w:val="10"/>
                <w:szCs w:val="10"/>
                <w:color w:val="auto"/>
              </w:rPr>
            </w:pPr>
          </w:p>
        </w:tc>
      </w:tr>
      <w:tr>
        <w:trPr>
          <w:trHeight w:val="227"/>
        </w:trPr>
        <w:tc>
          <w:tcPr>
            <w:tcW w:w="3240" w:type="dxa"/>
            <w:vAlign w:val="bottom"/>
            <w:tcBorders>
              <w:bottom w:val="single" w:sz="8" w:color="0000FF"/>
            </w:tcBorders>
            <w:gridSpan w:val="9"/>
          </w:tcPr>
          <w:p>
            <w:pPr>
              <w:spacing w:after="0"/>
              <w:rPr>
                <w:rFonts w:ascii="Times New Roman" w:cs="Times New Roman" w:eastAsia="Times New Roman" w:hAnsi="Times New Roman"/>
                <w:sz w:val="10"/>
                <w:szCs w:val="10"/>
                <w:color w:val="0000FF"/>
                <w:w w:val="97"/>
              </w:rPr>
            </w:pPr>
            <w:hyperlink w:anchor="page208">
              <w:r>
                <w:rPr>
                  <w:rFonts w:ascii="Times New Roman" w:cs="Times New Roman" w:eastAsia="Times New Roman" w:hAnsi="Times New Roman"/>
                  <w:sz w:val="10"/>
                  <w:szCs w:val="10"/>
                  <w:color w:val="0000FF"/>
                  <w:w w:val="97"/>
                </w:rPr>
                <w:t>Unaudited Condensed Balance Sheets as of June 30, 2024 and September 30, 2023</w:t>
              </w:r>
            </w:hyperlink>
          </w:p>
        </w:tc>
        <w:tc>
          <w:tcPr>
            <w:tcW w:w="5320" w:type="dxa"/>
            <w:vAlign w:val="bottom"/>
            <w:gridSpan w:val="13"/>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F-61</w:t>
            </w:r>
          </w:p>
        </w:tc>
      </w:tr>
      <w:tr>
        <w:trPr>
          <w:trHeight w:val="108"/>
        </w:trPr>
        <w:tc>
          <w:tcPr>
            <w:tcW w:w="4260" w:type="dxa"/>
            <w:vAlign w:val="bottom"/>
            <w:tcBorders>
              <w:bottom w:val="single" w:sz="8" w:color="0000FF"/>
            </w:tcBorders>
            <w:gridSpan w:val="15"/>
          </w:tcPr>
          <w:p>
            <w:pPr>
              <w:spacing w:after="0" w:line="108" w:lineRule="exact"/>
              <w:rPr>
                <w:rFonts w:ascii="Times New Roman" w:cs="Times New Roman" w:eastAsia="Times New Roman" w:hAnsi="Times New Roman"/>
                <w:sz w:val="10"/>
                <w:szCs w:val="10"/>
                <w:color w:val="0000FF"/>
                <w:w w:val="96"/>
              </w:rPr>
            </w:pPr>
            <w:hyperlink w:anchor="page209">
              <w:r>
                <w:rPr>
                  <w:rFonts w:ascii="Times New Roman" w:cs="Times New Roman" w:eastAsia="Times New Roman" w:hAnsi="Times New Roman"/>
                  <w:sz w:val="10"/>
                  <w:szCs w:val="10"/>
                  <w:color w:val="0000FF"/>
                  <w:w w:val="96"/>
                </w:rPr>
                <w:t>Unaudited Condensed Statements of Operations for the three and nine months-ended June 30, 2024 and 2023</w:t>
              </w:r>
            </w:hyperlink>
          </w:p>
        </w:tc>
        <w:tc>
          <w:tcPr>
            <w:tcW w:w="4300" w:type="dxa"/>
            <w:vAlign w:val="bottom"/>
            <w:gridSpan w:val="7"/>
          </w:tcPr>
          <w:p>
            <w:pPr>
              <w:spacing w:after="0"/>
              <w:rPr>
                <w:sz w:val="9"/>
                <w:szCs w:val="9"/>
                <w:color w:val="auto"/>
              </w:rPr>
            </w:pP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F-62</w:t>
            </w:r>
          </w:p>
        </w:tc>
      </w:tr>
      <w:tr>
        <w:trPr>
          <w:trHeight w:val="108"/>
        </w:trPr>
        <w:tc>
          <w:tcPr>
            <w:tcW w:w="8560" w:type="dxa"/>
            <w:vAlign w:val="bottom"/>
            <w:gridSpan w:val="22"/>
          </w:tcPr>
          <w:p>
            <w:pPr>
              <w:spacing w:after="0" w:line="108" w:lineRule="exact"/>
              <w:rPr>
                <w:rFonts w:ascii="Times New Roman" w:cs="Times New Roman" w:eastAsia="Times New Roman" w:hAnsi="Times New Roman"/>
                <w:sz w:val="10"/>
                <w:szCs w:val="10"/>
                <w:color w:val="0000FF"/>
              </w:rPr>
            </w:pPr>
            <w:hyperlink w:anchor="page210">
              <w:r>
                <w:rPr>
                  <w:rFonts w:ascii="Times New Roman" w:cs="Times New Roman" w:eastAsia="Times New Roman" w:hAnsi="Times New Roman"/>
                  <w:sz w:val="10"/>
                  <w:szCs w:val="10"/>
                  <w:color w:val="0000FF"/>
                </w:rPr>
                <w:t>Unaudited Condensed Statements of Changes in Stockholders’ Deficit for the three and nine months-ended June 30, 2024 and 2023</w:t>
              </w:r>
            </w:hyperlink>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F-63</w:t>
            </w:r>
          </w:p>
        </w:tc>
      </w:tr>
      <w:tr>
        <w:trPr>
          <w:trHeight w:val="108"/>
        </w:trPr>
        <w:tc>
          <w:tcPr>
            <w:tcW w:w="3900" w:type="dxa"/>
            <w:vAlign w:val="bottom"/>
            <w:tcBorders>
              <w:top w:val="single" w:sz="8" w:color="0000FF"/>
              <w:bottom w:val="single" w:sz="8" w:color="0000FF"/>
            </w:tcBorders>
            <w:gridSpan w:val="12"/>
          </w:tcPr>
          <w:p>
            <w:pPr>
              <w:spacing w:after="0" w:line="108" w:lineRule="exact"/>
              <w:rPr>
                <w:rFonts w:ascii="Times New Roman" w:cs="Times New Roman" w:eastAsia="Times New Roman" w:hAnsi="Times New Roman"/>
                <w:sz w:val="10"/>
                <w:szCs w:val="10"/>
                <w:color w:val="0000FF"/>
                <w:w w:val="96"/>
              </w:rPr>
            </w:pPr>
            <w:hyperlink w:anchor="page211">
              <w:r>
                <w:rPr>
                  <w:rFonts w:ascii="Times New Roman" w:cs="Times New Roman" w:eastAsia="Times New Roman" w:hAnsi="Times New Roman"/>
                  <w:sz w:val="10"/>
                  <w:szCs w:val="10"/>
                  <w:color w:val="0000FF"/>
                  <w:w w:val="96"/>
                </w:rPr>
                <w:t>Unaudited Condensed Statements of Cash Flows for the nine months ended June 30, 2024 and 2023</w:t>
              </w:r>
            </w:hyperlink>
          </w:p>
        </w:tc>
        <w:tc>
          <w:tcPr>
            <w:tcW w:w="1220" w:type="dxa"/>
            <w:vAlign w:val="bottom"/>
            <w:tcBorders>
              <w:top w:val="single" w:sz="8" w:color="0000FF"/>
            </w:tcBorders>
            <w:gridSpan w:val="6"/>
          </w:tcPr>
          <w:p>
            <w:pPr>
              <w:spacing w:after="0"/>
              <w:rPr>
                <w:sz w:val="9"/>
                <w:szCs w:val="9"/>
                <w:color w:val="auto"/>
              </w:rPr>
            </w:pPr>
          </w:p>
        </w:tc>
        <w:tc>
          <w:tcPr>
            <w:tcW w:w="3440" w:type="dxa"/>
            <w:vAlign w:val="bottom"/>
            <w:gridSpan w:val="4"/>
          </w:tcPr>
          <w:p>
            <w:pPr>
              <w:spacing w:after="0"/>
              <w:rPr>
                <w:sz w:val="9"/>
                <w:szCs w:val="9"/>
                <w:color w:val="auto"/>
              </w:rPr>
            </w:pP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F-64</w:t>
            </w:r>
          </w:p>
        </w:tc>
      </w:tr>
      <w:tr>
        <w:trPr>
          <w:trHeight w:val="108"/>
        </w:trPr>
        <w:tc>
          <w:tcPr>
            <w:tcW w:w="8560" w:type="dxa"/>
            <w:vAlign w:val="bottom"/>
            <w:gridSpan w:val="22"/>
          </w:tcPr>
          <w:p>
            <w:pPr>
              <w:spacing w:after="0" w:line="108" w:lineRule="exact"/>
              <w:rPr>
                <w:rFonts w:ascii="Times New Roman" w:cs="Times New Roman" w:eastAsia="Times New Roman" w:hAnsi="Times New Roman"/>
                <w:sz w:val="10"/>
                <w:szCs w:val="10"/>
                <w:color w:val="0000FF"/>
              </w:rPr>
            </w:pPr>
            <w:hyperlink w:anchor="page212">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F-65</w:t>
            </w:r>
          </w:p>
        </w:tc>
      </w:tr>
      <w:tr>
        <w:trPr>
          <w:trHeight w:val="228"/>
        </w:trPr>
        <w:tc>
          <w:tcPr>
            <w:tcW w:w="116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7"/>
              </w:rPr>
              <w:t>For the Three and Six Month Periods Ended March 31, 2024</w:t>
            </w:r>
          </w:p>
        </w:tc>
        <w:tc>
          <w:tcPr>
            <w:tcW w:w="2060" w:type="dxa"/>
            <w:vAlign w:val="bottom"/>
          </w:tcPr>
          <w:p>
            <w:pPr>
              <w:spacing w:after="0"/>
              <w:rPr>
                <w:sz w:val="10"/>
                <w:szCs w:val="10"/>
                <w:color w:val="auto"/>
              </w:rPr>
            </w:pPr>
          </w:p>
        </w:tc>
      </w:tr>
      <w:tr>
        <w:trPr>
          <w:trHeight w:val="227"/>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232">
              <w:r>
                <w:rPr>
                  <w:rFonts w:ascii="Times New Roman" w:cs="Times New Roman" w:eastAsia="Times New Roman" w:hAnsi="Times New Roman"/>
                  <w:sz w:val="10"/>
                  <w:szCs w:val="10"/>
                  <w:color w:val="0000FF"/>
                </w:rPr>
                <w:t>Unaudited Condensed Balance Sheets as of March 31, 2024 and September 30, 2022</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F-85</w:t>
            </w:r>
          </w:p>
        </w:tc>
      </w:tr>
      <w:tr>
        <w:trPr>
          <w:trHeight w:val="20"/>
        </w:trPr>
        <w:tc>
          <w:tcPr>
            <w:tcW w:w="3300" w:type="dxa"/>
            <w:vAlign w:val="bottom"/>
            <w:gridSpan w:val="10"/>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08"/>
        </w:trPr>
        <w:tc>
          <w:tcPr>
            <w:tcW w:w="4280" w:type="dxa"/>
            <w:vAlign w:val="bottom"/>
            <w:tcBorders>
              <w:bottom w:val="single" w:sz="8" w:color="0000FF"/>
            </w:tcBorders>
            <w:gridSpan w:val="16"/>
          </w:tcPr>
          <w:p>
            <w:pPr>
              <w:spacing w:after="0" w:line="108" w:lineRule="exact"/>
              <w:rPr>
                <w:rFonts w:ascii="Times New Roman" w:cs="Times New Roman" w:eastAsia="Times New Roman" w:hAnsi="Times New Roman"/>
                <w:sz w:val="10"/>
                <w:szCs w:val="10"/>
                <w:color w:val="0000FF"/>
                <w:w w:val="96"/>
              </w:rPr>
            </w:pPr>
            <w:hyperlink w:anchor="page233">
              <w:r>
                <w:rPr>
                  <w:rFonts w:ascii="Times New Roman" w:cs="Times New Roman" w:eastAsia="Times New Roman" w:hAnsi="Times New Roman"/>
                  <w:sz w:val="10"/>
                  <w:szCs w:val="10"/>
                  <w:color w:val="0000FF"/>
                  <w:w w:val="96"/>
                </w:rPr>
                <w:t>Unaudited Condensed Statements of Operations for the three and six months-ended March 31, 2024 and 2023</w:t>
              </w:r>
            </w:hyperlink>
          </w:p>
        </w:tc>
        <w:tc>
          <w:tcPr>
            <w:tcW w:w="4280" w:type="dxa"/>
            <w:vAlign w:val="bottom"/>
            <w:gridSpan w:val="6"/>
          </w:tcPr>
          <w:p>
            <w:pPr>
              <w:spacing w:after="0"/>
              <w:rPr>
                <w:sz w:val="9"/>
                <w:szCs w:val="9"/>
                <w:color w:val="auto"/>
              </w:rPr>
            </w:pP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F-86</w:t>
            </w:r>
          </w:p>
        </w:tc>
      </w:tr>
      <w:tr>
        <w:trPr>
          <w:trHeight w:val="108"/>
        </w:trPr>
        <w:tc>
          <w:tcPr>
            <w:tcW w:w="5160" w:type="dxa"/>
            <w:vAlign w:val="bottom"/>
            <w:tcBorders>
              <w:bottom w:val="single" w:sz="8" w:color="0000FF"/>
            </w:tcBorders>
            <w:gridSpan w:val="20"/>
          </w:tcPr>
          <w:p>
            <w:pPr>
              <w:spacing w:after="0" w:line="108" w:lineRule="exact"/>
              <w:rPr>
                <w:rFonts w:ascii="Times New Roman" w:cs="Times New Roman" w:eastAsia="Times New Roman" w:hAnsi="Times New Roman"/>
                <w:sz w:val="10"/>
                <w:szCs w:val="10"/>
                <w:color w:val="0000FF"/>
                <w:w w:val="97"/>
              </w:rPr>
            </w:pPr>
            <w:hyperlink w:anchor="page234">
              <w:r>
                <w:rPr>
                  <w:rFonts w:ascii="Times New Roman" w:cs="Times New Roman" w:eastAsia="Times New Roman" w:hAnsi="Times New Roman"/>
                  <w:sz w:val="10"/>
                  <w:szCs w:val="10"/>
                  <w:color w:val="0000FF"/>
                  <w:w w:val="97"/>
                </w:rPr>
                <w:t>Unaudited Condensed Statements of Changes in Stockholders’ Deficit for the three and six months-ended March 31, 2024 and 2023</w:t>
              </w:r>
            </w:hyperlink>
          </w:p>
        </w:tc>
        <w:tc>
          <w:tcPr>
            <w:tcW w:w="3400" w:type="dxa"/>
            <w:vAlign w:val="bottom"/>
            <w:gridSpan w:val="2"/>
          </w:tcPr>
          <w:p>
            <w:pPr>
              <w:spacing w:after="0"/>
              <w:rPr>
                <w:sz w:val="9"/>
                <w:szCs w:val="9"/>
                <w:color w:val="auto"/>
              </w:rPr>
            </w:pP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F-87</w:t>
            </w:r>
          </w:p>
        </w:tc>
      </w:tr>
      <w:tr>
        <w:trPr>
          <w:trHeight w:val="108"/>
        </w:trPr>
        <w:tc>
          <w:tcPr>
            <w:tcW w:w="3920" w:type="dxa"/>
            <w:vAlign w:val="bottom"/>
            <w:tcBorders>
              <w:bottom w:val="single" w:sz="8" w:color="0000FF"/>
            </w:tcBorders>
            <w:gridSpan w:val="13"/>
          </w:tcPr>
          <w:p>
            <w:pPr>
              <w:spacing w:after="0" w:line="108" w:lineRule="exact"/>
              <w:rPr>
                <w:rFonts w:ascii="Times New Roman" w:cs="Times New Roman" w:eastAsia="Times New Roman" w:hAnsi="Times New Roman"/>
                <w:sz w:val="10"/>
                <w:szCs w:val="10"/>
                <w:color w:val="0000FF"/>
                <w:w w:val="96"/>
              </w:rPr>
            </w:pPr>
            <w:hyperlink w:anchor="page235">
              <w:r>
                <w:rPr>
                  <w:rFonts w:ascii="Times New Roman" w:cs="Times New Roman" w:eastAsia="Times New Roman" w:hAnsi="Times New Roman"/>
                  <w:sz w:val="10"/>
                  <w:szCs w:val="10"/>
                  <w:color w:val="0000FF"/>
                  <w:w w:val="96"/>
                </w:rPr>
                <w:t>Unaudited Condensed Statements of Cash Flows for the six months ended March 31, 2024 and 2023</w:t>
              </w:r>
            </w:hyperlink>
          </w:p>
        </w:tc>
        <w:tc>
          <w:tcPr>
            <w:tcW w:w="4640" w:type="dxa"/>
            <w:vAlign w:val="bottom"/>
            <w:gridSpan w:val="9"/>
          </w:tcPr>
          <w:p>
            <w:pPr>
              <w:spacing w:after="0"/>
              <w:rPr>
                <w:sz w:val="9"/>
                <w:szCs w:val="9"/>
                <w:color w:val="auto"/>
              </w:rPr>
            </w:pPr>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F-88</w:t>
            </w:r>
          </w:p>
        </w:tc>
      </w:tr>
      <w:tr>
        <w:trPr>
          <w:trHeight w:val="108"/>
        </w:trPr>
        <w:tc>
          <w:tcPr>
            <w:tcW w:w="8560" w:type="dxa"/>
            <w:vAlign w:val="bottom"/>
            <w:gridSpan w:val="22"/>
          </w:tcPr>
          <w:p>
            <w:pPr>
              <w:spacing w:after="0" w:line="108" w:lineRule="exact"/>
              <w:rPr>
                <w:rFonts w:ascii="Times New Roman" w:cs="Times New Roman" w:eastAsia="Times New Roman" w:hAnsi="Times New Roman"/>
                <w:sz w:val="10"/>
                <w:szCs w:val="10"/>
                <w:color w:val="0000FF"/>
              </w:rPr>
            </w:pPr>
            <w:hyperlink w:anchor="page236">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F-89</w:t>
            </w:r>
          </w:p>
        </w:tc>
      </w:tr>
      <w:tr>
        <w:trPr>
          <w:trHeight w:val="353"/>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2"/>
          </w:tcPr>
          <w:p>
            <w:pPr>
              <w:jc w:val="center"/>
              <w:ind w:right="3100"/>
              <w:spacing w:after="0"/>
              <w:rPr>
                <w:sz w:val="20"/>
                <w:szCs w:val="20"/>
                <w:color w:val="auto"/>
              </w:rPr>
            </w:pPr>
            <w:r>
              <w:rPr>
                <w:rFonts w:ascii="Times New Roman" w:cs="Times New Roman" w:eastAsia="Times New Roman" w:hAnsi="Times New Roman"/>
                <w:sz w:val="10"/>
                <w:szCs w:val="10"/>
                <w:color w:val="auto"/>
              </w:rPr>
              <w:t>F-1</w:t>
            </w:r>
          </w:p>
        </w:tc>
        <w:tc>
          <w:tcPr>
            <w:tcW w:w="2060" w:type="dxa"/>
            <w:vAlign w:val="bottom"/>
          </w:tcPr>
          <w:p>
            <w:pPr>
              <w:spacing w:after="0"/>
              <w:rPr>
                <w:sz w:val="24"/>
                <w:szCs w:val="24"/>
                <w:color w:val="auto"/>
              </w:rPr>
            </w:pPr>
          </w:p>
        </w:tc>
      </w:tr>
      <w:tr>
        <w:trPr>
          <w:trHeight w:val="422"/>
        </w:trPr>
        <w:tc>
          <w:tcPr>
            <w:tcW w:w="11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-2390140</wp:posOffset>
            </wp:positionV>
            <wp:extent cx="14605" cy="50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 cy="5080"/>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Three Month Periods Ended December 31,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4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w:anchor="page253">
              <w:r>
                <w:rPr>
                  <w:rFonts w:ascii="Times New Roman" w:cs="Times New Roman" w:eastAsia="Times New Roman" w:hAnsi="Times New Roman"/>
                  <w:sz w:val="10"/>
                  <w:szCs w:val="10"/>
                  <w:color w:val="0000FF"/>
                  <w:w w:val="97"/>
                </w:rPr>
                <w:t>Condensed Balance Sheets as of December 31, 2023 (Unaudited) and September 30, 2022</w:t>
              </w:r>
            </w:hyperlink>
          </w:p>
        </w:tc>
        <w:tc>
          <w:tcPr>
            <w:tcW w:w="4800" w:type="dxa"/>
            <w:vAlign w:val="bottom"/>
            <w:gridSpan w:val="4"/>
          </w:tcPr>
          <w:p>
            <w:pPr>
              <w:spacing w:after="0"/>
              <w:rPr>
                <w:sz w:val="10"/>
                <w:szCs w:val="10"/>
                <w:color w:val="auto"/>
              </w:rPr>
            </w:pP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F-106</w:t>
            </w:r>
          </w:p>
        </w:tc>
      </w:tr>
      <w:tr>
        <w:trPr>
          <w:trHeight w:val="108"/>
        </w:trPr>
        <w:tc>
          <w:tcPr>
            <w:tcW w:w="4540" w:type="dxa"/>
            <w:vAlign w:val="bottom"/>
            <w:tcBorders>
              <w:bottom w:val="single" w:sz="8" w:color="0000FF"/>
            </w:tcBorders>
            <w:gridSpan w:val="10"/>
          </w:tcPr>
          <w:p>
            <w:pPr>
              <w:spacing w:after="0" w:line="108" w:lineRule="exact"/>
              <w:rPr>
                <w:rFonts w:ascii="Times New Roman" w:cs="Times New Roman" w:eastAsia="Times New Roman" w:hAnsi="Times New Roman"/>
                <w:sz w:val="10"/>
                <w:szCs w:val="10"/>
                <w:color w:val="0000FF"/>
                <w:w w:val="97"/>
              </w:rPr>
            </w:pPr>
            <w:hyperlink w:anchor="page254">
              <w:r>
                <w:rPr>
                  <w:rFonts w:ascii="Times New Roman" w:cs="Times New Roman" w:eastAsia="Times New Roman" w:hAnsi="Times New Roman"/>
                  <w:sz w:val="10"/>
                  <w:szCs w:val="10"/>
                  <w:color w:val="0000FF"/>
                  <w:w w:val="97"/>
                </w:rPr>
                <w:t>Condensed Statements of Operations for the three and nine months ended December 31, 2023 and 2022 (Unaudited)</w:t>
              </w:r>
            </w:hyperlink>
          </w:p>
        </w:tc>
        <w:tc>
          <w:tcPr>
            <w:tcW w:w="3800" w:type="dxa"/>
            <w:vAlign w:val="bottom"/>
            <w:gridSpan w:val="2"/>
          </w:tcPr>
          <w:p>
            <w:pPr>
              <w:spacing w:after="0"/>
              <w:rPr>
                <w:sz w:val="9"/>
                <w:szCs w:val="9"/>
                <w:color w:val="auto"/>
              </w:rPr>
            </w:pPr>
          </w:p>
        </w:tc>
        <w:tc>
          <w:tcPr>
            <w:tcW w:w="2280" w:type="dxa"/>
            <w:vAlign w:val="bottom"/>
          </w:tcPr>
          <w:p>
            <w:pPr>
              <w:ind w:left="2040"/>
              <w:spacing w:after="0" w:line="108" w:lineRule="exact"/>
              <w:rPr>
                <w:sz w:val="20"/>
                <w:szCs w:val="20"/>
                <w:color w:val="auto"/>
              </w:rPr>
            </w:pPr>
            <w:r>
              <w:rPr>
                <w:rFonts w:ascii="Times New Roman" w:cs="Times New Roman" w:eastAsia="Times New Roman" w:hAnsi="Times New Roman"/>
                <w:sz w:val="10"/>
                <w:szCs w:val="10"/>
                <w:color w:val="auto"/>
                <w:w w:val="91"/>
              </w:rPr>
              <w:t>F-107</w:t>
            </w:r>
          </w:p>
        </w:tc>
      </w:tr>
      <w:tr>
        <w:trPr>
          <w:trHeight w:val="108"/>
        </w:trPr>
        <w:tc>
          <w:tcPr>
            <w:tcW w:w="8340" w:type="dxa"/>
            <w:vAlign w:val="bottom"/>
            <w:gridSpan w:val="12"/>
          </w:tcPr>
          <w:p>
            <w:pPr>
              <w:spacing w:after="0" w:line="108" w:lineRule="exact"/>
              <w:rPr>
                <w:rFonts w:ascii="Times New Roman" w:cs="Times New Roman" w:eastAsia="Times New Roman" w:hAnsi="Times New Roman"/>
                <w:sz w:val="10"/>
                <w:szCs w:val="10"/>
                <w:color w:val="0000FF"/>
              </w:rPr>
            </w:pPr>
            <w:hyperlink w:anchor="page255">
              <w:r>
                <w:rPr>
                  <w:rFonts w:ascii="Times New Roman" w:cs="Times New Roman" w:eastAsia="Times New Roman" w:hAnsi="Times New Roman"/>
                  <w:sz w:val="10"/>
                  <w:szCs w:val="10"/>
                  <w:color w:val="0000FF"/>
                </w:rPr>
                <w:t>Condensed Statements of Changes in Stockholders’ Deficit for the three months ended December 31, 2023 and 2022 (Unaudited)</w:t>
              </w:r>
            </w:hyperlink>
          </w:p>
        </w:tc>
        <w:tc>
          <w:tcPr>
            <w:tcW w:w="2280" w:type="dxa"/>
            <w:vAlign w:val="bottom"/>
          </w:tcPr>
          <w:p>
            <w:pPr>
              <w:ind w:left="2040"/>
              <w:spacing w:after="0" w:line="108" w:lineRule="exact"/>
              <w:rPr>
                <w:sz w:val="20"/>
                <w:szCs w:val="20"/>
                <w:color w:val="auto"/>
              </w:rPr>
            </w:pPr>
            <w:r>
              <w:rPr>
                <w:rFonts w:ascii="Times New Roman" w:cs="Times New Roman" w:eastAsia="Times New Roman" w:hAnsi="Times New Roman"/>
                <w:sz w:val="10"/>
                <w:szCs w:val="10"/>
                <w:color w:val="auto"/>
                <w:w w:val="91"/>
              </w:rPr>
              <w:t>F-108</w:t>
            </w:r>
          </w:p>
        </w:tc>
      </w:tr>
      <w:tr>
        <w:trPr>
          <w:trHeight w:val="108"/>
        </w:trPr>
        <w:tc>
          <w:tcPr>
            <w:tcW w:w="5040" w:type="dxa"/>
            <w:vAlign w:val="bottom"/>
            <w:tcBorders>
              <w:top w:val="single" w:sz="8" w:color="0000FF"/>
            </w:tcBorders>
            <w:gridSpan w:val="11"/>
          </w:tcPr>
          <w:p>
            <w:pPr>
              <w:spacing w:after="0" w:line="108" w:lineRule="exact"/>
              <w:rPr>
                <w:rFonts w:ascii="Times New Roman" w:cs="Times New Roman" w:eastAsia="Times New Roman" w:hAnsi="Times New Roman"/>
                <w:sz w:val="10"/>
                <w:szCs w:val="10"/>
                <w:color w:val="0000FF"/>
              </w:rPr>
            </w:pPr>
            <w:hyperlink w:anchor="page256">
              <w:r>
                <w:rPr>
                  <w:rFonts w:ascii="Times New Roman" w:cs="Times New Roman" w:eastAsia="Times New Roman" w:hAnsi="Times New Roman"/>
                  <w:sz w:val="10"/>
                  <w:szCs w:val="10"/>
                  <w:color w:val="0000FF"/>
                </w:rPr>
                <w:t>Condensed Statements of Cash Flows for the nine months ended December 31, 2023 and 2022 (Unaudited)</w:t>
              </w:r>
            </w:hyperlink>
          </w:p>
        </w:tc>
        <w:tc>
          <w:tcPr>
            <w:tcW w:w="3300" w:type="dxa"/>
            <w:vAlign w:val="bottom"/>
          </w:tcPr>
          <w:p>
            <w:pPr>
              <w:spacing w:after="0"/>
              <w:rPr>
                <w:sz w:val="9"/>
                <w:szCs w:val="9"/>
                <w:color w:val="auto"/>
              </w:rPr>
            </w:pPr>
          </w:p>
        </w:tc>
        <w:tc>
          <w:tcPr>
            <w:tcW w:w="2280" w:type="dxa"/>
            <w:vAlign w:val="bottom"/>
          </w:tcPr>
          <w:p>
            <w:pPr>
              <w:ind w:left="2040"/>
              <w:spacing w:after="0" w:line="108" w:lineRule="exact"/>
              <w:rPr>
                <w:sz w:val="20"/>
                <w:szCs w:val="20"/>
                <w:color w:val="auto"/>
              </w:rPr>
            </w:pPr>
            <w:r>
              <w:rPr>
                <w:rFonts w:ascii="Times New Roman" w:cs="Times New Roman" w:eastAsia="Times New Roman" w:hAnsi="Times New Roman"/>
                <w:sz w:val="10"/>
                <w:szCs w:val="10"/>
                <w:color w:val="auto"/>
                <w:w w:val="91"/>
              </w:rPr>
              <w:t>F-109</w:t>
            </w:r>
          </w:p>
        </w:tc>
      </w:tr>
      <w:tr>
        <w:trPr>
          <w:trHeight w:val="108"/>
        </w:trPr>
        <w:tc>
          <w:tcPr>
            <w:tcW w:w="4180" w:type="dxa"/>
            <w:vAlign w:val="bottom"/>
            <w:tcBorders>
              <w:top w:val="single" w:sz="8" w:color="0000FF"/>
            </w:tcBorders>
            <w:gridSpan w:val="9"/>
          </w:tcPr>
          <w:p>
            <w:pPr>
              <w:spacing w:after="0" w:line="108" w:lineRule="exact"/>
              <w:rPr>
                <w:rFonts w:ascii="Times New Roman" w:cs="Times New Roman" w:eastAsia="Times New Roman" w:hAnsi="Times New Roman"/>
                <w:sz w:val="10"/>
                <w:szCs w:val="10"/>
                <w:color w:val="0000FF"/>
              </w:rPr>
            </w:pPr>
            <w:hyperlink w:anchor="page257">
              <w:r>
                <w:rPr>
                  <w:rFonts w:ascii="Times New Roman" w:cs="Times New Roman" w:eastAsia="Times New Roman" w:hAnsi="Times New Roman"/>
                  <w:sz w:val="10"/>
                  <w:szCs w:val="10"/>
                  <w:color w:val="0000FF"/>
                </w:rPr>
                <w:t>Notes to Unaudited Condensed Financial Statements</w:t>
              </w:r>
            </w:hyperlink>
          </w:p>
        </w:tc>
        <w:tc>
          <w:tcPr>
            <w:tcW w:w="4160" w:type="dxa"/>
            <w:vAlign w:val="bottom"/>
            <w:gridSpan w:val="3"/>
          </w:tcPr>
          <w:p>
            <w:pPr>
              <w:spacing w:after="0"/>
              <w:rPr>
                <w:sz w:val="9"/>
                <w:szCs w:val="9"/>
                <w:color w:val="auto"/>
              </w:rPr>
            </w:pPr>
          </w:p>
        </w:tc>
        <w:tc>
          <w:tcPr>
            <w:tcW w:w="2280" w:type="dxa"/>
            <w:vAlign w:val="bottom"/>
          </w:tcPr>
          <w:p>
            <w:pPr>
              <w:ind w:left="2040"/>
              <w:spacing w:after="0" w:line="108" w:lineRule="exact"/>
              <w:rPr>
                <w:sz w:val="20"/>
                <w:szCs w:val="20"/>
                <w:color w:val="auto"/>
              </w:rPr>
            </w:pPr>
            <w:r>
              <w:rPr>
                <w:rFonts w:ascii="Times New Roman" w:cs="Times New Roman" w:eastAsia="Times New Roman" w:hAnsi="Times New Roman"/>
                <w:sz w:val="10"/>
                <w:szCs w:val="10"/>
                <w:color w:val="auto"/>
                <w:w w:val="91"/>
              </w:rPr>
              <w:t>F-110</w:t>
            </w:r>
          </w:p>
        </w:tc>
      </w:tr>
      <w:tr>
        <w:trPr>
          <w:trHeight w:val="228"/>
        </w:trPr>
        <w:tc>
          <w:tcPr>
            <w:tcW w:w="60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0" w:type="dxa"/>
            <w:vAlign w:val="bottom"/>
            <w:gridSpan w:val="2"/>
          </w:tcPr>
          <w:p>
            <w:pPr>
              <w:jc w:val="center"/>
              <w:ind w:right="2231"/>
              <w:spacing w:after="0"/>
              <w:rPr>
                <w:sz w:val="20"/>
                <w:szCs w:val="20"/>
                <w:color w:val="auto"/>
              </w:rPr>
            </w:pPr>
            <w:r>
              <w:rPr>
                <w:rFonts w:ascii="Times New Roman" w:cs="Times New Roman" w:eastAsia="Times New Roman" w:hAnsi="Times New Roman"/>
                <w:sz w:val="10"/>
                <w:szCs w:val="10"/>
                <w:b w:val="1"/>
                <w:bCs w:val="1"/>
                <w:color w:val="auto"/>
                <w:w w:val="98"/>
              </w:rPr>
              <w:t>Financial Statements</w:t>
            </w:r>
          </w:p>
        </w:tc>
        <w:tc>
          <w:tcPr>
            <w:tcW w:w="2280" w:type="dxa"/>
            <w:vAlign w:val="bottom"/>
          </w:tcPr>
          <w:p>
            <w:pPr>
              <w:spacing w:after="0"/>
              <w:rPr>
                <w:sz w:val="19"/>
                <w:szCs w:val="19"/>
                <w:color w:val="auto"/>
              </w:rPr>
            </w:pPr>
          </w:p>
        </w:tc>
      </w:tr>
      <w:tr>
        <w:trPr>
          <w:trHeight w:val="125"/>
        </w:trPr>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160" w:type="dxa"/>
            <w:vAlign w:val="bottom"/>
            <w:gridSpan w:val="3"/>
          </w:tcPr>
          <w:p>
            <w:pPr>
              <w:jc w:val="center"/>
              <w:ind w:right="1871"/>
              <w:spacing w:after="0"/>
              <w:rPr>
                <w:sz w:val="20"/>
                <w:szCs w:val="20"/>
                <w:color w:val="auto"/>
              </w:rPr>
            </w:pPr>
            <w:r>
              <w:rPr>
                <w:rFonts w:ascii="Times New Roman" w:cs="Times New Roman" w:eastAsia="Times New Roman" w:hAnsi="Times New Roman"/>
                <w:sz w:val="10"/>
                <w:szCs w:val="10"/>
                <w:color w:val="auto"/>
                <w:w w:val="97"/>
              </w:rPr>
              <w:t>For the years ended September 30, 2023 and 2022</w:t>
            </w:r>
          </w:p>
        </w:tc>
        <w:tc>
          <w:tcPr>
            <w:tcW w:w="2280" w:type="dxa"/>
            <w:vAlign w:val="bottom"/>
          </w:tcPr>
          <w:p>
            <w:pPr>
              <w:spacing w:after="0"/>
              <w:rPr>
                <w:sz w:val="10"/>
                <w:szCs w:val="10"/>
                <w:color w:val="auto"/>
              </w:rPr>
            </w:pPr>
          </w:p>
        </w:tc>
      </w:tr>
      <w:tr>
        <w:trPr>
          <w:trHeight w:val="227"/>
        </w:trPr>
        <w:tc>
          <w:tcPr>
            <w:tcW w:w="8340" w:type="dxa"/>
            <w:vAlign w:val="bottom"/>
            <w:gridSpan w:val="12"/>
          </w:tcPr>
          <w:p>
            <w:pPr>
              <w:spacing w:after="0"/>
              <w:rPr>
                <w:rFonts w:ascii="Times New Roman" w:cs="Times New Roman" w:eastAsia="Times New Roman" w:hAnsi="Times New Roman"/>
                <w:sz w:val="10"/>
                <w:szCs w:val="10"/>
                <w:color w:val="0000FF"/>
              </w:rPr>
            </w:pPr>
            <w:hyperlink w:anchor="page274">
              <w:r>
                <w:rPr>
                  <w:rFonts w:ascii="Times New Roman" w:cs="Times New Roman" w:eastAsia="Times New Roman" w:hAnsi="Times New Roman"/>
                  <w:sz w:val="10"/>
                  <w:szCs w:val="10"/>
                  <w:color w:val="0000FF"/>
                </w:rPr>
                <w:t xml:space="preserve">Report of Independent Registered Public Accounting Firm </w:t>
              </w:r>
            </w:hyperlink>
            <w:r>
              <w:rPr>
                <w:rFonts w:ascii="Times New Roman" w:cs="Times New Roman" w:eastAsia="Times New Roman" w:hAnsi="Times New Roman"/>
                <w:sz w:val="10"/>
                <w:szCs w:val="10"/>
                <w:color w:val="000000"/>
              </w:rPr>
              <w:t>(PCAOB</w:t>
            </w:r>
            <w:r>
              <w:rPr>
                <w:rFonts w:ascii="Times New Roman" w:cs="Times New Roman" w:eastAsia="Times New Roman" w:hAnsi="Times New Roman"/>
                <w:sz w:val="10"/>
                <w:szCs w:val="10"/>
                <w:color w:val="0000FF"/>
              </w:rPr>
              <w:t xml:space="preserve"> </w:t>
            </w:r>
            <w:r>
              <w:rPr>
                <w:rFonts w:ascii="Times New Roman" w:cs="Times New Roman" w:eastAsia="Times New Roman" w:hAnsi="Times New Roman"/>
                <w:sz w:val="10"/>
                <w:szCs w:val="10"/>
                <w:color w:val="000000"/>
              </w:rPr>
              <w:t>ID#688)</w:t>
            </w: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F-127</w:t>
            </w:r>
          </w:p>
        </w:tc>
      </w:tr>
      <w:tr>
        <w:trPr>
          <w:trHeight w:val="108"/>
        </w:trPr>
        <w:tc>
          <w:tcPr>
            <w:tcW w:w="600" w:type="dxa"/>
            <w:vAlign w:val="bottom"/>
            <w:tcBorders>
              <w:top w:val="single" w:sz="8" w:color="0000FF"/>
              <w:bottom w:val="single" w:sz="8" w:color="0000FF"/>
            </w:tcBorders>
          </w:tcPr>
          <w:p>
            <w:pPr>
              <w:spacing w:after="0" w:line="108" w:lineRule="exact"/>
              <w:rPr>
                <w:rFonts w:ascii="Times New Roman" w:cs="Times New Roman" w:eastAsia="Times New Roman" w:hAnsi="Times New Roman"/>
                <w:sz w:val="10"/>
                <w:szCs w:val="10"/>
                <w:color w:val="0000FF"/>
                <w:w w:val="95"/>
              </w:rPr>
            </w:pPr>
            <w:hyperlink w:anchor="page275">
              <w:r>
                <w:rPr>
                  <w:rFonts w:ascii="Times New Roman" w:cs="Times New Roman" w:eastAsia="Times New Roman" w:hAnsi="Times New Roman"/>
                  <w:sz w:val="10"/>
                  <w:szCs w:val="10"/>
                  <w:color w:val="0000FF"/>
                  <w:w w:val="95"/>
                </w:rPr>
                <w:t>Balance Sheets</w:t>
              </w:r>
            </w:hyperlink>
          </w:p>
        </w:tc>
        <w:tc>
          <w:tcPr>
            <w:tcW w:w="1680" w:type="dxa"/>
            <w:vAlign w:val="bottom"/>
            <w:tcBorders>
              <w:top w:val="single" w:sz="8" w:color="0000FF"/>
            </w:tcBorders>
            <w:gridSpan w:val="6"/>
          </w:tcPr>
          <w:p>
            <w:pPr>
              <w:spacing w:after="0"/>
              <w:rPr>
                <w:sz w:val="9"/>
                <w:szCs w:val="9"/>
                <w:color w:val="auto"/>
              </w:rPr>
            </w:pPr>
          </w:p>
        </w:tc>
        <w:tc>
          <w:tcPr>
            <w:tcW w:w="6060" w:type="dxa"/>
            <w:vAlign w:val="bottom"/>
            <w:gridSpan w:val="5"/>
          </w:tcPr>
          <w:p>
            <w:pPr>
              <w:spacing w:after="0"/>
              <w:rPr>
                <w:sz w:val="9"/>
                <w:szCs w:val="9"/>
                <w:color w:val="auto"/>
              </w:rPr>
            </w:pPr>
          </w:p>
        </w:tc>
        <w:tc>
          <w:tcPr>
            <w:tcW w:w="2280" w:type="dxa"/>
            <w:vAlign w:val="bottom"/>
          </w:tcPr>
          <w:p>
            <w:pPr>
              <w:ind w:left="2040"/>
              <w:spacing w:after="0" w:line="108" w:lineRule="exact"/>
              <w:rPr>
                <w:sz w:val="20"/>
                <w:szCs w:val="20"/>
                <w:color w:val="auto"/>
              </w:rPr>
            </w:pPr>
            <w:r>
              <w:rPr>
                <w:rFonts w:ascii="Times New Roman" w:cs="Times New Roman" w:eastAsia="Times New Roman" w:hAnsi="Times New Roman"/>
                <w:sz w:val="10"/>
                <w:szCs w:val="10"/>
                <w:color w:val="auto"/>
                <w:w w:val="91"/>
              </w:rPr>
              <w:t>F-128</w:t>
            </w:r>
          </w:p>
        </w:tc>
      </w:tr>
      <w:tr>
        <w:trPr>
          <w:trHeight w:val="108"/>
        </w:trPr>
        <w:tc>
          <w:tcPr>
            <w:tcW w:w="8340" w:type="dxa"/>
            <w:vAlign w:val="bottom"/>
            <w:gridSpan w:val="12"/>
          </w:tcPr>
          <w:p>
            <w:pPr>
              <w:spacing w:after="0" w:line="108" w:lineRule="exact"/>
              <w:rPr>
                <w:rFonts w:ascii="Times New Roman" w:cs="Times New Roman" w:eastAsia="Times New Roman" w:hAnsi="Times New Roman"/>
                <w:sz w:val="10"/>
                <w:szCs w:val="10"/>
                <w:color w:val="0000FF"/>
              </w:rPr>
            </w:pPr>
            <w:hyperlink w:anchor="page276">
              <w:r>
                <w:rPr>
                  <w:rFonts w:ascii="Times New Roman" w:cs="Times New Roman" w:eastAsia="Times New Roman" w:hAnsi="Times New Roman"/>
                  <w:sz w:val="10"/>
                  <w:szCs w:val="10"/>
                  <w:color w:val="0000FF"/>
                </w:rPr>
                <w:t>Statements of Operations</w:t>
              </w:r>
            </w:hyperlink>
          </w:p>
        </w:tc>
        <w:tc>
          <w:tcPr>
            <w:tcW w:w="2280" w:type="dxa"/>
            <w:vAlign w:val="bottom"/>
          </w:tcPr>
          <w:p>
            <w:pPr>
              <w:ind w:left="2040"/>
              <w:spacing w:after="0" w:line="108" w:lineRule="exact"/>
              <w:rPr>
                <w:sz w:val="20"/>
                <w:szCs w:val="20"/>
                <w:color w:val="auto"/>
              </w:rPr>
            </w:pPr>
            <w:r>
              <w:rPr>
                <w:rFonts w:ascii="Times New Roman" w:cs="Times New Roman" w:eastAsia="Times New Roman" w:hAnsi="Times New Roman"/>
                <w:sz w:val="10"/>
                <w:szCs w:val="10"/>
                <w:color w:val="auto"/>
                <w:w w:val="91"/>
              </w:rPr>
              <w:t>F-129</w:t>
            </w: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08"/>
        </w:trPr>
        <w:tc>
          <w:tcPr>
            <w:tcW w:w="8340" w:type="dxa"/>
            <w:vAlign w:val="bottom"/>
            <w:gridSpan w:val="12"/>
          </w:tcPr>
          <w:p>
            <w:pPr>
              <w:spacing w:after="0" w:line="108" w:lineRule="exact"/>
              <w:rPr>
                <w:rFonts w:ascii="Times New Roman" w:cs="Times New Roman" w:eastAsia="Times New Roman" w:hAnsi="Times New Roman"/>
                <w:sz w:val="10"/>
                <w:szCs w:val="10"/>
                <w:color w:val="0000FF"/>
              </w:rPr>
            </w:pPr>
            <w:hyperlink w:anchor="page277">
              <w:r>
                <w:rPr>
                  <w:rFonts w:ascii="Times New Roman" w:cs="Times New Roman" w:eastAsia="Times New Roman" w:hAnsi="Times New Roman"/>
                  <w:sz w:val="10"/>
                  <w:szCs w:val="10"/>
                  <w:color w:val="0000FF"/>
                </w:rPr>
                <w:t>Statements of Changes in Stockholders’ Equity (Deficit)</w:t>
              </w:r>
            </w:hyperlink>
          </w:p>
        </w:tc>
        <w:tc>
          <w:tcPr>
            <w:tcW w:w="2280" w:type="dxa"/>
            <w:vAlign w:val="bottom"/>
          </w:tcPr>
          <w:p>
            <w:pPr>
              <w:ind w:left="2040"/>
              <w:spacing w:after="0" w:line="108" w:lineRule="exact"/>
              <w:rPr>
                <w:sz w:val="20"/>
                <w:szCs w:val="20"/>
                <w:color w:val="auto"/>
              </w:rPr>
            </w:pPr>
            <w:r>
              <w:rPr>
                <w:rFonts w:ascii="Times New Roman" w:cs="Times New Roman" w:eastAsia="Times New Roman" w:hAnsi="Times New Roman"/>
                <w:sz w:val="10"/>
                <w:szCs w:val="10"/>
                <w:color w:val="auto"/>
                <w:w w:val="91"/>
              </w:rPr>
              <w:t>F-130</w:t>
            </w:r>
          </w:p>
        </w:tc>
      </w:tr>
      <w:tr>
        <w:trPr>
          <w:trHeight w:val="108"/>
        </w:trPr>
        <w:tc>
          <w:tcPr>
            <w:tcW w:w="1020" w:type="dxa"/>
            <w:vAlign w:val="bottom"/>
            <w:tcBorders>
              <w:top w:val="single" w:sz="8" w:color="0000FF"/>
              <w:bottom w:val="single" w:sz="8" w:color="0000FF"/>
            </w:tcBorders>
            <w:gridSpan w:val="3"/>
          </w:tcPr>
          <w:p>
            <w:pPr>
              <w:spacing w:after="0" w:line="108" w:lineRule="exact"/>
              <w:rPr>
                <w:rFonts w:ascii="Times New Roman" w:cs="Times New Roman" w:eastAsia="Times New Roman" w:hAnsi="Times New Roman"/>
                <w:sz w:val="10"/>
                <w:szCs w:val="10"/>
                <w:color w:val="0000FF"/>
                <w:w w:val="95"/>
              </w:rPr>
            </w:pPr>
            <w:hyperlink w:anchor="page278">
              <w:r>
                <w:rPr>
                  <w:rFonts w:ascii="Times New Roman" w:cs="Times New Roman" w:eastAsia="Times New Roman" w:hAnsi="Times New Roman"/>
                  <w:sz w:val="10"/>
                  <w:szCs w:val="10"/>
                  <w:color w:val="0000FF"/>
                  <w:w w:val="95"/>
                </w:rPr>
                <w:t>Statements of Cash Flows</w:t>
              </w:r>
            </w:hyperlink>
          </w:p>
        </w:tc>
        <w:tc>
          <w:tcPr>
            <w:tcW w:w="1180" w:type="dxa"/>
            <w:vAlign w:val="bottom"/>
            <w:tcBorders>
              <w:top w:val="single" w:sz="8" w:color="0000FF"/>
            </w:tcBorders>
            <w:gridSpan w:val="3"/>
          </w:tcPr>
          <w:p>
            <w:pPr>
              <w:spacing w:after="0"/>
              <w:rPr>
                <w:sz w:val="9"/>
                <w:szCs w:val="9"/>
                <w:color w:val="auto"/>
              </w:rPr>
            </w:pPr>
          </w:p>
        </w:tc>
        <w:tc>
          <w:tcPr>
            <w:tcW w:w="6140" w:type="dxa"/>
            <w:vAlign w:val="bottom"/>
            <w:gridSpan w:val="6"/>
          </w:tcPr>
          <w:p>
            <w:pPr>
              <w:spacing w:after="0"/>
              <w:rPr>
                <w:sz w:val="9"/>
                <w:szCs w:val="9"/>
                <w:color w:val="auto"/>
              </w:rPr>
            </w:pPr>
          </w:p>
        </w:tc>
        <w:tc>
          <w:tcPr>
            <w:tcW w:w="2280" w:type="dxa"/>
            <w:vAlign w:val="bottom"/>
          </w:tcPr>
          <w:p>
            <w:pPr>
              <w:ind w:left="2040"/>
              <w:spacing w:after="0" w:line="108" w:lineRule="exact"/>
              <w:rPr>
                <w:sz w:val="20"/>
                <w:szCs w:val="20"/>
                <w:color w:val="auto"/>
              </w:rPr>
            </w:pPr>
            <w:r>
              <w:rPr>
                <w:rFonts w:ascii="Times New Roman" w:cs="Times New Roman" w:eastAsia="Times New Roman" w:hAnsi="Times New Roman"/>
                <w:sz w:val="10"/>
                <w:szCs w:val="10"/>
                <w:color w:val="auto"/>
                <w:w w:val="91"/>
              </w:rPr>
              <w:t>F-131</w:t>
            </w:r>
          </w:p>
        </w:tc>
      </w:tr>
      <w:tr>
        <w:trPr>
          <w:trHeight w:val="108"/>
        </w:trPr>
        <w:tc>
          <w:tcPr>
            <w:tcW w:w="8340" w:type="dxa"/>
            <w:vAlign w:val="bottom"/>
            <w:gridSpan w:val="12"/>
          </w:tcPr>
          <w:p>
            <w:pPr>
              <w:spacing w:after="0" w:line="108" w:lineRule="exact"/>
              <w:rPr>
                <w:rFonts w:ascii="Times New Roman" w:cs="Times New Roman" w:eastAsia="Times New Roman" w:hAnsi="Times New Roman"/>
                <w:sz w:val="10"/>
                <w:szCs w:val="10"/>
                <w:color w:val="0000FF"/>
              </w:rPr>
            </w:pPr>
            <w:hyperlink w:anchor="page279">
              <w:r>
                <w:rPr>
                  <w:rFonts w:ascii="Times New Roman" w:cs="Times New Roman" w:eastAsia="Times New Roman" w:hAnsi="Times New Roman"/>
                  <w:sz w:val="10"/>
                  <w:szCs w:val="10"/>
                  <w:color w:val="0000FF"/>
                </w:rPr>
                <w:t>Notes to Financial Statements</w:t>
              </w:r>
            </w:hyperlink>
          </w:p>
        </w:tc>
        <w:tc>
          <w:tcPr>
            <w:tcW w:w="2280" w:type="dxa"/>
            <w:vAlign w:val="bottom"/>
          </w:tcPr>
          <w:p>
            <w:pPr>
              <w:ind w:left="2040"/>
              <w:spacing w:after="0" w:line="108" w:lineRule="exact"/>
              <w:rPr>
                <w:sz w:val="20"/>
                <w:szCs w:val="20"/>
                <w:color w:val="auto"/>
              </w:rPr>
            </w:pPr>
            <w:r>
              <w:rPr>
                <w:rFonts w:ascii="Times New Roman" w:cs="Times New Roman" w:eastAsia="Times New Roman" w:hAnsi="Times New Roman"/>
                <w:sz w:val="10"/>
                <w:szCs w:val="10"/>
                <w:color w:val="auto"/>
                <w:w w:val="91"/>
              </w:rPr>
              <w:t>F-132</w:t>
            </w:r>
          </w:p>
        </w:tc>
      </w:tr>
      <w:tr>
        <w:trPr>
          <w:trHeight w:val="353"/>
        </w:trPr>
        <w:tc>
          <w:tcPr>
            <w:tcW w:w="6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jc w:val="center"/>
              <w:ind w:right="2711"/>
              <w:spacing w:after="0"/>
              <w:rPr>
                <w:sz w:val="20"/>
                <w:szCs w:val="20"/>
                <w:color w:val="auto"/>
              </w:rPr>
            </w:pPr>
            <w:r>
              <w:rPr>
                <w:rFonts w:ascii="Times New Roman" w:cs="Times New Roman" w:eastAsia="Times New Roman" w:hAnsi="Times New Roman"/>
                <w:sz w:val="10"/>
                <w:szCs w:val="10"/>
                <w:color w:val="auto"/>
              </w:rPr>
              <w:t>F-2</w:t>
            </w:r>
          </w:p>
        </w:tc>
        <w:tc>
          <w:tcPr>
            <w:tcW w:w="2280" w:type="dxa"/>
            <w:vAlign w:val="bottom"/>
          </w:tcPr>
          <w:p>
            <w:pPr>
              <w:spacing w:after="0"/>
              <w:rPr>
                <w:sz w:val="24"/>
                <w:szCs w:val="24"/>
                <w:color w:val="auto"/>
              </w:rPr>
            </w:pPr>
          </w:p>
        </w:tc>
      </w:tr>
      <w:tr>
        <w:trPr>
          <w:trHeight w:val="422"/>
        </w:trPr>
        <w:tc>
          <w:tcPr>
            <w:tcW w:w="60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3300" w:type="dxa"/>
            <w:vAlign w:val="bottom"/>
            <w:tcBorders>
              <w:bottom w:val="single" w:sz="8" w:color="EEEEEE"/>
            </w:tcBorders>
          </w:tcPr>
          <w:p>
            <w:pPr>
              <w:spacing w:after="0"/>
              <w:rPr>
                <w:sz w:val="24"/>
                <w:szCs w:val="24"/>
                <w:color w:val="auto"/>
              </w:rPr>
            </w:pPr>
          </w:p>
        </w:tc>
        <w:tc>
          <w:tcPr>
            <w:tcW w:w="22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3" w:right="6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600" w:type="dxa"/>
            <w:vAlign w:val="bottom"/>
          </w:tcPr>
          <w:p>
            <w:pPr>
              <w:spacing w:after="0"/>
              <w:rPr>
                <w:sz w:val="8"/>
                <w:szCs w:val="8"/>
                <w:color w:val="auto"/>
              </w:rPr>
            </w:pP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8"/>
        </w:trPr>
        <w:tc>
          <w:tcPr>
            <w:tcW w:w="6600" w:type="dxa"/>
            <w:vAlign w:val="bottom"/>
          </w:tcPr>
          <w:p>
            <w:pPr>
              <w:spacing w:after="0"/>
              <w:rPr>
                <w:sz w:val="9"/>
                <w:szCs w:val="9"/>
                <w:color w:val="auto"/>
              </w:rPr>
            </w:pPr>
          </w:p>
        </w:tc>
        <w:tc>
          <w:tcPr>
            <w:tcW w:w="1320" w:type="dxa"/>
            <w:vAlign w:val="bottom"/>
          </w:tcPr>
          <w:p>
            <w:pPr>
              <w:jc w:val="center"/>
              <w:ind w:left="539"/>
              <w:spacing w:after="0"/>
              <w:rPr>
                <w:sz w:val="20"/>
                <w:szCs w:val="20"/>
                <w:color w:val="auto"/>
              </w:rPr>
            </w:pPr>
            <w:r>
              <w:rPr>
                <w:rFonts w:ascii="Times New Roman" w:cs="Times New Roman" w:eastAsia="Times New Roman" w:hAnsi="Times New Roman"/>
                <w:sz w:val="8"/>
                <w:szCs w:val="8"/>
                <w:b w:val="1"/>
                <w:bCs w:val="1"/>
                <w:i w:val="1"/>
                <w:iCs w:val="1"/>
                <w:color w:val="auto"/>
              </w:rPr>
              <w:t>(Unaudited)</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3"/>
        </w:trPr>
        <w:tc>
          <w:tcPr>
            <w:tcW w:w="7920" w:type="dxa"/>
            <w:vAlign w:val="bottom"/>
            <w:gridSpan w:val="2"/>
          </w:tcPr>
          <w:p>
            <w:pPr>
              <w:jc w:val="center"/>
              <w:ind w:left="711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tcPr>
          <w:p>
            <w:pPr>
              <w:jc w:val="right"/>
              <w:ind w:right="832"/>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r>
      <w:tr>
        <w:trPr>
          <w:trHeight w:val="123"/>
        </w:trPr>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0"/>
        </w:trPr>
        <w:tc>
          <w:tcPr>
            <w:tcW w:w="7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79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Cash</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60,298</w:t>
            </w:r>
          </w:p>
        </w:tc>
        <w:tc>
          <w:tcPr>
            <w:tcW w:w="220" w:type="dxa"/>
            <w:vAlign w:val="bottom"/>
            <w:shd w:val="clear" w:color="auto" w:fill="CFF0FC"/>
          </w:tcPr>
          <w:p>
            <w:pPr>
              <w:spacing w:after="0"/>
              <w:rPr>
                <w:sz w:val="10"/>
                <w:szCs w:val="10"/>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10,441</w:t>
            </w:r>
          </w:p>
        </w:tc>
        <w:tc>
          <w:tcPr>
            <w:tcW w:w="100" w:type="dxa"/>
            <w:vAlign w:val="bottom"/>
            <w:shd w:val="clear" w:color="auto" w:fill="CFF0FC"/>
          </w:tcPr>
          <w:p>
            <w:pPr>
              <w:spacing w:after="0"/>
              <w:rPr>
                <w:sz w:val="10"/>
                <w:szCs w:val="10"/>
                <w:color w:val="auto"/>
              </w:rPr>
            </w:pPr>
          </w:p>
        </w:tc>
      </w:tr>
      <w:tr>
        <w:trPr>
          <w:trHeight w:val="120"/>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Accounts receivable</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11,434</w:t>
            </w:r>
          </w:p>
        </w:tc>
        <w:tc>
          <w:tcPr>
            <w:tcW w:w="220" w:type="dxa"/>
            <w:vAlign w:val="bottom"/>
          </w:tcPr>
          <w:p>
            <w:pPr>
              <w:spacing w:after="0"/>
              <w:rPr>
                <w:sz w:val="10"/>
                <w:szCs w:val="1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12,534</w:t>
            </w:r>
          </w:p>
        </w:tc>
        <w:tc>
          <w:tcPr>
            <w:tcW w:w="100" w:type="dxa"/>
            <w:vAlign w:val="bottom"/>
          </w:tcPr>
          <w:p>
            <w:pPr>
              <w:spacing w:after="0"/>
              <w:rPr>
                <w:sz w:val="10"/>
                <w:szCs w:val="10"/>
                <w:color w:val="auto"/>
              </w:rPr>
            </w:pPr>
          </w:p>
        </w:tc>
      </w:tr>
      <w:tr>
        <w:trPr>
          <w:trHeight w:val="120"/>
        </w:trPr>
        <w:tc>
          <w:tcPr>
            <w:tcW w:w="79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Prepayments and other current assets</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430,691</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299,013</w:t>
            </w:r>
          </w:p>
        </w:tc>
      </w:tr>
      <w:tr>
        <w:trPr>
          <w:trHeight w:val="120"/>
        </w:trPr>
        <w:tc>
          <w:tcPr>
            <w:tcW w:w="7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502,423</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321,988</w:t>
            </w:r>
          </w:p>
        </w:tc>
      </w:tr>
      <w:tr>
        <w:trPr>
          <w:trHeight w:val="120"/>
        </w:trPr>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Non-current assets</w:t>
            </w: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0"/>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61,542</w:t>
            </w:r>
          </w:p>
        </w:tc>
        <w:tc>
          <w:tcPr>
            <w:tcW w:w="220" w:type="dxa"/>
            <w:vAlign w:val="bottom"/>
          </w:tcPr>
          <w:p>
            <w:pPr>
              <w:spacing w:after="0"/>
              <w:rPr>
                <w:sz w:val="10"/>
                <w:szCs w:val="1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79,593</w:t>
            </w:r>
          </w:p>
        </w:tc>
        <w:tc>
          <w:tcPr>
            <w:tcW w:w="100" w:type="dxa"/>
            <w:vAlign w:val="bottom"/>
          </w:tcPr>
          <w:p>
            <w:pPr>
              <w:spacing w:after="0"/>
              <w:rPr>
                <w:sz w:val="10"/>
                <w:szCs w:val="10"/>
                <w:color w:val="auto"/>
              </w:rPr>
            </w:pPr>
          </w:p>
        </w:tc>
      </w:tr>
      <w:tr>
        <w:trPr>
          <w:trHeight w:val="120"/>
        </w:trPr>
        <w:tc>
          <w:tcPr>
            <w:tcW w:w="79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Intangible assets, net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3,396,489</w:t>
            </w:r>
          </w:p>
        </w:tc>
        <w:tc>
          <w:tcPr>
            <w:tcW w:w="220" w:type="dxa"/>
            <w:vAlign w:val="bottom"/>
            <w:shd w:val="clear" w:color="auto" w:fill="CFF0FC"/>
          </w:tcPr>
          <w:p>
            <w:pPr>
              <w:spacing w:after="0"/>
              <w:rPr>
                <w:sz w:val="10"/>
                <w:szCs w:val="10"/>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2,134,903</w:t>
            </w:r>
          </w:p>
        </w:tc>
        <w:tc>
          <w:tcPr>
            <w:tcW w:w="100" w:type="dxa"/>
            <w:vAlign w:val="bottom"/>
            <w:shd w:val="clear" w:color="auto" w:fill="CFF0FC"/>
          </w:tcPr>
          <w:p>
            <w:pPr>
              <w:spacing w:after="0"/>
              <w:rPr>
                <w:sz w:val="10"/>
                <w:szCs w:val="10"/>
                <w:color w:val="auto"/>
              </w:rPr>
            </w:pPr>
          </w:p>
        </w:tc>
      </w:tr>
      <w:tr>
        <w:trPr>
          <w:trHeight w:val="120"/>
        </w:trPr>
        <w:tc>
          <w:tcPr>
            <w:tcW w:w="7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3,458,031</w:t>
            </w:r>
          </w:p>
        </w:tc>
        <w:tc>
          <w:tcPr>
            <w:tcW w:w="220" w:type="dxa"/>
            <w:vAlign w:val="bottom"/>
          </w:tcPr>
          <w:p>
            <w:pPr>
              <w:spacing w:after="0"/>
              <w:rPr>
                <w:sz w:val="10"/>
                <w:szCs w:val="1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2,214,496</w:t>
            </w:r>
          </w:p>
        </w:tc>
        <w:tc>
          <w:tcPr>
            <w:tcW w:w="100" w:type="dxa"/>
            <w:vAlign w:val="bottom"/>
          </w:tcPr>
          <w:p>
            <w:pPr>
              <w:spacing w:after="0"/>
              <w:rPr>
                <w:sz w:val="10"/>
                <w:szCs w:val="10"/>
                <w:color w:val="auto"/>
              </w:rPr>
            </w:pPr>
          </w:p>
        </w:tc>
      </w:tr>
      <w:tr>
        <w:trPr>
          <w:trHeight w:val="12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32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3,960,454</w:t>
            </w:r>
          </w:p>
        </w:tc>
        <w:tc>
          <w:tcPr>
            <w:tcW w:w="220" w:type="dxa"/>
            <w:vAlign w:val="bottom"/>
            <w:tcBorders>
              <w:bottom w:val="single" w:sz="8" w:color="CFF0FC"/>
            </w:tcBorders>
            <w:shd w:val="clear" w:color="auto" w:fill="CFF0FC"/>
          </w:tcPr>
          <w:p>
            <w:pPr>
              <w:spacing w:after="0"/>
              <w:rPr>
                <w:sz w:val="10"/>
                <w:szCs w:val="1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2,536,484</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7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Liabilities and Stockholders’ deficit</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0"/>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Accounts payable</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4,055,537</w:t>
            </w:r>
          </w:p>
        </w:tc>
        <w:tc>
          <w:tcPr>
            <w:tcW w:w="220" w:type="dxa"/>
            <w:vAlign w:val="bottom"/>
          </w:tcPr>
          <w:p>
            <w:pPr>
              <w:spacing w:after="0"/>
              <w:rPr>
                <w:sz w:val="10"/>
                <w:szCs w:val="1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4,569,703</w:t>
            </w:r>
          </w:p>
        </w:tc>
        <w:tc>
          <w:tcPr>
            <w:tcW w:w="100" w:type="dxa"/>
            <w:vAlign w:val="bottom"/>
          </w:tcPr>
          <w:p>
            <w:pPr>
              <w:spacing w:after="0"/>
              <w:rPr>
                <w:sz w:val="10"/>
                <w:szCs w:val="10"/>
                <w:color w:val="auto"/>
              </w:rPr>
            </w:pPr>
          </w:p>
        </w:tc>
      </w:tr>
      <w:tr>
        <w:trPr>
          <w:trHeight w:val="120"/>
        </w:trPr>
        <w:tc>
          <w:tcPr>
            <w:tcW w:w="79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Due to related party</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1,093,471</w:t>
            </w:r>
          </w:p>
        </w:tc>
        <w:tc>
          <w:tcPr>
            <w:tcW w:w="220" w:type="dxa"/>
            <w:vAlign w:val="bottom"/>
            <w:shd w:val="clear" w:color="auto" w:fill="CFF0FC"/>
          </w:tcPr>
          <w:p>
            <w:pPr>
              <w:spacing w:after="0"/>
              <w:rPr>
                <w:sz w:val="10"/>
                <w:szCs w:val="10"/>
                <w:color w:val="auto"/>
              </w:rPr>
            </w:pP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777,576</w:t>
            </w:r>
          </w:p>
        </w:tc>
      </w:tr>
      <w:tr>
        <w:trPr>
          <w:trHeight w:val="120"/>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Accrued expenses and other payables</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4,708,590</w:t>
            </w:r>
          </w:p>
        </w:tc>
        <w:tc>
          <w:tcPr>
            <w:tcW w:w="220" w:type="dxa"/>
            <w:vAlign w:val="bottom"/>
          </w:tcPr>
          <w:p>
            <w:pPr>
              <w:spacing w:after="0"/>
              <w:rPr>
                <w:sz w:val="10"/>
                <w:szCs w:val="1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4,492,790</w:t>
            </w:r>
          </w:p>
        </w:tc>
        <w:tc>
          <w:tcPr>
            <w:tcW w:w="100" w:type="dxa"/>
            <w:vAlign w:val="bottom"/>
          </w:tcPr>
          <w:p>
            <w:pPr>
              <w:spacing w:after="0"/>
              <w:rPr>
                <w:sz w:val="10"/>
                <w:szCs w:val="10"/>
                <w:color w:val="auto"/>
              </w:rPr>
            </w:pPr>
          </w:p>
        </w:tc>
      </w:tr>
      <w:tr>
        <w:trPr>
          <w:trHeight w:val="120"/>
        </w:trPr>
        <w:tc>
          <w:tcPr>
            <w:tcW w:w="79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Ordinary shares payable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10,236,655</w:t>
            </w:r>
          </w:p>
        </w:tc>
        <w:tc>
          <w:tcPr>
            <w:tcW w:w="220" w:type="dxa"/>
            <w:vAlign w:val="bottom"/>
            <w:shd w:val="clear" w:color="auto" w:fill="CFF0FC"/>
          </w:tcPr>
          <w:p>
            <w:pPr>
              <w:spacing w:after="0"/>
              <w:rPr>
                <w:sz w:val="10"/>
                <w:szCs w:val="10"/>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8,223,928</w:t>
            </w:r>
          </w:p>
        </w:tc>
        <w:tc>
          <w:tcPr>
            <w:tcW w:w="100" w:type="dxa"/>
            <w:vAlign w:val="bottom"/>
            <w:shd w:val="clear" w:color="auto" w:fill="CFF0FC"/>
          </w:tcPr>
          <w:p>
            <w:pPr>
              <w:spacing w:after="0"/>
              <w:rPr>
                <w:sz w:val="10"/>
                <w:szCs w:val="10"/>
                <w:color w:val="auto"/>
              </w:rPr>
            </w:pPr>
          </w:p>
        </w:tc>
      </w:tr>
      <w:tr>
        <w:trPr>
          <w:trHeight w:val="120"/>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132,269</w:t>
            </w:r>
          </w:p>
        </w:tc>
      </w:tr>
      <w:tr>
        <w:trPr>
          <w:trHeight w:val="120"/>
        </w:trPr>
        <w:tc>
          <w:tcPr>
            <w:tcW w:w="79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Short term debt to related party</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860,778</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6,225,815</w:t>
            </w:r>
          </w:p>
        </w:tc>
        <w:tc>
          <w:tcPr>
            <w:tcW w:w="100" w:type="dxa"/>
            <w:vAlign w:val="bottom"/>
            <w:shd w:val="clear" w:color="auto" w:fill="CFF0FC"/>
          </w:tcPr>
          <w:p>
            <w:pPr>
              <w:spacing w:after="0"/>
              <w:rPr>
                <w:sz w:val="10"/>
                <w:szCs w:val="10"/>
                <w:color w:val="auto"/>
              </w:rPr>
            </w:pPr>
          </w:p>
        </w:tc>
      </w:tr>
      <w:tr>
        <w:trPr>
          <w:trHeight w:val="120"/>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Share-based payment liability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1,383,298</w:t>
            </w:r>
          </w:p>
        </w:tc>
        <w:tc>
          <w:tcPr>
            <w:tcW w:w="220" w:type="dxa"/>
            <w:vAlign w:val="bottom"/>
          </w:tcPr>
          <w:p>
            <w:pPr>
              <w:spacing w:after="0"/>
              <w:rPr>
                <w:sz w:val="10"/>
                <w:szCs w:val="1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1,311,028</w:t>
            </w:r>
          </w:p>
        </w:tc>
        <w:tc>
          <w:tcPr>
            <w:tcW w:w="100" w:type="dxa"/>
            <w:vAlign w:val="bottom"/>
          </w:tcPr>
          <w:p>
            <w:pPr>
              <w:spacing w:after="0"/>
              <w:rPr>
                <w:sz w:val="10"/>
                <w:szCs w:val="10"/>
                <w:color w:val="auto"/>
              </w:rPr>
            </w:pPr>
          </w:p>
        </w:tc>
      </w:tr>
      <w:tr>
        <w:trPr>
          <w:trHeight w:val="120"/>
        </w:trPr>
        <w:tc>
          <w:tcPr>
            <w:tcW w:w="79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Promissory loan note</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437,956</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Convertible debt (current)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31,088,259</w:t>
            </w:r>
          </w:p>
        </w:tc>
        <w:tc>
          <w:tcPr>
            <w:tcW w:w="100" w:type="dxa"/>
            <w:vAlign w:val="bottom"/>
          </w:tcPr>
          <w:p>
            <w:pPr>
              <w:spacing w:after="0"/>
              <w:rPr>
                <w:sz w:val="10"/>
                <w:szCs w:val="10"/>
                <w:color w:val="auto"/>
              </w:rPr>
            </w:pPr>
          </w:p>
        </w:tc>
      </w:tr>
      <w:tr>
        <w:trPr>
          <w:trHeight w:val="120"/>
        </w:trPr>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22,776,285</w:t>
            </w:r>
          </w:p>
        </w:tc>
        <w:tc>
          <w:tcPr>
            <w:tcW w:w="220" w:type="dxa"/>
            <w:vAlign w:val="bottom"/>
            <w:shd w:val="clear" w:color="auto" w:fill="CFF0FC"/>
          </w:tcPr>
          <w:p>
            <w:pPr>
              <w:spacing w:after="0"/>
              <w:rPr>
                <w:sz w:val="10"/>
                <w:szCs w:val="10"/>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shd w:val="clear" w:color="auto" w:fill="CFF0FC"/>
          </w:tcPr>
          <w:p>
            <w:pPr>
              <w:spacing w:after="0"/>
              <w:rPr>
                <w:sz w:val="10"/>
                <w:szCs w:val="10"/>
                <w:color w:val="auto"/>
              </w:rPr>
            </w:pPr>
          </w:p>
        </w:tc>
      </w:tr>
      <w:tr>
        <w:trPr>
          <w:trHeight w:val="120"/>
        </w:trPr>
        <w:tc>
          <w:tcPr>
            <w:tcW w:w="7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Non-current liabilities</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79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 xml:space="preserve">Convertible debt </w:t>
            </w:r>
            <w:r>
              <w:rPr>
                <w:rFonts w:ascii="Times New Roman" w:cs="Times New Roman" w:eastAsia="Times New Roman" w:hAnsi="Times New Roman"/>
                <w:sz w:val="10"/>
                <w:szCs w:val="10"/>
                <w:i w:val="1"/>
                <w:iCs w:val="1"/>
                <w:color w:val="auto"/>
              </w:rPr>
              <w:t>(includes related party balances of $6,291,581)</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38,737,594</w:t>
            </w:r>
          </w:p>
        </w:tc>
        <w:tc>
          <w:tcPr>
            <w:tcW w:w="220" w:type="dxa"/>
            <w:vAlign w:val="bottom"/>
            <w:shd w:val="clear" w:color="auto" w:fill="CFF0FC"/>
          </w:tcPr>
          <w:p>
            <w:pPr>
              <w:spacing w:after="0"/>
              <w:rPr>
                <w:sz w:val="10"/>
                <w:szCs w:val="10"/>
                <w:color w:val="auto"/>
              </w:rPr>
            </w:pP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79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 xml:space="preserve">Convertible promissory notes </w:t>
            </w:r>
            <w:r>
              <w:rPr>
                <w:rFonts w:ascii="Times New Roman" w:cs="Times New Roman" w:eastAsia="Times New Roman" w:hAnsi="Times New Roman"/>
                <w:sz w:val="10"/>
                <w:szCs w:val="10"/>
                <w:i w:val="1"/>
                <w:iCs w:val="1"/>
                <w:color w:val="auto"/>
              </w:rPr>
              <w:t>(includes related party balances of $1,565,007)</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5,395,702</w:t>
            </w:r>
          </w:p>
        </w:tc>
        <w:tc>
          <w:tcPr>
            <w:tcW w:w="220" w:type="dxa"/>
            <w:vAlign w:val="bottom"/>
          </w:tcPr>
          <w:p>
            <w:pPr>
              <w:spacing w:after="0"/>
              <w:rPr>
                <w:sz w:val="10"/>
                <w:szCs w:val="10"/>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44,133,296</w:t>
            </w:r>
          </w:p>
        </w:tc>
        <w:tc>
          <w:tcPr>
            <w:tcW w:w="220" w:type="dxa"/>
            <w:vAlign w:val="bottom"/>
            <w:shd w:val="clear" w:color="auto" w:fill="CFF0FC"/>
          </w:tcPr>
          <w:p>
            <w:pPr>
              <w:spacing w:after="0"/>
              <w:rPr>
                <w:sz w:val="10"/>
                <w:szCs w:val="10"/>
                <w:color w:val="auto"/>
              </w:rPr>
            </w:pP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0"/>
        </w:trPr>
        <w:tc>
          <w:tcPr>
            <w:tcW w:w="7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66,909,581</w:t>
            </w:r>
          </w:p>
        </w:tc>
        <w:tc>
          <w:tcPr>
            <w:tcW w:w="220" w:type="dxa"/>
            <w:vAlign w:val="bottom"/>
          </w:tcPr>
          <w:p>
            <w:pPr>
              <w:spacing w:after="0"/>
              <w:rPr>
                <w:sz w:val="10"/>
                <w:szCs w:val="1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tcPr>
          <w:p>
            <w:pPr>
              <w:spacing w:after="0"/>
              <w:rPr>
                <w:sz w:val="10"/>
                <w:szCs w:val="10"/>
                <w:color w:val="auto"/>
              </w:rPr>
            </w:pPr>
          </w:p>
        </w:tc>
      </w:tr>
      <w:tr>
        <w:trPr>
          <w:trHeight w:val="12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Commitments and contingencies</w:t>
            </w:r>
          </w:p>
        </w:tc>
        <w:tc>
          <w:tcPr>
            <w:tcW w:w="13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66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40" w:type="dxa"/>
            <w:vAlign w:val="bottom"/>
          </w:tcPr>
          <w:p>
            <w:pPr>
              <w:spacing w:after="0"/>
              <w:rPr>
                <w:sz w:val="8"/>
                <w:szCs w:val="8"/>
                <w:color w:val="auto"/>
              </w:rPr>
            </w:pPr>
          </w:p>
        </w:tc>
        <w:tc>
          <w:tcPr>
            <w:tcW w:w="160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20" w:type="dxa"/>
            <w:vAlign w:val="bottom"/>
          </w:tcPr>
          <w:p>
            <w:pPr>
              <w:spacing w:after="0"/>
              <w:rPr>
                <w:sz w:val="8"/>
                <w:szCs w:val="8"/>
                <w:color w:val="auto"/>
              </w:rPr>
            </w:pPr>
          </w:p>
        </w:tc>
      </w:tr>
      <w:tr>
        <w:trPr>
          <w:trHeight w:val="108"/>
        </w:trPr>
        <w:tc>
          <w:tcPr>
            <w:tcW w:w="7120" w:type="dxa"/>
            <w:vAlign w:val="bottom"/>
          </w:tcPr>
          <w:p>
            <w:pPr>
              <w:spacing w:after="0"/>
              <w:rPr>
                <w:sz w:val="9"/>
                <w:szCs w:val="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2024</w:t>
            </w:r>
          </w:p>
        </w:tc>
        <w:tc>
          <w:tcPr>
            <w:tcW w:w="1840" w:type="dxa"/>
            <w:vAlign w:val="bottom"/>
            <w:gridSpan w:val="2"/>
          </w:tcPr>
          <w:p>
            <w:pPr>
              <w:jc w:val="right"/>
              <w:ind w:right="67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Pr>
          <w:p>
            <w:pPr>
              <w:spacing w:after="0"/>
              <w:rPr>
                <w:sz w:val="9"/>
                <w:szCs w:val="9"/>
                <w:color w:val="auto"/>
              </w:rPr>
            </w:pPr>
          </w:p>
        </w:tc>
      </w:tr>
      <w:tr>
        <w:trPr>
          <w:trHeight w:val="115"/>
        </w:trPr>
        <w:tc>
          <w:tcPr>
            <w:tcW w:w="712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840" w:type="dxa"/>
            <w:vAlign w:val="bottom"/>
            <w:gridSpan w:val="2"/>
          </w:tcPr>
          <w:p>
            <w:pPr>
              <w:jc w:val="right"/>
              <w:ind w:right="734"/>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10"/>
                <w:szCs w:val="10"/>
                <w:color w:val="auto"/>
              </w:rPr>
            </w:pPr>
          </w:p>
        </w:tc>
      </w:tr>
      <w:tr>
        <w:trPr>
          <w:trHeight w:val="118"/>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Shareholders’ deficit</w:t>
            </w:r>
          </w:p>
        </w:tc>
        <w:tc>
          <w:tcPr>
            <w:tcW w:w="15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13"/>
        </w:trPr>
        <w:tc>
          <w:tcPr>
            <w:tcW w:w="7120" w:type="dxa"/>
            <w:vAlign w:val="bottom"/>
          </w:tcPr>
          <w:p>
            <w:pPr>
              <w:ind w:left="120"/>
              <w:spacing w:after="0" w:line="114" w:lineRule="exact"/>
              <w:rPr>
                <w:sz w:val="20"/>
                <w:szCs w:val="20"/>
                <w:color w:val="auto"/>
              </w:rPr>
            </w:pPr>
            <w:r>
              <w:rPr>
                <w:rFonts w:ascii="Times New Roman" w:cs="Times New Roman" w:eastAsia="Times New Roman" w:hAnsi="Times New Roman"/>
                <w:sz w:val="10"/>
                <w:szCs w:val="10"/>
                <w:color w:val="auto"/>
              </w:rPr>
              <w:t>Common stock, £0.0001 nominal value 932,997,081 issued and outstanding as</w:t>
            </w: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6"/>
        </w:trPr>
        <w:tc>
          <w:tcPr>
            <w:tcW w:w="71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of June 30, 2024 932,969,424 issued and outstanding as of December 31,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120" w:type="dxa"/>
            <w:vAlign w:val="bottom"/>
          </w:tcPr>
          <w:p>
            <w:pPr>
              <w:spacing w:after="0"/>
              <w:rPr>
                <w:sz w:val="10"/>
                <w:szCs w:val="10"/>
                <w:color w:val="auto"/>
              </w:rPr>
            </w:pPr>
          </w:p>
        </w:tc>
      </w:tr>
      <w:tr>
        <w:trPr>
          <w:trHeight w:val="128"/>
        </w:trPr>
        <w:tc>
          <w:tcPr>
            <w:tcW w:w="7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Series stock series A, £0.0001 nominal value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120" w:type="dxa"/>
            <w:vAlign w:val="bottom"/>
            <w:shd w:val="clear" w:color="auto" w:fill="CFF0FC"/>
          </w:tcPr>
          <w:p>
            <w:pPr>
              <w:spacing w:after="0"/>
              <w:rPr>
                <w:sz w:val="11"/>
                <w:szCs w:val="11"/>
                <w:color w:val="auto"/>
              </w:rPr>
            </w:pPr>
          </w:p>
        </w:tc>
      </w:tr>
      <w:tr>
        <w:trPr>
          <w:trHeight w:val="127"/>
        </w:trPr>
        <w:tc>
          <w:tcPr>
            <w:tcW w:w="71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176,274,941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172,204,832</w:t>
            </w:r>
          </w:p>
        </w:tc>
        <w:tc>
          <w:tcPr>
            <w:tcW w:w="120" w:type="dxa"/>
            <w:vAlign w:val="bottom"/>
          </w:tcPr>
          <w:p>
            <w:pPr>
              <w:spacing w:after="0"/>
              <w:rPr>
                <w:sz w:val="11"/>
                <w:szCs w:val="11"/>
                <w:color w:val="auto"/>
              </w:rPr>
            </w:pPr>
          </w:p>
        </w:tc>
      </w:tr>
      <w:tr>
        <w:trPr>
          <w:trHeight w:val="128"/>
        </w:trPr>
        <w:tc>
          <w:tcPr>
            <w:tcW w:w="7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Stock subscription receivable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(178,720)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(178,720)</w:t>
            </w:r>
          </w:p>
        </w:tc>
        <w:tc>
          <w:tcPr>
            <w:tcW w:w="120" w:type="dxa"/>
            <w:vAlign w:val="bottom"/>
            <w:shd w:val="clear" w:color="auto" w:fill="CFF0FC"/>
          </w:tcPr>
          <w:p>
            <w:pPr>
              <w:spacing w:after="0"/>
              <w:rPr>
                <w:sz w:val="11"/>
                <w:szCs w:val="11"/>
                <w:color w:val="auto"/>
              </w:rPr>
            </w:pPr>
          </w:p>
        </w:tc>
      </w:tr>
      <w:tr>
        <w:trPr>
          <w:trHeight w:val="127"/>
        </w:trPr>
        <w:tc>
          <w:tcPr>
            <w:tcW w:w="71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Accumulated deficit</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(239,133,876)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(226,291,430)</w:t>
            </w:r>
          </w:p>
        </w:tc>
        <w:tc>
          <w:tcPr>
            <w:tcW w:w="120" w:type="dxa"/>
            <w:vAlign w:val="bottom"/>
          </w:tcPr>
          <w:p>
            <w:pPr>
              <w:spacing w:after="0"/>
              <w:rPr>
                <w:sz w:val="11"/>
                <w:szCs w:val="11"/>
                <w:color w:val="auto"/>
              </w:rPr>
            </w:pPr>
          </w:p>
        </w:tc>
      </w:tr>
      <w:tr>
        <w:trPr>
          <w:trHeight w:val="128"/>
        </w:trPr>
        <w:tc>
          <w:tcPr>
            <w:tcW w:w="71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(42,653)</w:t>
            </w:r>
          </w:p>
        </w:tc>
        <w:tc>
          <w:tcPr>
            <w:tcW w:w="240" w:type="dxa"/>
            <w:vAlign w:val="bottom"/>
            <w:tcBorders>
              <w:bottom w:val="single" w:sz="8" w:color="CFF0FC"/>
            </w:tcBorders>
            <w:shd w:val="clear" w:color="auto" w:fill="CFF0FC"/>
          </w:tcPr>
          <w:p>
            <w:pPr>
              <w:spacing w:after="0"/>
              <w:rPr>
                <w:sz w:val="11"/>
                <w:szCs w:val="1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(150,744)</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16"/>
        </w:trPr>
        <w:tc>
          <w:tcPr>
            <w:tcW w:w="7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(62,949,127)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(54,284,884)</w:t>
            </w:r>
          </w:p>
        </w:tc>
        <w:tc>
          <w:tcPr>
            <w:tcW w:w="120" w:type="dxa"/>
            <w:vAlign w:val="bottom"/>
          </w:tcPr>
          <w:p>
            <w:pPr>
              <w:spacing w:after="0"/>
              <w:rPr>
                <w:sz w:val="10"/>
                <w:szCs w:val="10"/>
                <w:color w:val="auto"/>
              </w:rPr>
            </w:pPr>
          </w:p>
        </w:tc>
      </w:tr>
      <w:tr>
        <w:trPr>
          <w:trHeight w:val="118"/>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stockholders’ deficit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3,960,454</w:t>
            </w:r>
          </w:p>
        </w:tc>
        <w:tc>
          <w:tcPr>
            <w:tcW w:w="240" w:type="dxa"/>
            <w:vAlign w:val="bottom"/>
            <w:tcBorders>
              <w:bottom w:val="single" w:sz="8" w:color="CFF0FC"/>
            </w:tcBorders>
            <w:shd w:val="clear" w:color="auto" w:fill="CFF0FC"/>
          </w:tcPr>
          <w:p>
            <w:pPr>
              <w:spacing w:after="0"/>
              <w:rPr>
                <w:sz w:val="10"/>
                <w:szCs w:val="10"/>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2,536,484</w:t>
            </w:r>
          </w:p>
        </w:tc>
        <w:tc>
          <w:tcPr>
            <w:tcW w:w="120" w:type="dxa"/>
            <w:vAlign w:val="bottom"/>
            <w:tcBorders>
              <w:bottom w:val="single" w:sz="8" w:color="CFF0FC"/>
            </w:tcBorders>
            <w:shd w:val="clear" w:color="auto" w:fill="CFF0FC"/>
          </w:tcPr>
          <w:p>
            <w:pPr>
              <w:spacing w:after="0"/>
              <w:rPr>
                <w:sz w:val="10"/>
                <w:szCs w:val="10"/>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Operations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8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8240" w:type="dxa"/>
            <w:vAlign w:val="bottom"/>
          </w:tcPr>
          <w:p>
            <w:pPr>
              <w:jc w:val="center"/>
              <w:ind w:left="753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840" w:type="dxa"/>
            <w:vAlign w:val="bottom"/>
          </w:tcPr>
          <w:p>
            <w:pPr>
              <w:spacing w:after="0"/>
              <w:rPr>
                <w:sz w:val="8"/>
                <w:szCs w:val="8"/>
                <w:color w:val="auto"/>
              </w:rPr>
            </w:pP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5"/>
        </w:trPr>
        <w:tc>
          <w:tcPr>
            <w:tcW w:w="8240" w:type="dxa"/>
            <w:vAlign w:val="bottom"/>
          </w:tcPr>
          <w:p>
            <w:pPr>
              <w:jc w:val="center"/>
              <w:ind w:left="755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40" w:type="dxa"/>
            <w:vAlign w:val="bottom"/>
          </w:tcPr>
          <w:p>
            <w:pPr>
              <w:spacing w:after="0"/>
              <w:rPr>
                <w:sz w:val="9"/>
                <w:szCs w:val="9"/>
                <w:color w:val="auto"/>
              </w:rPr>
            </w:pP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1"/>
        </w:trPr>
        <w:tc>
          <w:tcPr>
            <w:tcW w:w="8240" w:type="dxa"/>
            <w:vAlign w:val="bottom"/>
          </w:tcPr>
          <w:p>
            <w:pPr>
              <w:jc w:val="center"/>
              <w:ind w:left="755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840" w:type="dxa"/>
            <w:vAlign w:val="bottom"/>
          </w:tcPr>
          <w:p>
            <w:pPr>
              <w:spacing w:after="0"/>
              <w:rPr>
                <w:sz w:val="9"/>
                <w:szCs w:val="9"/>
                <w:color w:val="auto"/>
              </w:rPr>
            </w:pP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2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84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53,399</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b w:val="1"/>
                <w:bCs w:val="1"/>
                <w:color w:val="auto"/>
              </w:rPr>
              <w:t>46,764</w:t>
            </w:r>
          </w:p>
        </w:tc>
      </w:tr>
      <w:tr>
        <w:trPr>
          <w:trHeight w:val="120"/>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Operating expenses</w:t>
            </w:r>
          </w:p>
        </w:tc>
        <w:tc>
          <w:tcPr>
            <w:tcW w:w="84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20"/>
        </w:trPr>
        <w:tc>
          <w:tcPr>
            <w:tcW w:w="8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Cost of revenue</w:t>
            </w:r>
          </w:p>
        </w:tc>
        <w:tc>
          <w:tcPr>
            <w:tcW w:w="84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16,177</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16,111</w:t>
            </w:r>
          </w:p>
        </w:tc>
      </w:tr>
      <w:tr>
        <w:trPr>
          <w:trHeight w:val="104"/>
        </w:trPr>
        <w:tc>
          <w:tcPr>
            <w:tcW w:w="8240" w:type="dxa"/>
            <w:vAlign w:val="bottom"/>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(includes related party transactions of</w:t>
            </w: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28"/>
        </w:trPr>
        <w:tc>
          <w:tcPr>
            <w:tcW w:w="8240" w:type="dxa"/>
            <w:vAlign w:val="bottom"/>
          </w:tcPr>
          <w:p>
            <w:pPr>
              <w:ind w:left="200"/>
              <w:spacing w:after="0"/>
              <w:rPr>
                <w:sz w:val="20"/>
                <w:szCs w:val="20"/>
                <w:color w:val="auto"/>
              </w:rPr>
            </w:pPr>
            <w:r>
              <w:rPr>
                <w:rFonts w:ascii="Times New Roman" w:cs="Times New Roman" w:eastAsia="Times New Roman" w:hAnsi="Times New Roman"/>
                <w:sz w:val="10"/>
                <w:szCs w:val="10"/>
                <w:i w:val="1"/>
                <w:iCs w:val="1"/>
                <w:color w:val="auto"/>
              </w:rPr>
              <w:t>1,370,214 and 1,361,168, refer to Note 8)</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1,431,430</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4,710,174</w:t>
            </w:r>
          </w:p>
        </w:tc>
      </w:tr>
      <w:tr>
        <w:trPr>
          <w:trHeight w:val="105"/>
        </w:trPr>
        <w:tc>
          <w:tcPr>
            <w:tcW w:w="8240" w:type="dxa"/>
            <w:vAlign w:val="bottom"/>
            <w:shd w:val="clear" w:color="auto" w:fill="CFF0FC"/>
          </w:tcPr>
          <w:p>
            <w:pPr>
              <w:ind w:left="120"/>
              <w:spacing w:after="0" w:line="105"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(includes related party transactions of</w:t>
            </w: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29"/>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i w:val="1"/>
                <w:iCs w:val="1"/>
                <w:color w:val="auto"/>
              </w:rPr>
              <w:t>5,754,682 and 1,733,938, refer to Note 8)</w:t>
            </w:r>
          </w:p>
        </w:tc>
        <w:tc>
          <w:tcPr>
            <w:tcW w:w="84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8,066,209</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8,743,377</w:t>
            </w:r>
          </w:p>
        </w:tc>
      </w:tr>
      <w:tr>
        <w:trPr>
          <w:trHeight w:val="120"/>
        </w:trPr>
        <w:tc>
          <w:tcPr>
            <w:tcW w:w="8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Operating costs and expenses</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84,500</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785,000</w:t>
            </w:r>
          </w:p>
        </w:tc>
      </w:tr>
      <w:tr>
        <w:trPr>
          <w:trHeight w:val="120"/>
        </w:trPr>
        <w:tc>
          <w:tcPr>
            <w:tcW w:w="8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Depreciation and amortization expenses</w:t>
            </w:r>
          </w:p>
        </w:tc>
        <w:tc>
          <w:tcPr>
            <w:tcW w:w="84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120,841</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121,571</w:t>
            </w:r>
          </w:p>
        </w:tc>
      </w:tr>
      <w:tr>
        <w:trPr>
          <w:trHeight w:val="120"/>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9,719,157</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b w:val="1"/>
                <w:bCs w:val="1"/>
                <w:color w:val="auto"/>
              </w:rPr>
              <w:t>14,376,233</w:t>
            </w:r>
          </w:p>
        </w:tc>
      </w:tr>
      <w:tr>
        <w:trPr>
          <w:trHeight w:val="12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Operating loss</w:t>
            </w:r>
          </w:p>
        </w:tc>
        <w:tc>
          <w:tcPr>
            <w:tcW w:w="84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(9,665,758)</w:t>
            </w:r>
          </w:p>
        </w:tc>
        <w:tc>
          <w:tcPr>
            <w:tcW w:w="15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(14,329,469)</w:t>
            </w:r>
          </w:p>
        </w:tc>
      </w:tr>
      <w:tr>
        <w:trPr>
          <w:trHeight w:val="120"/>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Other (expenses) / income</w:t>
            </w:r>
          </w:p>
        </w:tc>
        <w:tc>
          <w:tcPr>
            <w:tcW w:w="84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2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84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(3,009,002)</w:t>
            </w:r>
          </w:p>
        </w:tc>
        <w:tc>
          <w:tcPr>
            <w:tcW w:w="15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(3,054,946)</w:t>
            </w:r>
          </w:p>
        </w:tc>
      </w:tr>
      <w:tr>
        <w:trPr>
          <w:trHeight w:val="120"/>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Other non-operating expense, net</w:t>
            </w: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(107,816)</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171,751</w:t>
            </w:r>
          </w:p>
        </w:tc>
      </w:tr>
      <w:tr>
        <w:trPr>
          <w:trHeight w:val="12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84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(3,116,818)</w:t>
            </w:r>
          </w:p>
        </w:tc>
        <w:tc>
          <w:tcPr>
            <w:tcW w:w="15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(2,883,195)</w:t>
            </w:r>
          </w:p>
        </w:tc>
      </w:tr>
      <w:tr>
        <w:trPr>
          <w:trHeight w:val="120"/>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Loss before taxes</w:t>
            </w: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w w:val="96"/>
              </w:rPr>
              <w:t>(12,782,576)</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(17,212,664)</w:t>
            </w:r>
          </w:p>
        </w:tc>
      </w:tr>
      <w:tr>
        <w:trPr>
          <w:trHeight w:val="12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84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(59,870)</w:t>
            </w:r>
          </w:p>
        </w:tc>
        <w:tc>
          <w:tcPr>
            <w:tcW w:w="15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(63,408)</w:t>
            </w:r>
          </w:p>
        </w:tc>
      </w:tr>
      <w:tr>
        <w:trPr>
          <w:trHeight w:val="120"/>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w w:val="96"/>
              </w:rPr>
              <w:t>(12,842,446)</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(17,276,072)</w:t>
            </w:r>
          </w:p>
        </w:tc>
      </w:tr>
      <w:tr>
        <w:trPr>
          <w:trHeight w:val="12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84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(0.01)</w:t>
            </w:r>
          </w:p>
        </w:tc>
        <w:tc>
          <w:tcPr>
            <w:tcW w:w="15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(0.02)</w:t>
            </w:r>
          </w:p>
        </w:tc>
      </w:tr>
      <w:tr>
        <w:trPr>
          <w:trHeight w:val="125"/>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w w:val="91"/>
              </w:rPr>
              <w:t>927,893,144</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922,013,028</w:t>
            </w:r>
          </w:p>
        </w:tc>
      </w:tr>
    </w:tbl>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Comprehensive Loss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6960" w:type="dxa"/>
            <w:vAlign w:val="bottom"/>
          </w:tcPr>
          <w:p>
            <w:pPr>
              <w:spacing w:after="0"/>
              <w:rPr>
                <w:sz w:val="8"/>
                <w:szCs w:val="8"/>
                <w:color w:val="auto"/>
              </w:rPr>
            </w:pPr>
          </w:p>
        </w:tc>
        <w:tc>
          <w:tcPr>
            <w:tcW w:w="1100" w:type="dxa"/>
            <w:vAlign w:val="bottom"/>
          </w:tcPr>
          <w:p>
            <w:pPr>
              <w:jc w:val="center"/>
              <w:ind w:left="439"/>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8"/>
        </w:trPr>
        <w:tc>
          <w:tcPr>
            <w:tcW w:w="6960" w:type="dxa"/>
            <w:vAlign w:val="bottom"/>
          </w:tcPr>
          <w:p>
            <w:pPr>
              <w:spacing w:after="0"/>
              <w:rPr>
                <w:sz w:val="9"/>
                <w:szCs w:val="9"/>
                <w:color w:val="auto"/>
              </w:rPr>
            </w:pPr>
          </w:p>
        </w:tc>
        <w:tc>
          <w:tcPr>
            <w:tcW w:w="1100" w:type="dxa"/>
            <w:vAlign w:val="bottom"/>
          </w:tcPr>
          <w:p>
            <w:pPr>
              <w:jc w:val="center"/>
              <w:ind w:left="45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23"/>
        </w:trPr>
        <w:tc>
          <w:tcPr>
            <w:tcW w:w="8060" w:type="dxa"/>
            <w:vAlign w:val="bottom"/>
            <w:gridSpan w:val="2"/>
          </w:tcPr>
          <w:p>
            <w:pPr>
              <w:jc w:val="center"/>
              <w:ind w:left="741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10"/>
                <w:szCs w:val="10"/>
                <w:color w:val="auto"/>
              </w:rPr>
            </w:pPr>
          </w:p>
        </w:tc>
      </w:tr>
      <w:tr>
        <w:trPr>
          <w:trHeight w:val="123"/>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6"/>
              </w:rPr>
              <w:t>(12,842,446)</w:t>
            </w: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(17,276,072)</w:t>
            </w:r>
          </w:p>
        </w:tc>
      </w:tr>
      <w:tr>
        <w:trPr>
          <w:trHeight w:val="120"/>
        </w:trPr>
        <w:tc>
          <w:tcPr>
            <w:tcW w:w="80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Foreign currency translation (loss)</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0"/>
                <w:szCs w:val="10"/>
                <w:color w:val="auto"/>
              </w:rPr>
              <w:t>108,091</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2,901</w:t>
            </w:r>
          </w:p>
        </w:tc>
      </w:tr>
      <w:tr>
        <w:trPr>
          <w:trHeight w:val="120"/>
        </w:trPr>
        <w:tc>
          <w:tcPr>
            <w:tcW w:w="6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1100" w:type="dxa"/>
            <w:vAlign w:val="bottom"/>
          </w:tcPr>
          <w:p>
            <w:pPr>
              <w:spacing w:after="0"/>
              <w:rPr>
                <w:sz w:val="10"/>
                <w:szCs w:val="1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2"/>
              </w:rPr>
              <w:t>(12,734,355 )</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(17,273,171 )</w:t>
            </w:r>
          </w:p>
        </w:tc>
      </w:tr>
      <w:tr>
        <w:trPr>
          <w:trHeight w:val="346"/>
        </w:trPr>
        <w:tc>
          <w:tcPr>
            <w:tcW w:w="6960" w:type="dxa"/>
            <w:vAlign w:val="bottom"/>
          </w:tcPr>
          <w:p>
            <w:pPr>
              <w:ind w:left="5240"/>
              <w:spacing w:after="0"/>
              <w:rPr>
                <w:sz w:val="20"/>
                <w:szCs w:val="20"/>
                <w:color w:val="auto"/>
              </w:rPr>
            </w:pPr>
            <w:r>
              <w:rPr>
                <w:rFonts w:ascii="Times New Roman" w:cs="Times New Roman" w:eastAsia="Times New Roman" w:hAnsi="Times New Roman"/>
                <w:sz w:val="10"/>
                <w:szCs w:val="10"/>
                <w:color w:val="auto"/>
              </w:rPr>
              <w:t>F-6</w:t>
            </w:r>
          </w:p>
        </w:tc>
        <w:tc>
          <w:tcPr>
            <w:tcW w:w="1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22"/>
        </w:trPr>
        <w:tc>
          <w:tcPr>
            <w:tcW w:w="696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Changes in Stockholders’ Deficit</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8"/>
              </w:rPr>
              <w:t>other</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108"/>
        </w:trPr>
        <w:tc>
          <w:tcPr>
            <w:tcW w:w="1720" w:type="dxa"/>
            <w:vAlign w:val="bottom"/>
          </w:tcPr>
          <w:p>
            <w:pPr>
              <w:spacing w:after="0"/>
              <w:rPr>
                <w:sz w:val="9"/>
                <w:szCs w:val="9"/>
                <w:color w:val="auto"/>
              </w:rPr>
            </w:pPr>
          </w:p>
        </w:tc>
        <w:tc>
          <w:tcPr>
            <w:tcW w:w="1060" w:type="dxa"/>
            <w:vAlign w:val="bottom"/>
            <w:gridSpan w:val="3"/>
          </w:tcPr>
          <w:p>
            <w:pPr>
              <w:ind w:left="48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3"/>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Series A Shares</w:t>
            </w:r>
          </w:p>
        </w:tc>
        <w:tc>
          <w:tcPr>
            <w:tcW w:w="220" w:type="dxa"/>
            <w:vAlign w:val="bottom"/>
          </w:tcPr>
          <w:p>
            <w:pPr>
              <w:spacing w:after="0"/>
              <w:rPr>
                <w:sz w:val="9"/>
                <w:szCs w:val="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Stock</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2"/>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8"/>
                <w:szCs w:val="8"/>
                <w:b w:val="1"/>
                <w:bCs w:val="1"/>
                <w:color w:val="auto"/>
              </w:rPr>
              <w:t>Amount</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8"/>
                <w:szCs w:val="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subscription</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6"/>
              </w:rPr>
              <w:t>loss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1"/>
        </w:trPr>
        <w:tc>
          <w:tcPr>
            <w:tcW w:w="1720" w:type="dxa"/>
            <w:vAlign w:val="bottom"/>
          </w:tcPr>
          <w:p>
            <w:pPr>
              <w:spacing w:after="0"/>
              <w:rPr>
                <w:sz w:val="9"/>
                <w:szCs w:val="9"/>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60" w:type="dxa"/>
            <w:vAlign w:val="bottom"/>
          </w:tcPr>
          <w:p>
            <w:pPr>
              <w:jc w:val="right"/>
              <w:ind w:right="215"/>
              <w:spacing w:after="0"/>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9"/>
                <w:szCs w:val="9"/>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Shares</w:t>
            </w:r>
          </w:p>
        </w:tc>
        <w:tc>
          <w:tcPr>
            <w:tcW w:w="820" w:type="dxa"/>
            <w:vAlign w:val="bottom"/>
            <w:gridSpan w:val="2"/>
          </w:tcPr>
          <w:p>
            <w:pPr>
              <w:jc w:val="right"/>
              <w:ind w:right="233"/>
              <w:spacing w:after="0"/>
              <w:rPr>
                <w:sz w:val="20"/>
                <w:szCs w:val="20"/>
                <w:color w:val="auto"/>
              </w:rPr>
            </w:pPr>
            <w:r>
              <w:rPr>
                <w:rFonts w:ascii="Times New Roman" w:cs="Times New Roman" w:eastAsia="Times New Roman" w:hAnsi="Times New Roman"/>
                <w:sz w:val="8"/>
                <w:szCs w:val="8"/>
                <w:b w:val="1"/>
                <w:bCs w:val="1"/>
                <w:color w:val="auto"/>
              </w:rPr>
              <w:t>$</w:t>
            </w:r>
          </w:p>
        </w:tc>
        <w:tc>
          <w:tcPr>
            <w:tcW w:w="1120" w:type="dxa"/>
            <w:vAlign w:val="bottom"/>
            <w:gridSpan w:val="2"/>
          </w:tcPr>
          <w:p>
            <w:pPr>
              <w:jc w:val="center"/>
              <w:ind w:left="15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w:t>
            </w:r>
          </w:p>
        </w:tc>
        <w:tc>
          <w:tcPr>
            <w:tcW w:w="220" w:type="dxa"/>
            <w:vAlign w:val="bottom"/>
          </w:tcPr>
          <w:p>
            <w:pPr>
              <w:spacing w:after="0"/>
              <w:rPr>
                <w:sz w:val="9"/>
                <w:szCs w:val="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receivable</w:t>
            </w: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0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116"/>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927,806,159</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126,677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163,165,083</w:t>
            </w:r>
          </w:p>
        </w:tc>
        <w:tc>
          <w:tcPr>
            <w:tcW w:w="22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(195,555,332 )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(81,179 )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 xml:space="preserve">(32,519,603 </w:t>
            </w:r>
            <w:r>
              <w:rPr>
                <w:rFonts w:ascii="Times New Roman" w:cs="Times New Roman" w:eastAsia="Times New Roman" w:hAnsi="Times New Roman"/>
                <w:sz w:val="8"/>
                <w:szCs w:val="8"/>
                <w:color w:val="auto"/>
              </w:rPr>
              <w:t>)</w:t>
            </w:r>
          </w:p>
        </w:tc>
      </w:tr>
      <w:tr>
        <w:trPr>
          <w:trHeight w:val="98"/>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Common stock issued to related</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163,265</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w:t>
            </w:r>
          </w:p>
        </w:tc>
        <w:tc>
          <w:tcPr>
            <w:tcW w:w="2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199,954</w:t>
            </w:r>
          </w:p>
        </w:tc>
        <w:tc>
          <w:tcPr>
            <w:tcW w:w="220" w:type="dxa"/>
            <w:vAlign w:val="bottom"/>
          </w:tcPr>
          <w:p>
            <w:pPr>
              <w:spacing w:after="0"/>
              <w:rPr>
                <w:sz w:val="8"/>
                <w:szCs w:val="8"/>
                <w:color w:val="auto"/>
              </w:rPr>
            </w:pPr>
          </w:p>
        </w:tc>
        <w:tc>
          <w:tcPr>
            <w:tcW w:w="11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120" w:type="dxa"/>
            <w:vAlign w:val="bottom"/>
          </w:tcPr>
          <w:p>
            <w:pPr>
              <w:spacing w:after="0"/>
              <w:rPr>
                <w:sz w:val="8"/>
                <w:szCs w:val="8"/>
                <w:color w:val="auto"/>
              </w:rPr>
            </w:pPr>
          </w:p>
        </w:tc>
      </w:tr>
      <w:tr>
        <w:trPr>
          <w:trHeight w:val="109"/>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1"/>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Common stock issued from the</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5,000,000</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613</w:t>
            </w:r>
          </w:p>
        </w:tc>
        <w:tc>
          <w:tcPr>
            <w:tcW w:w="240" w:type="dxa"/>
            <w:vAlign w:val="bottom"/>
            <w:shd w:val="clear" w:color="auto" w:fill="CFF0FC"/>
          </w:tcPr>
          <w:p>
            <w:pPr>
              <w:spacing w:after="0"/>
              <w:rPr>
                <w:sz w:val="8"/>
                <w:szCs w:val="8"/>
                <w:color w:val="auto"/>
              </w:rPr>
            </w:pPr>
          </w:p>
        </w:tc>
        <w:tc>
          <w:tcPr>
            <w:tcW w:w="5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(613 )</w:t>
            </w:r>
          </w:p>
        </w:tc>
        <w:tc>
          <w:tcPr>
            <w:tcW w:w="1180" w:type="dxa"/>
            <w:vAlign w:val="bottom"/>
            <w:gridSpan w:val="2"/>
            <w:shd w:val="clear" w:color="auto" w:fill="CFF0FC"/>
          </w:tcPr>
          <w:p>
            <w:pPr>
              <w:jc w:val="right"/>
              <w:ind w:right="220"/>
              <w:spacing w:after="0" w:line="102"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102"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jc w:val="right"/>
              <w:ind w:right="140"/>
              <w:spacing w:after="0" w:line="102" w:lineRule="exact"/>
              <w:rPr>
                <w:sz w:val="20"/>
                <w:szCs w:val="20"/>
                <w:color w:val="auto"/>
              </w:rPr>
            </w:pPr>
            <w:r>
              <w:rPr>
                <w:rFonts w:ascii="Times New Roman" w:cs="Times New Roman" w:eastAsia="Times New Roman" w:hAnsi="Times New Roman"/>
                <w:sz w:val="10"/>
                <w:szCs w:val="10"/>
                <w:color w:val="auto"/>
              </w:rPr>
              <w:t>—</w:t>
            </w:r>
          </w:p>
        </w:tc>
      </w:tr>
      <w:tr>
        <w:trPr>
          <w:trHeight w:val="112"/>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exercise of stock options</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8"/>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Share-based compensation to</w:t>
            </w:r>
          </w:p>
        </w:tc>
        <w:tc>
          <w:tcPr>
            <w:tcW w:w="1060" w:type="dxa"/>
            <w:vAlign w:val="bottom"/>
            <w:gridSpan w:val="3"/>
          </w:tcPr>
          <w:p>
            <w:pPr>
              <w:jc w:val="right"/>
              <w:ind w:right="340"/>
              <w:spacing w:after="0" w:line="99"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115,190</w:t>
            </w:r>
          </w:p>
        </w:tc>
        <w:tc>
          <w:tcPr>
            <w:tcW w:w="220" w:type="dxa"/>
            <w:vAlign w:val="bottom"/>
          </w:tcPr>
          <w:p>
            <w:pPr>
              <w:spacing w:after="0"/>
              <w:rPr>
                <w:sz w:val="8"/>
                <w:szCs w:val="8"/>
                <w:color w:val="auto"/>
              </w:rPr>
            </w:pPr>
          </w:p>
        </w:tc>
        <w:tc>
          <w:tcPr>
            <w:tcW w:w="11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115,190</w:t>
            </w:r>
          </w:p>
        </w:tc>
        <w:tc>
          <w:tcPr>
            <w:tcW w:w="120" w:type="dxa"/>
            <w:vAlign w:val="bottom"/>
          </w:tcPr>
          <w:p>
            <w:pPr>
              <w:spacing w:after="0"/>
              <w:rPr>
                <w:sz w:val="8"/>
                <w:szCs w:val="8"/>
                <w:color w:val="auto"/>
              </w:rPr>
            </w:pPr>
          </w:p>
        </w:tc>
      </w:tr>
      <w:tr>
        <w:trPr>
          <w:trHeight w:val="109"/>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1"/>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Employee share-based</w:t>
            </w: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4,880,389</w:t>
            </w:r>
          </w:p>
        </w:tc>
        <w:tc>
          <w:tcPr>
            <w:tcW w:w="22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4,880,389</w:t>
            </w:r>
          </w:p>
        </w:tc>
        <w:tc>
          <w:tcPr>
            <w:tcW w:w="120" w:type="dxa"/>
            <w:vAlign w:val="bottom"/>
            <w:shd w:val="clear" w:color="auto" w:fill="CFF0FC"/>
          </w:tcPr>
          <w:p>
            <w:pPr>
              <w:spacing w:after="0"/>
              <w:rPr>
                <w:sz w:val="8"/>
                <w:szCs w:val="8"/>
                <w:color w:val="auto"/>
              </w:rPr>
            </w:pPr>
          </w:p>
        </w:tc>
      </w:tr>
      <w:tr>
        <w:trPr>
          <w:trHeight w:val="112"/>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27"/>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(17,276,072 )</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(17,276,072 )</w:t>
            </w:r>
          </w:p>
        </w:tc>
      </w:tr>
      <w:tr>
        <w:trPr>
          <w:trHeight w:val="99"/>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100"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8"/>
                <w:szCs w:val="8"/>
                <w:color w:val="auto"/>
              </w:rPr>
            </w:pPr>
          </w:p>
        </w:tc>
        <w:tc>
          <w:tcPr>
            <w:tcW w:w="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line="100"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100"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100"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2,901</w:t>
            </w:r>
          </w:p>
        </w:tc>
        <w:tc>
          <w:tcPr>
            <w:tcW w:w="20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2,901</w:t>
            </w:r>
          </w:p>
        </w:tc>
        <w:tc>
          <w:tcPr>
            <w:tcW w:w="120" w:type="dxa"/>
            <w:vAlign w:val="bottom"/>
            <w:shd w:val="clear" w:color="auto" w:fill="CFF0FC"/>
          </w:tcPr>
          <w:p>
            <w:pPr>
              <w:spacing w:after="0"/>
              <w:rPr>
                <w:sz w:val="8"/>
                <w:szCs w:val="8"/>
                <w:color w:val="auto"/>
              </w:rPr>
            </w:pPr>
          </w:p>
        </w:tc>
      </w:tr>
      <w:tr>
        <w:trPr>
          <w:trHeight w:val="112"/>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2023</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168,360,003</w:t>
            </w:r>
          </w:p>
        </w:tc>
        <w:tc>
          <w:tcPr>
            <w:tcW w:w="220" w:type="dxa"/>
            <w:vAlign w:val="bottom"/>
          </w:tcPr>
          <w:p>
            <w:pPr>
              <w:spacing w:after="0"/>
              <w:rPr>
                <w:sz w:val="9"/>
                <w:szCs w:val="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(212,831,404 )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(78,278 )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(44,597,221 )</w:t>
            </w:r>
          </w:p>
        </w:tc>
      </w:tr>
      <w:tr>
        <w:trPr>
          <w:trHeight w:val="117"/>
        </w:trPr>
        <w:tc>
          <w:tcPr>
            <w:tcW w:w="1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3"/>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172,204,832</w:t>
            </w:r>
          </w:p>
        </w:tc>
        <w:tc>
          <w:tcPr>
            <w:tcW w:w="2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(226,291,430 )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(150,744)</w:t>
            </w:r>
          </w:p>
        </w:tc>
        <w:tc>
          <w:tcPr>
            <w:tcW w:w="2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(54,284,884 )</w:t>
            </w:r>
          </w:p>
        </w:tc>
      </w:tr>
      <w:tr>
        <w:trPr>
          <w:trHeight w:val="127"/>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Common stock issued</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27,757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25,143</w:t>
            </w:r>
          </w:p>
        </w:tc>
        <w:tc>
          <w:tcPr>
            <w:tcW w:w="220" w:type="dxa"/>
            <w:vAlign w:val="bottom"/>
          </w:tcPr>
          <w:p>
            <w:pPr>
              <w:spacing w:after="0"/>
              <w:rPr>
                <w:sz w:val="11"/>
                <w:szCs w:val="1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25,146</w:t>
            </w:r>
          </w:p>
        </w:tc>
        <w:tc>
          <w:tcPr>
            <w:tcW w:w="120" w:type="dxa"/>
            <w:vAlign w:val="bottom"/>
          </w:tcPr>
          <w:p>
            <w:pPr>
              <w:spacing w:after="0"/>
              <w:rPr>
                <w:sz w:val="11"/>
                <w:szCs w:val="11"/>
                <w:color w:val="auto"/>
              </w:rPr>
            </w:pPr>
          </w:p>
        </w:tc>
      </w:tr>
      <w:tr>
        <w:trPr>
          <w:trHeight w:val="12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Warrants issued with loan</w:t>
            </w:r>
          </w:p>
        </w:tc>
        <w:tc>
          <w:tcPr>
            <w:tcW w:w="10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2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120" w:type="dxa"/>
            <w:vAlign w:val="bottom"/>
            <w:shd w:val="clear" w:color="auto" w:fill="CFF0FC"/>
          </w:tcPr>
          <w:p>
            <w:pPr>
              <w:spacing w:after="0"/>
              <w:rPr>
                <w:sz w:val="11"/>
                <w:szCs w:val="11"/>
                <w:color w:val="auto"/>
              </w:rPr>
            </w:pPr>
          </w:p>
        </w:tc>
      </w:tr>
      <w:tr>
        <w:trPr>
          <w:trHeight w:val="98"/>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Share-based compensation to</w:t>
            </w: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2,190,482</w:t>
            </w: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2,190,482</w:t>
            </w:r>
          </w:p>
        </w:tc>
        <w:tc>
          <w:tcPr>
            <w:tcW w:w="120" w:type="dxa"/>
            <w:vAlign w:val="bottom"/>
          </w:tcPr>
          <w:p>
            <w:pPr>
              <w:spacing w:after="0"/>
              <w:rPr>
                <w:sz w:val="8"/>
                <w:szCs w:val="8"/>
                <w:color w:val="auto"/>
              </w:rPr>
            </w:pPr>
          </w:p>
        </w:tc>
      </w:tr>
      <w:tr>
        <w:trPr>
          <w:trHeight w:val="109"/>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1"/>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Employee share-based</w:t>
            </w:r>
          </w:p>
        </w:tc>
        <w:tc>
          <w:tcPr>
            <w:tcW w:w="1060" w:type="dxa"/>
            <w:vAlign w:val="bottom"/>
            <w:gridSpan w:val="3"/>
            <w:shd w:val="clear" w:color="auto" w:fill="CFF0FC"/>
          </w:tcPr>
          <w:p>
            <w:pPr>
              <w:jc w:val="right"/>
              <w:ind w:right="340"/>
              <w:spacing w:after="0" w:line="102"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8"/>
                <w:szCs w:val="8"/>
                <w:color w:val="auto"/>
              </w:rPr>
            </w:pPr>
          </w:p>
        </w:tc>
        <w:tc>
          <w:tcPr>
            <w:tcW w:w="5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1,852,702</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220"/>
              <w:spacing w:after="0" w:line="102"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102"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1,852,702</w:t>
            </w:r>
          </w:p>
        </w:tc>
        <w:tc>
          <w:tcPr>
            <w:tcW w:w="120" w:type="dxa"/>
            <w:vAlign w:val="bottom"/>
            <w:shd w:val="clear" w:color="auto" w:fill="CFF0FC"/>
          </w:tcPr>
          <w:p>
            <w:pPr>
              <w:spacing w:after="0"/>
              <w:rPr>
                <w:sz w:val="8"/>
                <w:szCs w:val="8"/>
                <w:color w:val="auto"/>
              </w:rPr>
            </w:pPr>
          </w:p>
        </w:tc>
      </w:tr>
      <w:tr>
        <w:trPr>
          <w:trHeight w:val="112"/>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27"/>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(12,842,446 )</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(12,842,446 )</w:t>
            </w:r>
          </w:p>
        </w:tc>
      </w:tr>
      <w:tr>
        <w:trPr>
          <w:trHeight w:val="99"/>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100"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8"/>
                <w:szCs w:val="8"/>
                <w:color w:val="auto"/>
              </w:rPr>
            </w:pPr>
          </w:p>
        </w:tc>
        <w:tc>
          <w:tcPr>
            <w:tcW w:w="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8"/>
                <w:szCs w:val="8"/>
                <w:color w:val="auto"/>
              </w:rPr>
            </w:pPr>
          </w:p>
        </w:tc>
        <w:tc>
          <w:tcPr>
            <w:tcW w:w="1120" w:type="dxa"/>
            <w:vAlign w:val="bottom"/>
            <w:gridSpan w:val="2"/>
            <w:shd w:val="clear" w:color="auto" w:fill="CFF0FC"/>
          </w:tcPr>
          <w:p>
            <w:pPr>
              <w:jc w:val="right"/>
              <w:ind w:right="240"/>
              <w:spacing w:after="0" w:line="100"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100"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100"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108,091</w:t>
            </w:r>
          </w:p>
        </w:tc>
        <w:tc>
          <w:tcPr>
            <w:tcW w:w="20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108,091</w:t>
            </w:r>
          </w:p>
        </w:tc>
        <w:tc>
          <w:tcPr>
            <w:tcW w:w="120" w:type="dxa"/>
            <w:vAlign w:val="bottom"/>
            <w:shd w:val="clear" w:color="auto" w:fill="CFF0FC"/>
          </w:tcPr>
          <w:p>
            <w:pPr>
              <w:spacing w:after="0"/>
              <w:rPr>
                <w:sz w:val="8"/>
                <w:szCs w:val="8"/>
                <w:color w:val="auto"/>
              </w:rPr>
            </w:pPr>
          </w:p>
        </w:tc>
      </w:tr>
      <w:tr>
        <w:trPr>
          <w:trHeight w:val="112"/>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0"/>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2024</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932,997,181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127,313</w:t>
            </w:r>
          </w:p>
        </w:tc>
        <w:tc>
          <w:tcPr>
            <w:tcW w:w="2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24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22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176,274,941</w:t>
            </w:r>
          </w:p>
        </w:tc>
        <w:tc>
          <w:tcPr>
            <w:tcW w:w="220" w:type="dxa"/>
            <w:vAlign w:val="bottom"/>
          </w:tcPr>
          <w:p>
            <w:pPr>
              <w:spacing w:after="0"/>
              <w:rPr>
                <w:sz w:val="9"/>
                <w:szCs w:val="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(239,133,876 )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(42,653 )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(62,949,127 )</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Consolidated Carve-out Statements of Cash Flows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8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60" w:type="dxa"/>
            <w:vAlign w:val="bottom"/>
          </w:tcPr>
          <w:p>
            <w:pPr>
              <w:jc w:val="center"/>
              <w:ind w:right="212"/>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8180" w:type="dxa"/>
            <w:vAlign w:val="bottom"/>
          </w:tcPr>
          <w:p>
            <w:pPr>
              <w:jc w:val="center"/>
              <w:ind w:left="751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880" w:type="dxa"/>
            <w:vAlign w:val="bottom"/>
          </w:tcPr>
          <w:p>
            <w:pPr>
              <w:spacing w:after="0"/>
              <w:rPr>
                <w:sz w:val="8"/>
                <w:szCs w:val="8"/>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8180" w:type="dxa"/>
            <w:vAlign w:val="bottom"/>
          </w:tcPr>
          <w:p>
            <w:pPr>
              <w:jc w:val="center"/>
              <w:ind w:left="753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80" w:type="dxa"/>
            <w:vAlign w:val="bottom"/>
          </w:tcPr>
          <w:p>
            <w:pPr>
              <w:spacing w:after="0"/>
              <w:rPr>
                <w:sz w:val="8"/>
                <w:szCs w:val="8"/>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1"/>
        </w:trPr>
        <w:tc>
          <w:tcPr>
            <w:tcW w:w="8180" w:type="dxa"/>
            <w:vAlign w:val="bottom"/>
          </w:tcPr>
          <w:p>
            <w:pPr>
              <w:jc w:val="center"/>
              <w:ind w:left="753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880" w:type="dxa"/>
            <w:vAlign w:val="bottom"/>
          </w:tcPr>
          <w:p>
            <w:pPr>
              <w:spacing w:after="0"/>
              <w:rPr>
                <w:sz w:val="9"/>
                <w:szCs w:val="9"/>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31"/>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8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w w:val="95"/>
              </w:rPr>
              <w:t>(12,842,446 )</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(17,276,072 )</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88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8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color w:val="auto"/>
              </w:rPr>
              <w:t>120,841</w:t>
            </w:r>
          </w:p>
        </w:tc>
        <w:tc>
          <w:tcPr>
            <w:tcW w:w="1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121,571</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Unrealized Foreign Exchange loss</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108,224</w:t>
            </w: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327,383</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Share based compensation – related parties</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color w:val="auto"/>
              </w:rPr>
              <w:t>2,190,482</w:t>
            </w:r>
          </w:p>
        </w:tc>
        <w:tc>
          <w:tcPr>
            <w:tcW w:w="15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1,291,429</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Share based compensation – employees</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1,852,702</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3,588,960</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Impairment of prepayment and other current assets</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1,156,316</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3,009,002</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3,054,946</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88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Decrease in accounts receivable</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1,100</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534</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88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color w:val="auto"/>
              </w:rPr>
              <w:t>(131,679 )</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(695,026 )</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Increase/(decrease) in accounts payable, accrued expenses and other payables</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477,428</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(263,348 )</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Increase/(Decrease) in other payables with related parties</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color w:val="auto"/>
              </w:rPr>
              <w:t>315,895</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(125,000 )</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 xml:space="preserve">(4,898,451 </w:t>
            </w:r>
            <w:r>
              <w:rPr>
                <w:rFonts w:ascii="Times New Roman" w:cs="Times New Roman" w:eastAsia="Times New Roman" w:hAnsi="Times New Roman"/>
                <w:sz w:val="10"/>
                <w:szCs w:val="10"/>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(8,818,307 )</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88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Development of intangible asset</w:t>
            </w: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rPr>
              <w:t>(1,360,525 )</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(104,604 )</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Purchase of property and equipment</w:t>
            </w:r>
          </w:p>
        </w:tc>
        <w:tc>
          <w:tcPr>
            <w:tcW w:w="88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color w:val="auto"/>
              </w:rPr>
              <w:t>(3,850 )</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(8,060 )</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 xml:space="preserve">(1,364,375 </w:t>
            </w:r>
            <w:r>
              <w:rPr>
                <w:rFonts w:ascii="Times New Roman" w:cs="Times New Roman" w:eastAsia="Times New Roman" w:hAnsi="Times New Roman"/>
                <w:sz w:val="10"/>
                <w:szCs w:val="10"/>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(112,664 )</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88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rights issuance</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1,350,000</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1,653,882</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Call up capital received from related parties</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color w:val="auto"/>
              </w:rPr>
              <w:t>222,306</w:t>
            </w:r>
          </w:p>
        </w:tc>
        <w:tc>
          <w:tcPr>
            <w:tcW w:w="15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199,974</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Repayment of short term debt obligation from related parties</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(250,000 )</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4,178,008</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from short-term debt</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color w:val="auto"/>
              </w:rPr>
              <w:t>400,000</w:t>
            </w:r>
          </w:p>
        </w:tc>
        <w:tc>
          <w:tcPr>
            <w:tcW w:w="1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762,505</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convertible debt</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4,301,855</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2,627,543</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6,274,161</w:t>
            </w:r>
          </w:p>
        </w:tc>
        <w:tc>
          <w:tcPr>
            <w:tcW w:w="15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9,171,912</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38,522</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(159,230 )</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change in cash</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49,857</w:t>
            </w:r>
          </w:p>
        </w:tc>
        <w:tc>
          <w:tcPr>
            <w:tcW w:w="15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81,711</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10,441</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39,380</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end of period</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60,298</w:t>
            </w:r>
          </w:p>
        </w:tc>
        <w:tc>
          <w:tcPr>
            <w:tcW w:w="1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121,091</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8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115,190</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Cash paid for interest</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Cash paid for taxes</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8180" w:type="dxa"/>
            <w:vAlign w:val="bottom"/>
          </w:tcPr>
          <w:p>
            <w:pPr>
              <w:spacing w:after="0"/>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3,000,000</w:t>
            </w:r>
          </w:p>
        </w:tc>
      </w:tr>
      <w:tr>
        <w:trPr>
          <w:trHeight w:val="128"/>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Conversion of expenses under advanced subscription agreements</w:t>
            </w:r>
          </w:p>
        </w:tc>
        <w:tc>
          <w:tcPr>
            <w:tcW w:w="88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0"/>
                <w:szCs w:val="10"/>
                <w:color w:val="auto"/>
              </w:rPr>
              <w:t>25,143</w:t>
            </w:r>
          </w:p>
        </w:tc>
        <w:tc>
          <w:tcPr>
            <w:tcW w:w="15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132,453</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preparation and consolidation</w:t>
      </w:r>
    </w:p>
    <w:p>
      <w:pPr>
        <w:spacing w:after="0" w:line="60"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These condensed interim carve-out consolidated financial statements are for the six month period ended June 30, 2024 and are presented in United States Dollars ($) which is the functional currency of the parent company, Rezolve AI Limited. The accompanying unaudited condensed financial statements of the Company are presented in conformity with accounting principles generally accepted in the United States of America (“US GAAP”) and pursuant to the rules and regulations of the U.S. Securities and Exchange Commission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They have been prepared in accordance with Accounting Standards Codification (“ASC”)- 270 “Interim Reporting” and Article 10 of Regulation S-X for interim financial information. They do not include all of the information required in annual consolidated financial statements in accordance with accounting principles generally accepted in the United States of America (“US GAAP”). The accompanying unaudited condensed interim carve-out consolidated financial statements should be read in conjunction with the consolidated carve-out financial statements for the year ended December 31, 2023. However, selected explanatory notes are included to explain events and transactions that are significant to an understanding of the changes in the Company’s financial position and performance since the last annual financial statements. The interim results for the six months ended June 30, 2024 are not necessarily indicative of the results to be expected for the year ending December 31, 2024 or for any future interim periods.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accounting policies used for the condensed interim consolidated carve-out financial statements for the six-month period ended June 30, 2024 are consistent with those used in the annual carve-out consolidated financial statements for the year ended December 31, 2023. There has been no material change to the Company’s significant accounting policies during the six months ended June 30, 2024.</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will legally not include Rezolve Shanghai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323215</wp:posOffset>
            </wp:positionV>
            <wp:extent cx="6778625"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six months ending June 30, 2024 and 2023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does not have any VIEs to which we are the primary beneficiary.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significant intercompany accounts and transactions have been eliminated in the consolidated financial statements. A list of subsidiary entities and the groups holding as at June 30, 2024, and December 31, 2023, are as follows:</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111"/>
        </w:trPr>
        <w:tc>
          <w:tcPr>
            <w:tcW w:w="322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Country of incorporation</w:t>
            </w:r>
          </w:p>
        </w:tc>
        <w:tc>
          <w:tcPr>
            <w:tcW w:w="19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Group shareholding (%)</w:t>
            </w:r>
          </w:p>
        </w:tc>
      </w:tr>
      <w:tr>
        <w:trPr>
          <w:trHeight w:val="131"/>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Rezolve Mobile Commerce Inc.</w:t>
            </w:r>
          </w:p>
        </w:tc>
        <w:tc>
          <w:tcPr>
            <w:tcW w:w="2360" w:type="dxa"/>
            <w:vAlign w:val="bottom"/>
            <w:shd w:val="clear" w:color="auto" w:fill="CFF0FC"/>
          </w:tcPr>
          <w:p>
            <w:pPr>
              <w:jc w:val="center"/>
              <w:ind w:left="433"/>
              <w:spacing w:after="0"/>
              <w:rPr>
                <w:sz w:val="20"/>
                <w:szCs w:val="20"/>
                <w:color w:val="auto"/>
              </w:rPr>
            </w:pPr>
            <w:r>
              <w:rPr>
                <w:rFonts w:ascii="Times New Roman" w:cs="Times New Roman" w:eastAsia="Times New Roman" w:hAnsi="Times New Roman"/>
                <w:sz w:val="10"/>
                <w:szCs w:val="10"/>
                <w:color w:val="auto"/>
                <w:w w:val="95"/>
              </w:rPr>
              <w:t>April 20, 2016</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6"/>
              </w:rPr>
              <w:t>United States of America</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100%</w:t>
            </w:r>
          </w:p>
        </w:tc>
      </w:tr>
      <w:tr>
        <w:trPr>
          <w:trHeight w:val="127"/>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Technology S.L.</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10"/>
                <w:szCs w:val="10"/>
                <w:color w:val="auto"/>
                <w:w w:val="96"/>
              </w:rPr>
              <w:t>August 25, 2020</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Spain</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100%</w:t>
            </w:r>
          </w:p>
        </w:tc>
      </w:tr>
      <w:tr>
        <w:trPr>
          <w:trHeight w:val="128"/>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Rezolve Taiwan Limited</w:t>
            </w:r>
          </w:p>
        </w:tc>
        <w:tc>
          <w:tcPr>
            <w:tcW w:w="2360" w:type="dxa"/>
            <w:vAlign w:val="bottom"/>
            <w:shd w:val="clear" w:color="auto" w:fill="CFF0FC"/>
          </w:tcPr>
          <w:p>
            <w:pPr>
              <w:jc w:val="center"/>
              <w:ind w:left="433"/>
              <w:spacing w:after="0"/>
              <w:rPr>
                <w:sz w:val="20"/>
                <w:szCs w:val="20"/>
                <w:color w:val="auto"/>
              </w:rPr>
            </w:pPr>
            <w:r>
              <w:rPr>
                <w:rFonts w:ascii="Times New Roman" w:cs="Times New Roman" w:eastAsia="Times New Roman" w:hAnsi="Times New Roman"/>
                <w:sz w:val="10"/>
                <w:szCs w:val="10"/>
                <w:color w:val="auto"/>
                <w:w w:val="96"/>
              </w:rPr>
              <w:t>November 9, 2000</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3"/>
              </w:rPr>
              <w:t>Taiwan</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4"/>
              </w:rPr>
              <w:t>100%</w:t>
            </w:r>
          </w:p>
        </w:tc>
      </w:tr>
      <w:tr>
        <w:trPr>
          <w:trHeight w:val="126"/>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10"/>
                <w:szCs w:val="10"/>
                <w:color w:val="auto"/>
                <w:w w:val="94"/>
              </w:rPr>
              <w:t>March 20,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India</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2.3.Use of estimates</w:t>
      </w:r>
    </w:p>
    <w:p>
      <w:pPr>
        <w:spacing w:after="0" w:line="60"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Management’s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2.4.Emerging Growth Company</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is an “emerging growth company,” as defined in Section 2(a) of the Securities Act of 1933, as amended, (the “Securities Act”), as modified by the Jumpstart our Business Startups Act of 2012, (the “JOBS Act”) .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requirements that apply to non-emerging growth companies but any such election to opt out is irrevocable, provided that early adoption is permitted by the new or revised accounting standard. The Company has elected to not opt out of such extended transition period,</w:t>
      </w:r>
    </w:p>
    <w:p>
      <w:pPr>
        <w:spacing w:after="0" w:line="129"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2.5.Liquidity</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 In accordance with ASU No. 2014-15, Disclosure of Uncertainties about an Entity’s Ability to Continue as a Going concern (Subtopic 205-40), the Company has evaluated whether there are conditions and events, considered in the aggregate, that raise substantial doubt about its ability to continue as a going concern within one year after the date that the condensed consolidated financial statements are issued.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historically funded its operations with cash flow from debt and equity capital raises agreements from investors. The Company's principal uses of cash have been working capital and funding operations.</w:t>
      </w:r>
    </w:p>
    <w:p>
      <w:pPr>
        <w:spacing w:after="0" w:line="11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As of June 30, 2024, the Company had an accumulated deficit of $239.1 million. For the six months ended June 30, 2024, the Company incurred a net loss of $ 12.8 million and net cash used in operating activities was $4.9 million. Cash and cash equivalents totaled $0.06 million as of June 30, 2024. The Company has a working capital deficit of $18.8 million as at June 30, 2024. The Company continues to incur losses while it develops technological services and targets customers. Our sources of cash for these activities rely on debt and equity funding. The ability to raise funding proved challenging beginning in the year ended December 31, 2022 which coincided with the increase in interest rates. Interest rates have started to decrease, however the ability to raise funding continues to be constrained.</w:t>
      </w:r>
    </w:p>
    <w:p>
      <w:pPr>
        <w:spacing w:after="0" w:line="108" w:lineRule="exact"/>
        <w:rPr>
          <w:sz w:val="20"/>
          <w:szCs w:val="20"/>
          <w:color w:val="auto"/>
        </w:rPr>
      </w:pPr>
    </w:p>
    <w:p>
      <w:pPr>
        <w:ind w:right="60" w:firstLine="480"/>
        <w:spacing w:after="0" w:line="292" w:lineRule="auto"/>
        <w:rPr>
          <w:sz w:val="20"/>
          <w:szCs w:val="20"/>
          <w:color w:val="auto"/>
        </w:rPr>
      </w:pPr>
      <w:r>
        <w:rPr>
          <w:rFonts w:ascii="Times New Roman" w:cs="Times New Roman" w:eastAsia="Times New Roman" w:hAnsi="Times New Roman"/>
          <w:sz w:val="10"/>
          <w:szCs w:val="10"/>
          <w:color w:val="auto"/>
        </w:rPr>
        <w:t>In the six months ending June 30, 2024, the Company obtained two unsecured convertible loans (Note 5.4) as well as an unsecured promissory note (Note 5.5). Subsequent to the date of these condensed interim carve-out consolidated financial statements, the Company executed an amended to it’s senior secured convertible notes (5.3) whereby the maturity date was extended to August 14</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2027.</w:t>
      </w:r>
    </w:p>
    <w:p>
      <w:pPr>
        <w:spacing w:after="0" w:line="3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(Note 5.4), were considered. Consequently, it has been concluded that significant doubt exists regarding the entity’s ability to continue as a going concern.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2.6.Recently issued accounting pronouncements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December 2023, the Financial Accounting Standards Board (the FASB) issued Accounting Standards Update (ASU) No. 2023-09, Improvements to Income Tax Disclosures (ASU 2023-09),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108" w:lineRule="exact"/>
        <w:rPr>
          <w:sz w:val="20"/>
          <w:szCs w:val="20"/>
          <w:color w:val="auto"/>
        </w:rPr>
      </w:pPr>
    </w:p>
    <w:p>
      <w:pPr>
        <w:jc w:val="both"/>
        <w:ind w:right="140" w:firstLine="480"/>
        <w:spacing w:after="0" w:line="277" w:lineRule="auto"/>
        <w:rPr>
          <w:sz w:val="20"/>
          <w:szCs w:val="20"/>
          <w:color w:val="auto"/>
        </w:rPr>
      </w:pPr>
      <w:r>
        <w:rPr>
          <w:rFonts w:ascii="Times New Roman" w:cs="Times New Roman" w:eastAsia="Times New Roman" w:hAnsi="Times New Roman"/>
          <w:sz w:val="9"/>
          <w:szCs w:val="9"/>
          <w:color w:val="auto"/>
        </w:rPr>
        <w:t>In November 2023, the FASB issued ASU No. 2023-07, Improvements to Reportable Segment Disclosures (ASU 2023-07),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October 2023, the Financial Accounting Standards Board (“FASB”) issued ASU 2023-06, “Disclosure Improvements: Codification Amendments in Response to the SEC’s Disclosure Update and Simplification Initiative” (“ASU 2023-06”). This ASU incorporates certain SEC disclosure requirements into the FASB Accounting Standards Codification (“ASC”). The amendments in the ASU are expected to clarify or improve disclosure and presentation requirements of a variety of ASC Topics, allow users to more easily compare entities subject to the SEC’s existing disclosures with those entities that were not previously subject to the requirements, and align the requirements in the ASC with the SEC’s regulations. The ASU has an unusual effective date and transition requirements since it is contingent on future SEC rule setting. If the SEC fails to enact required changes by June 30, 2027, this ASU is not effective for any entities. Early adoption is not permitted. The Company is currently evaluating the impact that the adoption of this standard will have on its consolidated financial statements.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2.8.Net loss per share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Company has two classes of issued shares, ordinary shares and series A preferred. 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June 30, 2024, and December 31, 2023, the Company’s Board of Directors had not declared any dividends for ordinary shares.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1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the effect of dilutive ordinary share equivalents, as their effect would be antidilutive. Diluted loss per share is equal to the net loss per share as all potentially dilutive securities are anti-dilutive in the periods presented. For the periods ended June 30, 2024 and 2023 the Company incurred net losses and therefore no potential dilutive ordinary share were utilized in the calculation of losses per share.</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11"/>
        </w:trPr>
        <w:tc>
          <w:tcPr>
            <w:tcW w:w="4080" w:type="dxa"/>
            <w:vAlign w:val="bottom"/>
          </w:tcPr>
          <w:p>
            <w:pPr>
              <w:spacing w:after="0"/>
              <w:rPr>
                <w:sz w:val="9"/>
                <w:szCs w:val="9"/>
                <w:color w:val="auto"/>
              </w:rPr>
            </w:pP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00" w:type="dxa"/>
            <w:vAlign w:val="bottom"/>
          </w:tcPr>
          <w:p>
            <w:pPr>
              <w:spacing w:after="0"/>
              <w:rPr>
                <w:sz w:val="9"/>
                <w:szCs w:val="9"/>
                <w:color w:val="auto"/>
              </w:rPr>
            </w:pPr>
          </w:p>
        </w:tc>
      </w:tr>
      <w:tr>
        <w:trPr>
          <w:trHeight w:val="118"/>
        </w:trPr>
        <w:tc>
          <w:tcPr>
            <w:tcW w:w="5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Convertible loans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5,423,768</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4,273,552</w:t>
            </w:r>
          </w:p>
        </w:tc>
        <w:tc>
          <w:tcPr>
            <w:tcW w:w="100" w:type="dxa"/>
            <w:vAlign w:val="bottom"/>
            <w:shd w:val="clear" w:color="auto" w:fill="CFF0FC"/>
          </w:tcPr>
          <w:p>
            <w:pPr>
              <w:spacing w:after="0"/>
              <w:rPr>
                <w:sz w:val="10"/>
                <w:szCs w:val="10"/>
                <w:color w:val="auto"/>
              </w:rPr>
            </w:pPr>
          </w:p>
        </w:tc>
      </w:tr>
      <w:tr>
        <w:trPr>
          <w:trHeight w:val="127"/>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Convertible loan from related party</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1,037,575</w:t>
            </w:r>
          </w:p>
        </w:tc>
        <w:tc>
          <w:tcPr>
            <w:tcW w:w="100" w:type="dxa"/>
            <w:vAlign w:val="bottom"/>
          </w:tcPr>
          <w:p>
            <w:pPr>
              <w:spacing w:after="0"/>
              <w:rPr>
                <w:sz w:val="11"/>
                <w:szCs w:val="11"/>
                <w:color w:val="auto"/>
              </w:rPr>
            </w:pPr>
          </w:p>
        </w:tc>
      </w:tr>
      <w:tr>
        <w:trPr>
          <w:trHeight w:val="128"/>
        </w:trPr>
        <w:tc>
          <w:tcPr>
            <w:tcW w:w="5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Shares payable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140,000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140,000</w:t>
            </w:r>
          </w:p>
        </w:tc>
        <w:tc>
          <w:tcPr>
            <w:tcW w:w="100" w:type="dxa"/>
            <w:vAlign w:val="bottom"/>
            <w:shd w:val="clear" w:color="auto" w:fill="CFF0FC"/>
          </w:tcPr>
          <w:p>
            <w:pPr>
              <w:spacing w:after="0"/>
              <w:rPr>
                <w:sz w:val="11"/>
                <w:szCs w:val="11"/>
                <w:color w:val="auto"/>
              </w:rPr>
            </w:pPr>
          </w:p>
        </w:tc>
      </w:tr>
      <w:tr>
        <w:trPr>
          <w:trHeight w:val="127"/>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Warrants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3,521,846</w:t>
            </w:r>
          </w:p>
        </w:tc>
        <w:tc>
          <w:tcPr>
            <w:tcW w:w="10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r>
      <w:tr>
        <w:trPr>
          <w:trHeight w:val="128"/>
        </w:trPr>
        <w:tc>
          <w:tcPr>
            <w:tcW w:w="5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5,200,000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5,200,000</w:t>
            </w:r>
          </w:p>
        </w:tc>
        <w:tc>
          <w:tcPr>
            <w:tcW w:w="100" w:type="dxa"/>
            <w:vAlign w:val="bottom"/>
            <w:shd w:val="clear" w:color="auto" w:fill="CFF0FC"/>
          </w:tcPr>
          <w:p>
            <w:pPr>
              <w:spacing w:after="0"/>
              <w:rPr>
                <w:sz w:val="11"/>
                <w:szCs w:val="11"/>
                <w:color w:val="auto"/>
              </w:rPr>
            </w:pPr>
          </w:p>
        </w:tc>
      </w:tr>
      <w:tr>
        <w:trPr>
          <w:trHeight w:val="127"/>
        </w:trPr>
        <w:tc>
          <w:tcPr>
            <w:tcW w:w="40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0"/>
                <w:szCs w:val="10"/>
                <w:color w:val="auto"/>
              </w:rPr>
              <w:t>Preferred shares</w:t>
            </w:r>
          </w:p>
        </w:tc>
        <w:tc>
          <w:tcPr>
            <w:tcW w:w="1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11"/>
                <w:szCs w:val="11"/>
                <w:color w:val="auto"/>
              </w:rPr>
            </w:pPr>
          </w:p>
        </w:tc>
      </w:tr>
      <w:tr>
        <w:trPr>
          <w:trHeight w:val="118"/>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10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42,325,131</w:t>
            </w:r>
          </w:p>
        </w:tc>
        <w:tc>
          <w:tcPr>
            <w:tcW w:w="100" w:type="dxa"/>
            <w:vAlign w:val="bottom"/>
            <w:tcBorders>
              <w:bottom w:val="single" w:sz="8" w:color="CFF0FC"/>
            </w:tcBorders>
            <w:shd w:val="clear" w:color="auto" w:fill="CFF0FC"/>
          </w:tcPr>
          <w:p>
            <w:pPr>
              <w:spacing w:after="0"/>
              <w:rPr>
                <w:sz w:val="10"/>
                <w:szCs w:val="1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38,690,644</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uses the if converted method for calculating the dilutive effect of the convertible loans and shares payable and the treasury stock method for calculating the dilutive effect of the warrants and share options. The preferred shares are convertible at the rate of one preferred share into one common share in the event of an initial public offering.</w:t>
      </w:r>
    </w:p>
    <w:p>
      <w:pPr>
        <w:spacing w:after="0" w:line="144"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0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Requiring Additional</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8"/>
        </w:trPr>
        <w:tc>
          <w:tcPr>
            <w:tcW w:w="4040" w:type="dxa"/>
            <w:vAlign w:val="bottom"/>
          </w:tcPr>
          <w:p>
            <w:pPr>
              <w:spacing w:after="0"/>
              <w:rPr>
                <w:sz w:val="9"/>
                <w:szCs w:val="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at Par Value</w:t>
            </w:r>
          </w:p>
        </w:tc>
        <w:tc>
          <w:tcPr>
            <w:tcW w:w="120" w:type="dxa"/>
            <w:vAlign w:val="bottom"/>
          </w:tcPr>
          <w:p>
            <w:pPr>
              <w:spacing w:after="0"/>
              <w:rPr>
                <w:sz w:val="9"/>
                <w:szCs w:val="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Paid in Capital</w:t>
            </w:r>
          </w:p>
        </w:tc>
        <w:tc>
          <w:tcPr>
            <w:tcW w:w="1280" w:type="dxa"/>
            <w:vAlign w:val="bottom"/>
            <w:gridSpan w:val="2"/>
          </w:tcPr>
          <w:p>
            <w:pPr>
              <w:jc w:val="right"/>
              <w:ind w:right="491"/>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9"/>
                <w:szCs w:val="9"/>
                <w:color w:val="auto"/>
              </w:rPr>
            </w:pP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 xml:space="preserve">£ </w:t>
            </w:r>
            <w:r>
              <w:rPr>
                <w:rFonts w:ascii="Times New Roman" w:cs="Times New Roman" w:eastAsia="Times New Roman" w:hAnsi="Times New Roman"/>
                <w:sz w:val="8"/>
                <w:szCs w:val="8"/>
                <w:b w:val="1"/>
                <w:bCs w:val="1"/>
                <w:color w:val="000000"/>
              </w:rPr>
              <w:t>0.0001</w:t>
            </w:r>
          </w:p>
        </w:tc>
        <w:tc>
          <w:tcPr>
            <w:tcW w:w="1700" w:type="dxa"/>
            <w:vAlign w:val="bottom"/>
            <w:gridSpan w:val="2"/>
          </w:tcPr>
          <w:p>
            <w:pPr>
              <w:jc w:val="center"/>
              <w:ind w:left="54"/>
              <w:spacing w:after="0"/>
              <w:rPr>
                <w:sz w:val="20"/>
                <w:szCs w:val="20"/>
                <w:color w:val="auto"/>
              </w:rPr>
            </w:pPr>
            <w:r>
              <w:rPr>
                <w:rFonts w:ascii="Times New Roman" w:cs="Times New Roman" w:eastAsia="Times New Roman" w:hAnsi="Times New Roman"/>
                <w:sz w:val="8"/>
                <w:szCs w:val="8"/>
                <w:b w:val="1"/>
                <w:bCs w:val="1"/>
                <w:color w:val="202124"/>
                <w:w w:val="99"/>
              </w:rPr>
              <w:t xml:space="preserve">£ </w:t>
            </w:r>
            <w:r>
              <w:rPr>
                <w:rFonts w:ascii="Times New Roman" w:cs="Times New Roman" w:eastAsia="Times New Roman" w:hAnsi="Times New Roman"/>
                <w:sz w:val="8"/>
                <w:szCs w:val="8"/>
                <w:b w:val="1"/>
                <w:bCs w:val="1"/>
                <w:color w:val="000000"/>
                <w:w w:val="99"/>
              </w:rPr>
              <w:t>0.016</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As at January 1, 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215,448</w:t>
            </w:r>
          </w:p>
        </w:tc>
        <w:tc>
          <w:tcPr>
            <w:tcW w:w="100" w:type="dxa"/>
            <w:vAlign w:val="bottom"/>
            <w:shd w:val="clear" w:color="auto" w:fill="CFF0FC"/>
          </w:tcPr>
          <w:p>
            <w:pPr>
              <w:spacing w:after="0"/>
              <w:rPr>
                <w:sz w:val="11"/>
                <w:szCs w:val="11"/>
                <w:color w:val="auto"/>
              </w:rPr>
            </w:pPr>
          </w:p>
        </w:tc>
      </w:tr>
      <w:tr>
        <w:trPr>
          <w:trHeight w:val="127"/>
        </w:trPr>
        <w:tc>
          <w:tcPr>
            <w:tcW w:w="4040" w:type="dxa"/>
            <w:vAlign w:val="bottom"/>
          </w:tcPr>
          <w:p>
            <w:pPr>
              <w:spacing w:after="0"/>
              <w:rPr>
                <w:sz w:val="20"/>
                <w:szCs w:val="20"/>
                <w:color w:val="auto"/>
              </w:rPr>
            </w:pPr>
            <w:r>
              <w:rPr>
                <w:rFonts w:ascii="Times New Roman" w:cs="Times New Roman" w:eastAsia="Times New Roman" w:hAnsi="Times New Roman"/>
                <w:sz w:val="10"/>
                <w:szCs w:val="10"/>
                <w:color w:val="auto"/>
              </w:rPr>
              <w:t>Issued during the period ended June 30,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40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As at June 30,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215,448</w:t>
            </w:r>
          </w:p>
        </w:tc>
        <w:tc>
          <w:tcPr>
            <w:tcW w:w="100" w:type="dxa"/>
            <w:vAlign w:val="bottom"/>
          </w:tcPr>
          <w:p>
            <w:pPr>
              <w:spacing w:after="0"/>
              <w:rPr>
                <w:sz w:val="11"/>
                <w:szCs w:val="11"/>
                <w:color w:val="auto"/>
              </w:rPr>
            </w:pPr>
          </w:p>
        </w:tc>
      </w:tr>
      <w:tr>
        <w:trPr>
          <w:trHeight w:val="128"/>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Issued during the period ended June 30, 2024</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40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As at June 30, 2024</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58,315,800</w:t>
            </w:r>
          </w:p>
        </w:tc>
        <w:tc>
          <w:tcPr>
            <w:tcW w:w="120" w:type="dxa"/>
            <w:vAlign w:val="bottom"/>
            <w:tcBorders>
              <w:bottom w:val="single" w:sz="8" w:color="CFF0FC"/>
            </w:tcBorders>
            <w:shd w:val="clear" w:color="auto" w:fill="CFF0FC"/>
          </w:tcPr>
          <w:p>
            <w:pPr>
              <w:spacing w:after="0"/>
              <w:rPr>
                <w:sz w:val="11"/>
                <w:szCs w:val="1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10,700,000</w:t>
            </w:r>
          </w:p>
        </w:tc>
        <w:tc>
          <w:tcPr>
            <w:tcW w:w="10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215,448</w:t>
            </w:r>
          </w:p>
        </w:tc>
        <w:tc>
          <w:tcPr>
            <w:tcW w:w="100" w:type="dxa"/>
            <w:vAlign w:val="bottom"/>
            <w:tcBorders>
              <w:bottom w:val="single" w:sz="8" w:color="CFF0FC"/>
            </w:tcBorders>
            <w:shd w:val="clear" w:color="auto" w:fill="CFF0FC"/>
          </w:tcPr>
          <w:p>
            <w:pPr>
              <w:spacing w:after="0"/>
              <w:rPr>
                <w:sz w:val="11"/>
                <w:szCs w:val="11"/>
                <w:color w:val="auto"/>
              </w:rPr>
            </w:pPr>
          </w:p>
        </w:tc>
      </w:tr>
    </w:tbl>
    <w:p>
      <w:pPr>
        <w:spacing w:after="0" w:line="136"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0"/>
          <w:szCs w:val="10"/>
          <w:color w:val="auto"/>
        </w:rPr>
        <w:t>payment expense to have been recognized immediately for the grant of 58,315,800 employee shares to be $13,995,792. This estimate uses a fair value per employee share of $ based on the last equity funding of the Company at $.24 per Ordinary share and an exercise price of £0.0001 for each employee share.</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2.9.Restatement of error in previously filed condensed interim carve-out consolidated financial statements: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On August 30, 2021, the Company executed a binding term sheet to acquire ANY from the Radio Group GmbH. In accordance with the binding term sheet, the Company issued 14,427,185 ordinary shares valued at $1.03 per share. The ordinary shares were</w:t>
      </w:r>
    </w:p>
    <w:p>
      <w:pPr>
        <w:spacing w:after="0" w:line="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0"/>
          <w:szCs w:val="10"/>
          <w:color w:val="auto"/>
        </w:rPr>
        <w:t>issued on February 11, 2022 at which point all of the outstanding shares of ANY were transferred from the Radio Group to the Company. On December 28, 2022 the legal ownership of ANY reverted back to the sellers of ANY, the consideration shares were reclassified as deferred shares. On April 13,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comparative condensed interim carve-out consolidated financial statements for the six months ending June 30, 2023 by restating the comparative financial statements in these condensed interim carve-out consolidated financial statements.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and for the six months then ended. The previously reported amounts reflect those included in the third and fourth amended registration statements as of and for the six months ended June 30, 2023 filed with the SEC on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decrease in net loss of $7.3 million, a decrease in total assets of $0.3 million and total liabilities and shareholders equity of $0.3 million.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14"/>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1980" w:type="dxa"/>
            <w:vAlign w:val="bottom"/>
          </w:tcPr>
          <w:p>
            <w:pPr>
              <w:spacing w:after="0"/>
              <w:rPr>
                <w:sz w:val="9"/>
                <w:szCs w:val="9"/>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5"/>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98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5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1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Cash</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122,364</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0"/>
                <w:szCs w:val="10"/>
                <w:color w:val="auto"/>
              </w:rPr>
              <w:t>(1,275 )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121,089</w:t>
            </w:r>
          </w:p>
        </w:tc>
        <w:tc>
          <w:tcPr>
            <w:tcW w:w="100" w:type="dxa"/>
            <w:vAlign w:val="bottom"/>
            <w:shd w:val="clear" w:color="auto" w:fill="CFF0FC"/>
          </w:tcPr>
          <w:p>
            <w:pPr>
              <w:spacing w:after="0"/>
              <w:rPr>
                <w:sz w:val="11"/>
                <w:szCs w:val="11"/>
                <w:color w:val="auto"/>
              </w:rPr>
            </w:pPr>
          </w:p>
        </w:tc>
      </w:tr>
      <w:tr>
        <w:trPr>
          <w:trHeight w:val="127"/>
        </w:trPr>
        <w:tc>
          <w:tcPr>
            <w:tcW w:w="3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Accounts receivable</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75,353</w:t>
            </w:r>
          </w:p>
        </w:tc>
        <w:tc>
          <w:tcPr>
            <w:tcW w:w="220" w:type="dxa"/>
            <w:vAlign w:val="bottom"/>
          </w:tcPr>
          <w:p>
            <w:pPr>
              <w:spacing w:after="0"/>
              <w:rPr>
                <w:sz w:val="11"/>
                <w:szCs w:val="11"/>
                <w:color w:val="auto"/>
              </w:rPr>
            </w:pPr>
          </w:p>
        </w:tc>
        <w:tc>
          <w:tcPr>
            <w:tcW w:w="1760" w:type="dxa"/>
            <w:vAlign w:val="bottom"/>
            <w:gridSpan w:val="2"/>
          </w:tcPr>
          <w:p>
            <w:pPr>
              <w:jc w:val="right"/>
              <w:ind w:right="123"/>
              <w:spacing w:after="0"/>
              <w:rPr>
                <w:sz w:val="20"/>
                <w:szCs w:val="20"/>
                <w:color w:val="auto"/>
              </w:rPr>
            </w:pPr>
            <w:r>
              <w:rPr>
                <w:rFonts w:ascii="Times New Roman" w:cs="Times New Roman" w:eastAsia="Times New Roman" w:hAnsi="Times New Roman"/>
                <w:sz w:val="10"/>
                <w:szCs w:val="10"/>
                <w:color w:val="auto"/>
              </w:rPr>
              <w:t>(67,032 )</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8,321</w:t>
            </w:r>
          </w:p>
        </w:tc>
        <w:tc>
          <w:tcPr>
            <w:tcW w:w="100" w:type="dxa"/>
            <w:vAlign w:val="bottom"/>
          </w:tcPr>
          <w:p>
            <w:pPr>
              <w:spacing w:after="0"/>
              <w:rPr>
                <w:sz w:val="11"/>
                <w:szCs w:val="11"/>
                <w:color w:val="auto"/>
              </w:rPr>
            </w:pPr>
          </w:p>
        </w:tc>
      </w:tr>
      <w:tr>
        <w:trPr>
          <w:trHeight w:val="128"/>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Prepayments and other current assets</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738,274</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0"/>
                <w:szCs w:val="10"/>
                <w:color w:val="auto"/>
              </w:rPr>
              <w:t>(161,304 )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576,970</w:t>
            </w:r>
          </w:p>
        </w:tc>
        <w:tc>
          <w:tcPr>
            <w:tcW w:w="100" w:type="dxa"/>
            <w:vAlign w:val="bottom"/>
            <w:shd w:val="clear" w:color="auto" w:fill="CFF0FC"/>
          </w:tcPr>
          <w:p>
            <w:pPr>
              <w:spacing w:after="0"/>
              <w:rPr>
                <w:sz w:val="11"/>
                <w:szCs w:val="11"/>
                <w:color w:val="auto"/>
              </w:rPr>
            </w:pPr>
          </w:p>
        </w:tc>
      </w:tr>
      <w:tr>
        <w:trPr>
          <w:trHeight w:val="128"/>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935,991</w:t>
            </w:r>
          </w:p>
        </w:tc>
        <w:tc>
          <w:tcPr>
            <w:tcW w:w="220" w:type="dxa"/>
            <w:vAlign w:val="bottom"/>
          </w:tcPr>
          <w:p>
            <w:pPr>
              <w:spacing w:after="0"/>
              <w:rPr>
                <w:sz w:val="11"/>
                <w:szCs w:val="11"/>
                <w:color w:val="auto"/>
              </w:rPr>
            </w:pPr>
          </w:p>
        </w:tc>
        <w:tc>
          <w:tcPr>
            <w:tcW w:w="1760" w:type="dxa"/>
            <w:vAlign w:val="bottom"/>
            <w:gridSpan w:val="2"/>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(229,611 )</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706,380</w:t>
            </w:r>
          </w:p>
        </w:tc>
        <w:tc>
          <w:tcPr>
            <w:tcW w:w="100" w:type="dxa"/>
            <w:vAlign w:val="bottom"/>
          </w:tcPr>
          <w:p>
            <w:pPr>
              <w:spacing w:after="0"/>
              <w:rPr>
                <w:sz w:val="11"/>
                <w:szCs w:val="11"/>
                <w:color w:val="auto"/>
              </w:rPr>
            </w:pPr>
          </w:p>
        </w:tc>
      </w:tr>
      <w:tr>
        <w:trPr>
          <w:trHeight w:val="115"/>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Non-current assets</w:t>
            </w:r>
          </w:p>
        </w:tc>
        <w:tc>
          <w:tcPr>
            <w:tcW w:w="1980" w:type="dxa"/>
            <w:vAlign w:val="bottom"/>
            <w:shd w:val="clear" w:color="auto" w:fill="CFF0FC"/>
          </w:tcPr>
          <w:p>
            <w:pPr>
              <w:spacing w:after="0"/>
              <w:rPr>
                <w:sz w:val="10"/>
                <w:szCs w:val="10"/>
                <w:color w:val="auto"/>
              </w:rPr>
            </w:pPr>
          </w:p>
        </w:tc>
        <w:tc>
          <w:tcPr>
            <w:tcW w:w="15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7"/>
        </w:trPr>
        <w:tc>
          <w:tcPr>
            <w:tcW w:w="3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119,591</w:t>
            </w:r>
          </w:p>
        </w:tc>
        <w:tc>
          <w:tcPr>
            <w:tcW w:w="220" w:type="dxa"/>
            <w:vAlign w:val="bottom"/>
          </w:tcPr>
          <w:p>
            <w:pPr>
              <w:spacing w:after="0"/>
              <w:rPr>
                <w:sz w:val="11"/>
                <w:szCs w:val="11"/>
                <w:color w:val="auto"/>
              </w:rPr>
            </w:pPr>
          </w:p>
        </w:tc>
        <w:tc>
          <w:tcPr>
            <w:tcW w:w="1760" w:type="dxa"/>
            <w:vAlign w:val="bottom"/>
            <w:gridSpan w:val="2"/>
          </w:tcPr>
          <w:p>
            <w:pPr>
              <w:jc w:val="right"/>
              <w:ind w:right="123"/>
              <w:spacing w:after="0"/>
              <w:rPr>
                <w:sz w:val="20"/>
                <w:szCs w:val="20"/>
                <w:color w:val="auto"/>
              </w:rPr>
            </w:pPr>
            <w:r>
              <w:rPr>
                <w:rFonts w:ascii="Times New Roman" w:cs="Times New Roman" w:eastAsia="Times New Roman" w:hAnsi="Times New Roman"/>
                <w:sz w:val="10"/>
                <w:szCs w:val="10"/>
                <w:color w:val="auto"/>
              </w:rPr>
              <w:t>(24,263 )</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95,328</w:t>
            </w:r>
          </w:p>
        </w:tc>
        <w:tc>
          <w:tcPr>
            <w:tcW w:w="100" w:type="dxa"/>
            <w:vAlign w:val="bottom"/>
          </w:tcPr>
          <w:p>
            <w:pPr>
              <w:spacing w:after="0"/>
              <w:rPr>
                <w:sz w:val="11"/>
                <w:szCs w:val="11"/>
                <w:color w:val="auto"/>
              </w:rPr>
            </w:pPr>
          </w:p>
        </w:tc>
      </w:tr>
      <w:tr>
        <w:trPr>
          <w:trHeight w:val="128"/>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Intangible assets</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589,524</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0"/>
                <w:szCs w:val="10"/>
                <w:color w:val="auto"/>
              </w:rPr>
              <w:t>(18,225 )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571,299</w:t>
            </w:r>
          </w:p>
        </w:tc>
        <w:tc>
          <w:tcPr>
            <w:tcW w:w="100" w:type="dxa"/>
            <w:vAlign w:val="bottom"/>
            <w:shd w:val="clear" w:color="auto" w:fill="CFF0FC"/>
          </w:tcPr>
          <w:p>
            <w:pPr>
              <w:spacing w:after="0"/>
              <w:rPr>
                <w:sz w:val="11"/>
                <w:szCs w:val="11"/>
                <w:color w:val="auto"/>
              </w:rPr>
            </w:pPr>
          </w:p>
        </w:tc>
      </w:tr>
      <w:tr>
        <w:trPr>
          <w:trHeight w:val="128"/>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709,115</w:t>
            </w:r>
          </w:p>
        </w:tc>
        <w:tc>
          <w:tcPr>
            <w:tcW w:w="220" w:type="dxa"/>
            <w:vAlign w:val="bottom"/>
          </w:tcPr>
          <w:p>
            <w:pPr>
              <w:spacing w:after="0"/>
              <w:rPr>
                <w:sz w:val="11"/>
                <w:szCs w:val="11"/>
                <w:color w:val="auto"/>
              </w:rPr>
            </w:pPr>
          </w:p>
        </w:tc>
        <w:tc>
          <w:tcPr>
            <w:tcW w:w="1760" w:type="dxa"/>
            <w:vAlign w:val="bottom"/>
            <w:gridSpan w:val="2"/>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(42,488 )</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666,627</w:t>
            </w:r>
          </w:p>
        </w:tc>
        <w:tc>
          <w:tcPr>
            <w:tcW w:w="100" w:type="dxa"/>
            <w:vAlign w:val="bottom"/>
          </w:tcPr>
          <w:p>
            <w:pPr>
              <w:spacing w:after="0"/>
              <w:rPr>
                <w:sz w:val="11"/>
                <w:szCs w:val="11"/>
                <w:color w:val="auto"/>
              </w:rPr>
            </w:pPr>
          </w:p>
        </w:tc>
      </w:tr>
      <w:tr>
        <w:trPr>
          <w:trHeight w:val="115"/>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980" w:type="dxa"/>
            <w:vAlign w:val="bottom"/>
            <w:tcBorders>
              <w:bottom w:val="single" w:sz="8" w:color="CFF0FC"/>
            </w:tcBorders>
            <w:shd w:val="clear" w:color="auto" w:fill="CFF0FC"/>
          </w:tcPr>
          <w:p>
            <w:pPr>
              <w:spacing w:after="0"/>
              <w:rPr>
                <w:sz w:val="10"/>
                <w:szCs w:val="1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tcBorders>
              <w:bottom w:val="single" w:sz="8" w:color="CFF0FC"/>
            </w:tcBorders>
            <w:shd w:val="clear" w:color="auto" w:fill="CFF0FC"/>
          </w:tcPr>
          <w:p>
            <w:pPr>
              <w:spacing w:after="0"/>
              <w:rPr>
                <w:sz w:val="10"/>
                <w:szCs w:val="1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(272,099</w:t>
            </w:r>
          </w:p>
        </w:tc>
        <w:tc>
          <w:tcPr>
            <w:tcW w:w="200" w:type="dxa"/>
            <w:vAlign w:val="bottom"/>
            <w:tcBorders>
              <w:bottom w:val="single" w:sz="8" w:color="CFF0FC"/>
            </w:tcBorders>
            <w:shd w:val="clear" w:color="auto" w:fill="CFF0FC"/>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22"/>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198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3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Accounts payable</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4,050,668</w:t>
            </w:r>
          </w:p>
        </w:tc>
        <w:tc>
          <w:tcPr>
            <w:tcW w:w="220" w:type="dxa"/>
            <w:vAlign w:val="bottom"/>
          </w:tcPr>
          <w:p>
            <w:pPr>
              <w:spacing w:after="0"/>
              <w:rPr>
                <w:sz w:val="11"/>
                <w:szCs w:val="11"/>
                <w:color w:val="auto"/>
              </w:rPr>
            </w:pPr>
          </w:p>
        </w:tc>
        <w:tc>
          <w:tcPr>
            <w:tcW w:w="1760" w:type="dxa"/>
            <w:vAlign w:val="bottom"/>
            <w:gridSpan w:val="2"/>
          </w:tcPr>
          <w:p>
            <w:pPr>
              <w:jc w:val="right"/>
              <w:ind w:right="123"/>
              <w:spacing w:after="0"/>
              <w:rPr>
                <w:sz w:val="20"/>
                <w:szCs w:val="20"/>
                <w:color w:val="auto"/>
              </w:rPr>
            </w:pPr>
            <w:r>
              <w:rPr>
                <w:rFonts w:ascii="Times New Roman" w:cs="Times New Roman" w:eastAsia="Times New Roman" w:hAnsi="Times New Roman"/>
                <w:sz w:val="10"/>
                <w:szCs w:val="10"/>
                <w:color w:val="auto"/>
              </w:rPr>
              <w:t>(74,773 )</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3,975,895</w:t>
            </w:r>
          </w:p>
        </w:tc>
        <w:tc>
          <w:tcPr>
            <w:tcW w:w="100" w:type="dxa"/>
            <w:vAlign w:val="bottom"/>
          </w:tcPr>
          <w:p>
            <w:pPr>
              <w:spacing w:after="0"/>
              <w:rPr>
                <w:sz w:val="11"/>
                <w:szCs w:val="11"/>
                <w:color w:val="auto"/>
              </w:rPr>
            </w:pPr>
          </w:p>
        </w:tc>
      </w:tr>
      <w:tr>
        <w:trPr>
          <w:trHeight w:val="128"/>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Due to related party</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895,170</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0"/>
                <w:szCs w:val="10"/>
                <w:color w:val="auto"/>
              </w:rPr>
              <w:t>(795,050 )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100,120</w:t>
            </w:r>
          </w:p>
        </w:tc>
        <w:tc>
          <w:tcPr>
            <w:tcW w:w="100" w:type="dxa"/>
            <w:vAlign w:val="bottom"/>
            <w:shd w:val="clear" w:color="auto" w:fill="CFF0FC"/>
          </w:tcPr>
          <w:p>
            <w:pPr>
              <w:spacing w:after="0"/>
              <w:rPr>
                <w:sz w:val="11"/>
                <w:szCs w:val="11"/>
                <w:color w:val="auto"/>
              </w:rPr>
            </w:pPr>
          </w:p>
        </w:tc>
      </w:tr>
      <w:tr>
        <w:trPr>
          <w:trHeight w:val="127"/>
        </w:trPr>
        <w:tc>
          <w:tcPr>
            <w:tcW w:w="3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Accrued expenses and other payables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2,875,038</w:t>
            </w:r>
          </w:p>
        </w:tc>
        <w:tc>
          <w:tcPr>
            <w:tcW w:w="220" w:type="dxa"/>
            <w:vAlign w:val="bottom"/>
          </w:tcPr>
          <w:p>
            <w:pPr>
              <w:spacing w:after="0"/>
              <w:rPr>
                <w:sz w:val="11"/>
                <w:szCs w:val="11"/>
                <w:color w:val="auto"/>
              </w:rPr>
            </w:pPr>
          </w:p>
        </w:tc>
        <w:tc>
          <w:tcPr>
            <w:tcW w:w="1760" w:type="dxa"/>
            <w:vAlign w:val="bottom"/>
            <w:gridSpan w:val="2"/>
          </w:tcPr>
          <w:p>
            <w:pPr>
              <w:jc w:val="right"/>
              <w:ind w:right="123"/>
              <w:spacing w:after="0"/>
              <w:rPr>
                <w:sz w:val="20"/>
                <w:szCs w:val="20"/>
                <w:color w:val="auto"/>
              </w:rPr>
            </w:pPr>
            <w:r>
              <w:rPr>
                <w:rFonts w:ascii="Times New Roman" w:cs="Times New Roman" w:eastAsia="Times New Roman" w:hAnsi="Times New Roman"/>
                <w:sz w:val="10"/>
                <w:szCs w:val="10"/>
                <w:color w:val="auto"/>
              </w:rPr>
              <w:t>(348,254 )</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2,526,784</w:t>
            </w:r>
          </w:p>
        </w:tc>
        <w:tc>
          <w:tcPr>
            <w:tcW w:w="100" w:type="dxa"/>
            <w:vAlign w:val="bottom"/>
          </w:tcPr>
          <w:p>
            <w:pPr>
              <w:spacing w:after="0"/>
              <w:rPr>
                <w:sz w:val="11"/>
                <w:szCs w:val="11"/>
                <w:color w:val="auto"/>
              </w:rPr>
            </w:pPr>
          </w:p>
        </w:tc>
      </w:tr>
      <w:tr>
        <w:trPr>
          <w:trHeight w:val="128"/>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Ordinary shares payable</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1,786,335</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1,786,335</w:t>
            </w:r>
          </w:p>
        </w:tc>
        <w:tc>
          <w:tcPr>
            <w:tcW w:w="100" w:type="dxa"/>
            <w:vAlign w:val="bottom"/>
            <w:shd w:val="clear" w:color="auto" w:fill="CFF0FC"/>
          </w:tcPr>
          <w:p>
            <w:pPr>
              <w:spacing w:after="0"/>
              <w:rPr>
                <w:sz w:val="11"/>
                <w:szCs w:val="11"/>
                <w:color w:val="auto"/>
              </w:rPr>
            </w:pPr>
          </w:p>
        </w:tc>
      </w:tr>
      <w:tr>
        <w:trPr>
          <w:trHeight w:val="127"/>
        </w:trPr>
        <w:tc>
          <w:tcPr>
            <w:tcW w:w="3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Short term debt</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762,505</w:t>
            </w:r>
          </w:p>
        </w:tc>
        <w:tc>
          <w:tcPr>
            <w:tcW w:w="220" w:type="dxa"/>
            <w:vAlign w:val="bottom"/>
          </w:tcPr>
          <w:p>
            <w:pPr>
              <w:spacing w:after="0"/>
              <w:rPr>
                <w:sz w:val="11"/>
                <w:szCs w:val="11"/>
                <w:color w:val="auto"/>
              </w:rPr>
            </w:pPr>
          </w:p>
        </w:tc>
        <w:tc>
          <w:tcPr>
            <w:tcW w:w="1760" w:type="dxa"/>
            <w:vAlign w:val="bottom"/>
            <w:gridSpan w:val="2"/>
          </w:tcPr>
          <w:p>
            <w:pPr>
              <w:jc w:val="right"/>
              <w:ind w:right="183"/>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762,505</w:t>
            </w:r>
          </w:p>
        </w:tc>
        <w:tc>
          <w:tcPr>
            <w:tcW w:w="100" w:type="dxa"/>
            <w:vAlign w:val="bottom"/>
          </w:tcPr>
          <w:p>
            <w:pPr>
              <w:spacing w:after="0"/>
              <w:rPr>
                <w:sz w:val="11"/>
                <w:szCs w:val="11"/>
                <w:color w:val="auto"/>
              </w:rPr>
            </w:pPr>
          </w:p>
        </w:tc>
      </w:tr>
      <w:tr>
        <w:trPr>
          <w:trHeight w:val="128"/>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Short term debt to related party</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5,661,193</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5,661,193</w:t>
            </w:r>
          </w:p>
        </w:tc>
        <w:tc>
          <w:tcPr>
            <w:tcW w:w="100" w:type="dxa"/>
            <w:vAlign w:val="bottom"/>
            <w:shd w:val="clear" w:color="auto" w:fill="CFF0FC"/>
          </w:tcPr>
          <w:p>
            <w:pPr>
              <w:spacing w:after="0"/>
              <w:rPr>
                <w:sz w:val="11"/>
                <w:szCs w:val="11"/>
                <w:color w:val="auto"/>
              </w:rPr>
            </w:pPr>
          </w:p>
        </w:tc>
      </w:tr>
      <w:tr>
        <w:trPr>
          <w:trHeight w:val="128"/>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16,030,909</w:t>
            </w:r>
          </w:p>
        </w:tc>
        <w:tc>
          <w:tcPr>
            <w:tcW w:w="220" w:type="dxa"/>
            <w:vAlign w:val="bottom"/>
          </w:tcPr>
          <w:p>
            <w:pPr>
              <w:spacing w:after="0"/>
              <w:rPr>
                <w:sz w:val="11"/>
                <w:szCs w:val="11"/>
                <w:color w:val="auto"/>
              </w:rPr>
            </w:pPr>
          </w:p>
        </w:tc>
        <w:tc>
          <w:tcPr>
            <w:tcW w:w="1760" w:type="dxa"/>
            <w:vAlign w:val="bottom"/>
            <w:gridSpan w:val="2"/>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(1,218,077 )</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14,812,832</w:t>
            </w:r>
          </w:p>
        </w:tc>
        <w:tc>
          <w:tcPr>
            <w:tcW w:w="100" w:type="dxa"/>
            <w:vAlign w:val="bottom"/>
          </w:tcPr>
          <w:p>
            <w:pPr>
              <w:spacing w:after="0"/>
              <w:rPr>
                <w:sz w:val="11"/>
                <w:szCs w:val="11"/>
                <w:color w:val="auto"/>
              </w:rPr>
            </w:pPr>
          </w:p>
        </w:tc>
      </w:tr>
      <w:tr>
        <w:trPr>
          <w:trHeight w:val="115"/>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Non-current liabilities</w:t>
            </w:r>
          </w:p>
        </w:tc>
        <w:tc>
          <w:tcPr>
            <w:tcW w:w="198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5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7"/>
        </w:trPr>
        <w:tc>
          <w:tcPr>
            <w:tcW w:w="3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Convertible debt</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30,968,733</w:t>
            </w:r>
          </w:p>
        </w:tc>
        <w:tc>
          <w:tcPr>
            <w:tcW w:w="220" w:type="dxa"/>
            <w:vAlign w:val="bottom"/>
          </w:tcPr>
          <w:p>
            <w:pPr>
              <w:spacing w:after="0"/>
              <w:rPr>
                <w:sz w:val="11"/>
                <w:szCs w:val="11"/>
                <w:color w:val="auto"/>
              </w:rPr>
            </w:pPr>
          </w:p>
        </w:tc>
        <w:tc>
          <w:tcPr>
            <w:tcW w:w="1760" w:type="dxa"/>
            <w:vAlign w:val="bottom"/>
            <w:gridSpan w:val="2"/>
          </w:tcPr>
          <w:p>
            <w:pPr>
              <w:jc w:val="right"/>
              <w:ind w:right="123"/>
              <w:spacing w:after="0"/>
              <w:rPr>
                <w:sz w:val="20"/>
                <w:szCs w:val="20"/>
                <w:color w:val="auto"/>
              </w:rPr>
            </w:pPr>
            <w:r>
              <w:rPr>
                <w:rFonts w:ascii="Times New Roman" w:cs="Times New Roman" w:eastAsia="Times New Roman" w:hAnsi="Times New Roman"/>
                <w:sz w:val="10"/>
                <w:szCs w:val="10"/>
                <w:color w:val="auto"/>
              </w:rPr>
              <w:t>(1,053,869 )</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29,914,864</w:t>
            </w:r>
          </w:p>
        </w:tc>
        <w:tc>
          <w:tcPr>
            <w:tcW w:w="100" w:type="dxa"/>
            <w:vAlign w:val="bottom"/>
          </w:tcPr>
          <w:p>
            <w:pPr>
              <w:spacing w:after="0"/>
              <w:rPr>
                <w:sz w:val="11"/>
                <w:szCs w:val="11"/>
                <w:color w:val="auto"/>
              </w:rPr>
            </w:pPr>
          </w:p>
        </w:tc>
      </w:tr>
      <w:tr>
        <w:trPr>
          <w:trHeight w:val="128"/>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Share-based payment liability</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1,242,533</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1,242,533</w:t>
            </w:r>
          </w:p>
        </w:tc>
        <w:tc>
          <w:tcPr>
            <w:tcW w:w="100" w:type="dxa"/>
            <w:vAlign w:val="bottom"/>
            <w:shd w:val="clear" w:color="auto" w:fill="CFF0FC"/>
          </w:tcPr>
          <w:p>
            <w:pPr>
              <w:spacing w:after="0"/>
              <w:rPr>
                <w:sz w:val="11"/>
                <w:szCs w:val="11"/>
                <w:color w:val="auto"/>
              </w:rPr>
            </w:pPr>
          </w:p>
        </w:tc>
      </w:tr>
      <w:tr>
        <w:trPr>
          <w:trHeight w:val="115"/>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32,211,266</w:t>
            </w:r>
          </w:p>
        </w:tc>
        <w:tc>
          <w:tcPr>
            <w:tcW w:w="220" w:type="dxa"/>
            <w:vAlign w:val="bottom"/>
          </w:tcPr>
          <w:p>
            <w:pPr>
              <w:spacing w:after="0"/>
              <w:rPr>
                <w:sz w:val="10"/>
                <w:szCs w:val="1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(1,053,869</w:t>
            </w:r>
          </w:p>
        </w:tc>
        <w:tc>
          <w:tcPr>
            <w:tcW w:w="200" w:type="dxa"/>
            <w:vAlign w:val="bottom"/>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31,157,397</w:t>
            </w:r>
          </w:p>
        </w:tc>
        <w:tc>
          <w:tcPr>
            <w:tcW w:w="100" w:type="dxa"/>
            <w:vAlign w:val="bottom"/>
          </w:tcPr>
          <w:p>
            <w:pPr>
              <w:spacing w:after="0"/>
              <w:rPr>
                <w:sz w:val="10"/>
                <w:szCs w:val="10"/>
                <w:color w:val="auto"/>
              </w:rPr>
            </w:pPr>
          </w:p>
        </w:tc>
      </w:tr>
      <w:tr>
        <w:trPr>
          <w:trHeight w:val="115"/>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48,242,175</w:t>
            </w:r>
          </w:p>
        </w:tc>
        <w:tc>
          <w:tcPr>
            <w:tcW w:w="220" w:type="dxa"/>
            <w:vAlign w:val="bottom"/>
            <w:shd w:val="clear" w:color="auto" w:fill="CFF0FC"/>
          </w:tcPr>
          <w:p>
            <w:pPr>
              <w:spacing w:after="0"/>
              <w:rPr>
                <w:sz w:val="10"/>
                <w:szCs w:val="1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(2,271,946)</w:t>
            </w:r>
          </w:p>
        </w:tc>
        <w:tc>
          <w:tcPr>
            <w:tcW w:w="200" w:type="dxa"/>
            <w:vAlign w:val="bottom"/>
            <w:shd w:val="clear" w:color="auto" w:fill="CFF0FC"/>
          </w:tcPr>
          <w:p>
            <w:pPr>
              <w:spacing w:after="0"/>
              <w:rPr>
                <w:sz w:val="10"/>
                <w:szCs w:val="1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45,970,229</w:t>
            </w:r>
          </w:p>
        </w:tc>
        <w:tc>
          <w:tcPr>
            <w:tcW w:w="100" w:type="dxa"/>
            <w:vAlign w:val="bottom"/>
            <w:shd w:val="clear" w:color="auto" w:fill="CFF0FC"/>
          </w:tcPr>
          <w:p>
            <w:pPr>
              <w:spacing w:after="0"/>
              <w:rPr>
                <w:sz w:val="10"/>
                <w:szCs w:val="10"/>
                <w:color w:val="auto"/>
              </w:rPr>
            </w:pP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Ordinary shares</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100" w:type="dxa"/>
            <w:vAlign w:val="bottom"/>
            <w:shd w:val="clear" w:color="auto" w:fill="CFF0FC"/>
          </w:tcPr>
          <w:p>
            <w:pPr>
              <w:spacing w:after="0"/>
              <w:rPr>
                <w:sz w:val="11"/>
                <w:szCs w:val="11"/>
                <w:color w:val="auto"/>
              </w:rPr>
            </w:pPr>
          </w:p>
        </w:tc>
      </w:tr>
      <w:tr>
        <w:trPr>
          <w:trHeight w:val="127"/>
        </w:trPr>
        <w:tc>
          <w:tcPr>
            <w:tcW w:w="3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Deferred shares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1,993</w:t>
            </w:r>
          </w:p>
        </w:tc>
        <w:tc>
          <w:tcPr>
            <w:tcW w:w="220" w:type="dxa"/>
            <w:vAlign w:val="bottom"/>
          </w:tcPr>
          <w:p>
            <w:pPr>
              <w:spacing w:after="0"/>
              <w:rPr>
                <w:sz w:val="11"/>
                <w:szCs w:val="11"/>
                <w:color w:val="auto"/>
              </w:rPr>
            </w:pPr>
          </w:p>
        </w:tc>
        <w:tc>
          <w:tcPr>
            <w:tcW w:w="1760" w:type="dxa"/>
            <w:vAlign w:val="bottom"/>
            <w:gridSpan w:val="2"/>
          </w:tcPr>
          <w:p>
            <w:pPr>
              <w:jc w:val="right"/>
              <w:ind w:right="123"/>
              <w:spacing w:after="0"/>
              <w:rPr>
                <w:sz w:val="20"/>
                <w:szCs w:val="20"/>
                <w:color w:val="auto"/>
              </w:rPr>
            </w:pPr>
            <w:r>
              <w:rPr>
                <w:rFonts w:ascii="Times New Roman" w:cs="Times New Roman" w:eastAsia="Times New Roman" w:hAnsi="Times New Roman"/>
                <w:sz w:val="10"/>
                <w:szCs w:val="10"/>
                <w:color w:val="auto"/>
              </w:rPr>
              <w:t xml:space="preserve">(1,993 </w:t>
            </w:r>
            <w:r>
              <w:rPr>
                <w:rFonts w:ascii="Times New Roman" w:cs="Times New Roman" w:eastAsia="Times New Roman" w:hAnsi="Times New Roman"/>
                <w:sz w:val="10"/>
                <w:szCs w:val="10"/>
                <w:b w:val="1"/>
                <w:bCs w:val="1"/>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8"/>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Series A shares</w:t>
            </w:r>
          </w:p>
        </w:tc>
        <w:tc>
          <w:tcPr>
            <w:tcW w:w="3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11"/>
                <w:szCs w:val="11"/>
                <w:color w:val="auto"/>
              </w:rPr>
            </w:pPr>
          </w:p>
        </w:tc>
      </w:tr>
      <w:tr>
        <w:trPr>
          <w:trHeight w:val="127"/>
        </w:trPr>
        <w:tc>
          <w:tcPr>
            <w:tcW w:w="3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168,358,010</w:t>
            </w:r>
          </w:p>
        </w:tc>
        <w:tc>
          <w:tcPr>
            <w:tcW w:w="22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1,993</w:t>
            </w:r>
          </w:p>
        </w:tc>
        <w:tc>
          <w:tcPr>
            <w:tcW w:w="20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168,360,003</w:t>
            </w:r>
          </w:p>
        </w:tc>
        <w:tc>
          <w:tcPr>
            <w:tcW w:w="100" w:type="dxa"/>
            <w:vAlign w:val="bottom"/>
          </w:tcPr>
          <w:p>
            <w:pPr>
              <w:spacing w:after="0"/>
              <w:rPr>
                <w:sz w:val="11"/>
                <w:szCs w:val="11"/>
                <w:color w:val="auto"/>
              </w:rPr>
            </w:pPr>
          </w:p>
        </w:tc>
      </w:tr>
      <w:tr>
        <w:trPr>
          <w:trHeight w:val="128"/>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Share subscription receivable</w:t>
            </w:r>
          </w:p>
        </w:tc>
        <w:tc>
          <w:tcPr>
            <w:tcW w:w="37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c>
          <w:tcPr>
            <w:tcW w:w="176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0"/>
                <w:szCs w:val="10"/>
                <w:b w:val="1"/>
                <w:bCs w:val="1"/>
                <w:color w:val="auto"/>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r>
      <w:tr>
        <w:trPr>
          <w:trHeight w:val="127"/>
        </w:trPr>
        <w:tc>
          <w:tcPr>
            <w:tcW w:w="3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Accumulated deficit</w:t>
            </w:r>
          </w:p>
        </w:tc>
        <w:tc>
          <w:tcPr>
            <w:tcW w:w="37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 xml:space="preserve">(213,740,307 </w:t>
            </w:r>
            <w:r>
              <w:rPr>
                <w:rFonts w:ascii="Times New Roman" w:cs="Times New Roman" w:eastAsia="Times New Roman" w:hAnsi="Times New Roman"/>
                <w:sz w:val="10"/>
                <w:szCs w:val="10"/>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908,901</w:t>
            </w:r>
          </w:p>
        </w:tc>
        <w:tc>
          <w:tcPr>
            <w:tcW w:w="200" w:type="dxa"/>
            <w:vAlign w:val="bottom"/>
          </w:tcPr>
          <w:p>
            <w:pPr>
              <w:spacing w:after="0"/>
              <w:rPr>
                <w:sz w:val="11"/>
                <w:szCs w:val="11"/>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 xml:space="preserve">(212,831,406 </w:t>
            </w:r>
            <w:r>
              <w:rPr>
                <w:rFonts w:ascii="Times New Roman" w:cs="Times New Roman" w:eastAsia="Times New Roman" w:hAnsi="Times New Roman"/>
                <w:sz w:val="10"/>
                <w:szCs w:val="10"/>
                <w:b w:val="1"/>
                <w:bCs w:val="1"/>
                <w:color w:val="auto"/>
              </w:rPr>
              <w:t>)</w:t>
            </w:r>
          </w:p>
        </w:tc>
      </w:tr>
      <w:tr>
        <w:trPr>
          <w:trHeight w:val="12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37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 xml:space="preserve">(1,169,223 </w:t>
            </w:r>
            <w:r>
              <w:rPr>
                <w:rFonts w:ascii="Times New Roman" w:cs="Times New Roman" w:eastAsia="Times New Roman" w:hAnsi="Times New Roman"/>
                <w:sz w:val="10"/>
                <w:szCs w:val="10"/>
                <w:b w:val="1"/>
                <w:bCs w:val="1"/>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1,090,946</w:t>
            </w:r>
          </w:p>
        </w:tc>
        <w:tc>
          <w:tcPr>
            <w:tcW w:w="200" w:type="dxa"/>
            <w:vAlign w:val="bottom"/>
            <w:shd w:val="clear" w:color="auto" w:fill="CFF0FC"/>
          </w:tcPr>
          <w:p>
            <w:pPr>
              <w:spacing w:after="0"/>
              <w:rPr>
                <w:sz w:val="11"/>
                <w:szCs w:val="11"/>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 xml:space="preserve">(78,277 </w:t>
            </w:r>
            <w:r>
              <w:rPr>
                <w:rFonts w:ascii="Times New Roman" w:cs="Times New Roman" w:eastAsia="Times New Roman" w:hAnsi="Times New Roman"/>
                <w:sz w:val="10"/>
                <w:szCs w:val="10"/>
                <w:b w:val="1"/>
                <w:bCs w:val="1"/>
                <w:color w:val="auto"/>
              </w:rPr>
              <w:t>)</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37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(46,597,069 )</w:t>
            </w: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1,999,847</w:t>
            </w:r>
          </w:p>
        </w:tc>
        <w:tc>
          <w:tcPr>
            <w:tcW w:w="200" w:type="dxa"/>
            <w:vAlign w:val="bottom"/>
          </w:tcPr>
          <w:p>
            <w:pPr>
              <w:spacing w:after="0"/>
              <w:rPr>
                <w:sz w:val="11"/>
                <w:szCs w:val="11"/>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(44,597,222 )</w:t>
            </w:r>
          </w:p>
        </w:tc>
      </w:tr>
      <w:tr>
        <w:trPr>
          <w:trHeight w:val="12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1980" w:type="dxa"/>
            <w:vAlign w:val="bottom"/>
            <w:shd w:val="clear" w:color="auto" w:fill="CFF0FC"/>
          </w:tcPr>
          <w:p>
            <w:pPr>
              <w:spacing w:after="0"/>
              <w:rPr>
                <w:sz w:val="11"/>
                <w:szCs w:val="1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(272,099 )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shd w:val="clear" w:color="auto" w:fill="CFF0FC"/>
          </w:tcPr>
          <w:p>
            <w:pPr>
              <w:spacing w:after="0"/>
              <w:rPr>
                <w:sz w:val="11"/>
                <w:szCs w:val="11"/>
                <w:color w:val="auto"/>
              </w:rPr>
            </w:pPr>
          </w:p>
        </w:tc>
      </w:tr>
      <w:tr>
        <w:trPr>
          <w:trHeight w:val="345"/>
        </w:trPr>
        <w:tc>
          <w:tcPr>
            <w:tcW w:w="34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ind w:left="1780"/>
              <w:spacing w:after="0"/>
              <w:rPr>
                <w:sz w:val="20"/>
                <w:szCs w:val="20"/>
                <w:color w:val="auto"/>
              </w:rPr>
            </w:pPr>
            <w:r>
              <w:rPr>
                <w:rFonts w:ascii="Times New Roman" w:cs="Times New Roman" w:eastAsia="Times New Roman" w:hAnsi="Times New Roman"/>
                <w:sz w:val="10"/>
                <w:szCs w:val="10"/>
                <w:color w:val="auto"/>
                <w:w w:val="95"/>
              </w:rPr>
              <w:t>F-15</w:t>
            </w: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77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9"/>
                <w:szCs w:val="9"/>
                <w:color w:val="auto"/>
              </w:rPr>
            </w:pP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Revenue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4,604,332</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(4,557,568 )</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46,764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Cost of revenue</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2,334,088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(2,317,977 )</w:t>
            </w: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16,111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Sales and marketing expenses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5,509,407</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(799,233 )</w:t>
            </w: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4,710,174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11,112,591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(2,369,214 )</w:t>
            </w: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8,743,377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Other operating expenses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6,397,167</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785,000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(258,329)</w:t>
            </w: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(1,080,110 )</w:t>
            </w: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26,813,263</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(12,437,030 )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14,376,233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Operating loss</w:t>
            </w: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(22,208,931</w:t>
            </w:r>
          </w:p>
        </w:tc>
        <w:tc>
          <w:tcPr>
            <w:tcW w:w="2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8"/>
                <w:szCs w:val="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7,879,462</w:t>
            </w:r>
          </w:p>
        </w:tc>
        <w:tc>
          <w:tcPr>
            <w:tcW w:w="220" w:type="dxa"/>
            <w:vAlign w:val="bottom"/>
            <w:tcBorders>
              <w:left w:val="single" w:sz="8" w:color="CFF0FC"/>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(14,329,469</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Other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(4,106,733)</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1,051,787</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269,510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(97,759 )</w:t>
            </w: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Total other expenses, net</w:t>
            </w: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(3,837,223</w:t>
            </w:r>
          </w:p>
        </w:tc>
        <w:tc>
          <w:tcPr>
            <w:tcW w:w="2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8"/>
                <w:szCs w:val="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954,028</w:t>
            </w:r>
          </w:p>
        </w:tc>
        <w:tc>
          <w:tcPr>
            <w:tcW w:w="220" w:type="dxa"/>
            <w:vAlign w:val="bottom"/>
            <w:tcBorders>
              <w:left w:val="single" w:sz="8" w:color="CFF0FC"/>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(2,883,195</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Loss before taxes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b w:val="1"/>
                <w:bCs w:val="1"/>
                <w:color w:val="auto"/>
              </w:rPr>
              <w:t>(26,046,154 )</w:t>
            </w:r>
          </w:p>
        </w:tc>
        <w:tc>
          <w:tcPr>
            <w:tcW w:w="10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8,833,490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b w:val="1"/>
                <w:bCs w:val="1"/>
                <w:color w:val="auto"/>
              </w:rPr>
              <w:t>(17,212,664 )</w:t>
            </w:r>
          </w:p>
        </w:tc>
        <w:tc>
          <w:tcPr>
            <w:tcW w:w="0" w:type="dxa"/>
            <w:vAlign w:val="bottom"/>
          </w:tcPr>
          <w:p>
            <w:pPr>
              <w:spacing w:after="0"/>
              <w:rPr>
                <w:sz w:val="1"/>
                <w:szCs w:val="1"/>
                <w:color w:val="auto"/>
              </w:rPr>
            </w:pPr>
          </w:p>
        </w:tc>
      </w:tr>
      <w:tr>
        <w:trPr>
          <w:trHeight w:val="115"/>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Income tax recovery (expense)</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1,477,389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(1,540,797 )</w:t>
            </w:r>
          </w:p>
        </w:tc>
        <w:tc>
          <w:tcPr>
            <w:tcW w:w="100" w:type="dxa"/>
            <w:vAlign w:val="bottom"/>
            <w:shd w:val="clear" w:color="auto" w:fill="CFF0FC"/>
          </w:tcPr>
          <w:p>
            <w:pPr>
              <w:spacing w:after="0"/>
              <w:rPr>
                <w:sz w:val="10"/>
                <w:szCs w:val="10"/>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(63,408 )</w:t>
            </w:r>
          </w:p>
        </w:tc>
        <w:tc>
          <w:tcPr>
            <w:tcW w:w="0" w:type="dxa"/>
            <w:vAlign w:val="bottom"/>
          </w:tcPr>
          <w:p>
            <w:pPr>
              <w:spacing w:after="0"/>
              <w:rPr>
                <w:sz w:val="1"/>
                <w:szCs w:val="1"/>
                <w:color w:val="auto"/>
              </w:rPr>
            </w:pPr>
          </w:p>
        </w:tc>
      </w:tr>
      <w:tr>
        <w:trPr>
          <w:trHeight w:val="113"/>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for the year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b w:val="1"/>
                <w:bCs w:val="1"/>
                <w:color w:val="auto"/>
              </w:rPr>
              <w:t>(24,568,765 )</w:t>
            </w:r>
          </w:p>
        </w:tc>
        <w:tc>
          <w:tcPr>
            <w:tcW w:w="10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7,292,693</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b w:val="1"/>
                <w:bCs w:val="1"/>
                <w:color w:val="auto"/>
              </w:rPr>
              <w:t>(17,276,072 )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Net loss per share – Basic and diluted</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(0.03)</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(0.01 )</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(0.02 )</w:t>
            </w:r>
          </w:p>
        </w:tc>
        <w:tc>
          <w:tcPr>
            <w:tcW w:w="0" w:type="dxa"/>
            <w:vAlign w:val="bottom"/>
          </w:tcPr>
          <w:p>
            <w:pPr>
              <w:spacing w:after="0"/>
              <w:rPr>
                <w:sz w:val="1"/>
                <w:szCs w:val="1"/>
                <w:color w:val="auto"/>
              </w:rPr>
            </w:pPr>
          </w:p>
        </w:tc>
      </w:tr>
      <w:tr>
        <w:trPr>
          <w:trHeight w:val="107"/>
        </w:trPr>
        <w:tc>
          <w:tcPr>
            <w:tcW w:w="53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Weighted average number of shares – Basic and diluted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5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22"/>
                <w:szCs w:val="22"/>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6"/>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9"/>
                <w:szCs w:val="9"/>
                <w:color w:val="auto"/>
              </w:rPr>
            </w:pPr>
          </w:p>
        </w:tc>
        <w:tc>
          <w:tcPr>
            <w:tcW w:w="1480" w:type="dxa"/>
            <w:vAlign w:val="bottom"/>
            <w:gridSpan w:val="2"/>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0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Cash flows from operating activities:</w:t>
            </w: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4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(24,568,765 )</w:t>
            </w:r>
          </w:p>
        </w:tc>
        <w:tc>
          <w:tcPr>
            <w:tcW w:w="10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7,292,693</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(17,276,072 )</w:t>
            </w:r>
          </w:p>
        </w:tc>
        <w:tc>
          <w:tcPr>
            <w:tcW w:w="0" w:type="dxa"/>
            <w:vAlign w:val="bottom"/>
          </w:tcPr>
          <w:p>
            <w:pPr>
              <w:spacing w:after="0"/>
              <w:rPr>
                <w:sz w:val="1"/>
                <w:szCs w:val="1"/>
                <w:color w:val="auto"/>
              </w:rPr>
            </w:pPr>
          </w:p>
        </w:tc>
      </w:tr>
      <w:tr>
        <w:trPr>
          <w:trHeight w:val="1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Adjustments to reconcile net loss to net cash (used in)</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activities: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Depreciation and amortization</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(258,329 )</w:t>
            </w: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Unrealized foreign exchange (gain)/loss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63,284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264,099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327,383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Share based compensation issued to related parties for consultancy</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services</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Employee share based compensation</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4,880,389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3,588,960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prepayments and other current assets</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Impairment of customer list intangible asset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9"/>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Deferred tax benefit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(1,459,336 )</w:t>
            </w:r>
          </w:p>
        </w:tc>
        <w:tc>
          <w:tcPr>
            <w:tcW w:w="10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1,459,336</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4,134,431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(1,079,485 )</w:t>
            </w: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Changes in operating assets and liabilities: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Decrease/(increase) in accounts receivable</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(605 )</w:t>
            </w:r>
          </w:p>
        </w:tc>
        <w:tc>
          <w:tcPr>
            <w:tcW w:w="10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1,139</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(Increase) in prepayment and other current assets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236,410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(931,436 )</w:t>
            </w:r>
          </w:p>
        </w:tc>
        <w:tc>
          <w:tcPr>
            <w:tcW w:w="100" w:type="dxa"/>
            <w:vAlign w:val="bottom"/>
          </w:tcPr>
          <w:p>
            <w:pPr>
              <w:spacing w:after="0"/>
              <w:rPr>
                <w:sz w:val="9"/>
                <w:szCs w:val="9"/>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(695,026 )</w:t>
            </w:r>
          </w:p>
        </w:tc>
        <w:tc>
          <w:tcPr>
            <w:tcW w:w="0" w:type="dxa"/>
            <w:vAlign w:val="bottom"/>
          </w:tcPr>
          <w:p>
            <w:pPr>
              <w:spacing w:after="0"/>
              <w:rPr>
                <w:sz w:val="1"/>
                <w:szCs w:val="1"/>
                <w:color w:val="auto"/>
              </w:rPr>
            </w:pPr>
          </w:p>
        </w:tc>
      </w:tr>
      <w:tr>
        <w:trPr>
          <w:trHeight w:val="1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 in receivable with related parties</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(320,702 )</w:t>
            </w:r>
          </w:p>
        </w:tc>
        <w:tc>
          <w:tcPr>
            <w:tcW w:w="10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320,702</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9"/>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Decrease in accounts payable, accrued expenses and other payables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(825,679 )</w:t>
            </w:r>
          </w:p>
        </w:tc>
        <w:tc>
          <w:tcPr>
            <w:tcW w:w="10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562,331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(263,348 )</w:t>
            </w:r>
          </w:p>
        </w:tc>
        <w:tc>
          <w:tcPr>
            <w:tcW w:w="0" w:type="dxa"/>
            <w:vAlign w:val="bottom"/>
          </w:tcPr>
          <w:p>
            <w:pPr>
              <w:spacing w:after="0"/>
              <w:rPr>
                <w:sz w:val="1"/>
                <w:szCs w:val="1"/>
                <w:color w:val="auto"/>
              </w:rPr>
            </w:pPr>
          </w:p>
        </w:tc>
      </w:tr>
      <w:tr>
        <w:trPr>
          <w:trHeight w:val="1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Increase (decrease) in payables to related parties</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670,050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(795,050 )</w:t>
            </w:r>
          </w:p>
        </w:tc>
        <w:tc>
          <w:tcPr>
            <w:tcW w:w="100" w:type="dxa"/>
            <w:vAlign w:val="bottom"/>
            <w:shd w:val="clear" w:color="auto" w:fill="CFF0FC"/>
          </w:tcPr>
          <w:p>
            <w:pPr>
              <w:spacing w:after="0"/>
              <w:rPr>
                <w:sz w:val="10"/>
                <w:szCs w:val="10"/>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(125,000 )</w:t>
            </w:r>
          </w:p>
        </w:tc>
        <w:tc>
          <w:tcPr>
            <w:tcW w:w="0" w:type="dxa"/>
            <w:vAlign w:val="bottom"/>
          </w:tcPr>
          <w:p>
            <w:pPr>
              <w:spacing w:after="0"/>
              <w:rPr>
                <w:sz w:val="1"/>
                <w:szCs w:val="1"/>
                <w:color w:val="auto"/>
              </w:rPr>
            </w:pPr>
          </w:p>
        </w:tc>
      </w:tr>
      <w:tr>
        <w:trPr>
          <w:trHeight w:val="100"/>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cash (used in) operating activities</w:t>
            </w:r>
          </w:p>
        </w:tc>
        <w:tc>
          <w:tcPr>
            <w:tcW w:w="1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(8,962,030</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tcPr>
          <w:p>
            <w:pPr>
              <w:spacing w:after="0"/>
              <w:rPr>
                <w:sz w:val="8"/>
                <w:szCs w:val="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143,723</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b w:val="1"/>
                <w:bCs w:val="1"/>
                <w:color w:val="auto"/>
              </w:rPr>
              <w:t>(8,818,307 )</w:t>
            </w:r>
          </w:p>
        </w:tc>
        <w:tc>
          <w:tcPr>
            <w:tcW w:w="0" w:type="dxa"/>
            <w:vAlign w:val="bottom"/>
          </w:tcPr>
          <w:p>
            <w:pPr>
              <w:spacing w:after="0"/>
              <w:rPr>
                <w:sz w:val="1"/>
                <w:szCs w:val="1"/>
                <w:color w:val="auto"/>
              </w:rPr>
            </w:pPr>
          </w:p>
        </w:tc>
      </w:tr>
      <w:tr>
        <w:trPr>
          <w:trHeight w:val="10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Cash flows from investing activities: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Purchase of property and equipment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(104,604 )</w:t>
            </w:r>
          </w:p>
        </w:tc>
        <w:tc>
          <w:tcPr>
            <w:tcW w:w="100" w:type="dxa"/>
            <w:vAlign w:val="bottom"/>
          </w:tcPr>
          <w:p>
            <w:pPr>
              <w:spacing w:after="0"/>
              <w:rPr>
                <w:sz w:val="9"/>
                <w:szCs w:val="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(104,604 )</w:t>
            </w:r>
          </w:p>
        </w:tc>
        <w:tc>
          <w:tcPr>
            <w:tcW w:w="0" w:type="dxa"/>
            <w:vAlign w:val="bottom"/>
          </w:tcPr>
          <w:p>
            <w:pPr>
              <w:spacing w:after="0"/>
              <w:rPr>
                <w:sz w:val="1"/>
                <w:szCs w:val="1"/>
                <w:color w:val="auto"/>
              </w:rPr>
            </w:pPr>
          </w:p>
        </w:tc>
      </w:tr>
      <w:tr>
        <w:trPr>
          <w:trHeight w:val="115"/>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Development of intangible assets</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(8,060 )</w:t>
            </w: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(8,060 )</w:t>
            </w:r>
          </w:p>
        </w:tc>
        <w:tc>
          <w:tcPr>
            <w:tcW w:w="0" w:type="dxa"/>
            <w:vAlign w:val="bottom"/>
          </w:tcPr>
          <w:p>
            <w:pPr>
              <w:spacing w:after="0"/>
              <w:rPr>
                <w:sz w:val="1"/>
                <w:szCs w:val="1"/>
                <w:color w:val="auto"/>
              </w:rPr>
            </w:pPr>
          </w:p>
        </w:tc>
      </w:tr>
      <w:tr>
        <w:trPr>
          <w:trHeight w:val="100"/>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cash (used in) investing activities</w:t>
            </w:r>
          </w:p>
        </w:tc>
        <w:tc>
          <w:tcPr>
            <w:tcW w:w="1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(112,664</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8"/>
                <w:szCs w:val="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b w:val="1"/>
                <w:bCs w:val="1"/>
                <w:color w:val="auto"/>
              </w:rPr>
              <w:t>(112,664 )</w:t>
            </w:r>
          </w:p>
        </w:tc>
        <w:tc>
          <w:tcPr>
            <w:tcW w:w="0" w:type="dxa"/>
            <w:vAlign w:val="bottom"/>
          </w:tcPr>
          <w:p>
            <w:pPr>
              <w:spacing w:after="0"/>
              <w:rPr>
                <w:sz w:val="1"/>
                <w:szCs w:val="1"/>
                <w:color w:val="auto"/>
              </w:rPr>
            </w:pPr>
          </w:p>
        </w:tc>
      </w:tr>
      <w:tr>
        <w:trPr>
          <w:trHeight w:val="10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Cash flows from financing activities: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rights issuance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issuance of common stock to related parties</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Repayment of short term debt obligation from related parties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(250,000 )</w:t>
            </w:r>
          </w:p>
        </w:tc>
        <w:tc>
          <w:tcPr>
            <w:tcW w:w="100" w:type="dxa"/>
            <w:vAlign w:val="bottom"/>
          </w:tcPr>
          <w:p>
            <w:pPr>
              <w:spacing w:after="0"/>
              <w:rPr>
                <w:sz w:val="9"/>
                <w:szCs w:val="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(250,000 )</w:t>
            </w:r>
          </w:p>
        </w:tc>
        <w:tc>
          <w:tcPr>
            <w:tcW w:w="0" w:type="dxa"/>
            <w:vAlign w:val="bottom"/>
          </w:tcPr>
          <w:p>
            <w:pPr>
              <w:spacing w:after="0"/>
              <w:rPr>
                <w:sz w:val="1"/>
                <w:szCs w:val="1"/>
                <w:color w:val="auto"/>
              </w:rPr>
            </w:pPr>
          </w:p>
        </w:tc>
      </w:tr>
      <w:tr>
        <w:trPr>
          <w:trHeight w:val="115"/>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short-term debt from related party</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short-term debt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convertible debt</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7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13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cash flow generated from financing activities</w:t>
            </w: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9,171,912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9,171,912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Effect of exchange rate changes on cash</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(16,563</w:t>
            </w:r>
          </w:p>
        </w:tc>
        <w:tc>
          <w:tcPr>
            <w:tcW w:w="2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(142,667 )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b w:val="1"/>
                <w:bCs w:val="1"/>
                <w:color w:val="auto"/>
              </w:rPr>
              <w:t>(159,230 )</w:t>
            </w:r>
          </w:p>
        </w:tc>
        <w:tc>
          <w:tcPr>
            <w:tcW w:w="0" w:type="dxa"/>
            <w:vAlign w:val="bottom"/>
          </w:tcPr>
          <w:p>
            <w:pPr>
              <w:spacing w:after="0"/>
              <w:rPr>
                <w:sz w:val="1"/>
                <w:szCs w:val="1"/>
                <w:color w:val="auto"/>
              </w:rPr>
            </w:pPr>
          </w:p>
        </w:tc>
      </w:tr>
      <w:tr>
        <w:trPr>
          <w:trHeight w:val="98"/>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8"/>
                <w:szCs w:val="8"/>
                <w:b w:val="1"/>
                <w:bCs w:val="1"/>
                <w:color w:val="auto"/>
              </w:rPr>
              <w:t>Net change in cash</w:t>
            </w: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80,655</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1,056</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81,711</w:t>
            </w: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 beginning of year</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41,709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(2,329 )</w:t>
            </w:r>
          </w:p>
        </w:tc>
        <w:tc>
          <w:tcPr>
            <w:tcW w:w="100" w:type="dxa"/>
            <w:vAlign w:val="bottom"/>
            <w:shd w:val="clear" w:color="auto" w:fill="CFF0FC"/>
          </w:tcPr>
          <w:p>
            <w:pPr>
              <w:spacing w:after="0"/>
              <w:rPr>
                <w:sz w:val="10"/>
                <w:szCs w:val="10"/>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39,380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and cash equivalents, end of year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122,364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(1,273 )</w:t>
            </w: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121,091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2.10.Fair value measurement and concentration of credit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29"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1—Observable inputs are quoted prices (unadjusted) in active markets for identical assets or liabilities that the Company has the ability to access at the measurement date.</w:t>
      </w:r>
    </w:p>
    <w:p>
      <w:pPr>
        <w:spacing w:after="0" w:line="11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Level 2—Observable inputs other than Level 1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Level 3—Unobservable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are unobservable inputs for the asset or liability.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76" w:lineRule="exact"/>
        <w:rPr>
          <w:sz w:val="20"/>
          <w:szCs w:val="20"/>
          <w:color w:val="auto"/>
        </w:rPr>
      </w:pPr>
    </w:p>
    <w:tbl>
      <w:tblPr>
        <w:tblLayout w:type="fixed"/>
        <w:tblInd w:w="1060" w:type="dxa"/>
        <w:tblCellMar>
          <w:top w:w="0" w:type="dxa"/>
          <w:left w:w="0" w:type="dxa"/>
          <w:bottom w:w="0" w:type="dxa"/>
          <w:right w:w="0" w:type="dxa"/>
        </w:tblCellMar>
      </w:tblPr>
      <w:tr>
        <w:trPr>
          <w:trHeight w:val="111"/>
        </w:trPr>
        <w:tc>
          <w:tcPr>
            <w:tcW w:w="29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080" w:type="dxa"/>
            <w:vAlign w:val="bottom"/>
          </w:tcPr>
          <w:p>
            <w:pPr>
              <w:ind w:left="16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480" w:type="dxa"/>
            <w:vAlign w:val="bottom"/>
          </w:tcPr>
          <w:p>
            <w:pPr>
              <w:ind w:left="9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jc w:val="right"/>
              <w:ind w:right="63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3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June 30, 2024</w:t>
            </w:r>
          </w:p>
        </w:tc>
        <w:tc>
          <w:tcPr>
            <w:tcW w:w="208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27"/>
        </w:trPr>
        <w:tc>
          <w:tcPr>
            <w:tcW w:w="29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8"/>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shd w:val="clear" w:color="auto" w:fill="CFF0FC"/>
          </w:tcPr>
          <w:p>
            <w:pPr>
              <w:spacing w:after="0"/>
              <w:rPr>
                <w:sz w:val="11"/>
                <w:szCs w:val="11"/>
                <w:color w:val="auto"/>
              </w:rPr>
            </w:pPr>
          </w:p>
        </w:tc>
        <w:tc>
          <w:tcPr>
            <w:tcW w:w="1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FF0FC"/>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0"/>
                <w:szCs w:val="10"/>
                <w:color w:val="auto"/>
              </w:rPr>
              <w:t>1,383,298</w:t>
            </w:r>
          </w:p>
        </w:tc>
      </w:tr>
      <w:tr>
        <w:trPr>
          <w:trHeight w:val="254"/>
        </w:trPr>
        <w:tc>
          <w:tcPr>
            <w:tcW w:w="29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28"/>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26"/>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tcPr>
          <w:p>
            <w:pPr>
              <w:spacing w:after="0"/>
              <w:rPr>
                <w:sz w:val="10"/>
                <w:szCs w:val="10"/>
                <w:color w:val="auto"/>
              </w:rPr>
            </w:pPr>
          </w:p>
        </w:tc>
        <w:tc>
          <w:tcPr>
            <w:tcW w:w="14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common shares payable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equivalents, accounts receivables, accounts payable and accrued expenses approximated their fair values due to their short maturities.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is potentially subject to credit risk concentration. The Company has not experienced any material losses related to concentrations during the years presented. The Company however has a concentration risk related to its contract with its only customer such that as at June 30, 2024 and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As at June 30, 2024 and December 31, 2023, the following vendors represented more than 10% of total accounts payable.</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11"/>
        </w:trPr>
        <w:tc>
          <w:tcPr>
            <w:tcW w:w="3920" w:type="dxa"/>
            <w:vAlign w:val="bottom"/>
          </w:tcPr>
          <w:p>
            <w:pPr>
              <w:spacing w:after="0"/>
              <w:rPr>
                <w:sz w:val="9"/>
                <w:szCs w:val="9"/>
                <w:color w:val="auto"/>
              </w:rPr>
            </w:pPr>
          </w:p>
        </w:tc>
        <w:tc>
          <w:tcPr>
            <w:tcW w:w="11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8"/>
                <w:szCs w:val="8"/>
                <w:b w:val="1"/>
                <w:bCs w:val="1"/>
                <w:color w:val="auto"/>
              </w:rPr>
              <w:t>June 23, 2024</w:t>
            </w: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9"/>
                <w:szCs w:val="9"/>
                <w:color w:val="auto"/>
              </w:rPr>
            </w:pPr>
          </w:p>
        </w:tc>
      </w:tr>
      <w:tr>
        <w:trPr>
          <w:trHeight w:val="118"/>
        </w:trPr>
        <w:tc>
          <w:tcPr>
            <w:tcW w:w="5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KPMG LLP</w:t>
            </w:r>
          </w:p>
        </w:tc>
        <w:tc>
          <w:tcPr>
            <w:tcW w:w="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11 %</w:t>
            </w:r>
          </w:p>
        </w:tc>
        <w:tc>
          <w:tcPr>
            <w:tcW w:w="170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0"/>
                <w:szCs w:val="10"/>
                <w:color w:val="auto"/>
              </w:rPr>
              <w:t>10 %</w:t>
            </w:r>
          </w:p>
        </w:tc>
      </w:tr>
      <w:tr>
        <w:trPr>
          <w:trHeight w:val="127"/>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Taylor Wessing LLP</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1700" w:type="dxa"/>
            <w:vAlign w:val="bottom"/>
            <w:gridSpan w:val="2"/>
          </w:tcPr>
          <w:p>
            <w:pPr>
              <w:ind w:left="1380"/>
              <w:spacing w:after="0"/>
              <w:rPr>
                <w:sz w:val="20"/>
                <w:szCs w:val="20"/>
                <w:color w:val="auto"/>
              </w:rPr>
            </w:pPr>
            <w:r>
              <w:rPr>
                <w:rFonts w:ascii="Times New Roman" w:cs="Times New Roman" w:eastAsia="Times New Roman" w:hAnsi="Times New Roman"/>
                <w:sz w:val="10"/>
                <w:szCs w:val="10"/>
                <w:color w:val="auto"/>
              </w:rPr>
              <w:t>13 %</w:t>
            </w:r>
          </w:p>
        </w:tc>
      </w:tr>
      <w:tr>
        <w:trPr>
          <w:trHeight w:val="128"/>
        </w:trPr>
        <w:tc>
          <w:tcPr>
            <w:tcW w:w="5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Wilson Sonsini Goodrich &amp; Rosati</w:t>
            </w:r>
          </w:p>
        </w:tc>
        <w:tc>
          <w:tcPr>
            <w:tcW w:w="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15 %</w:t>
            </w:r>
          </w:p>
        </w:tc>
        <w:tc>
          <w:tcPr>
            <w:tcW w:w="170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0"/>
                <w:szCs w:val="10"/>
                <w:color w:val="auto"/>
              </w:rPr>
              <w:t>14 %</w:t>
            </w:r>
          </w:p>
        </w:tc>
      </w:tr>
      <w:tr>
        <w:trPr>
          <w:trHeight w:val="126"/>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Amazon Web Services</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14 %</w:t>
            </w:r>
          </w:p>
        </w:tc>
        <w:tc>
          <w:tcPr>
            <w:tcW w:w="1700" w:type="dxa"/>
            <w:vAlign w:val="bottom"/>
            <w:gridSpan w:val="2"/>
          </w:tcPr>
          <w:p>
            <w:pPr>
              <w:ind w:left="1380"/>
              <w:spacing w:after="0"/>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is in Spain. Based upon the Company’s level of operations for the period ended June 30, 2024, a sensitivity analysis shows that a 10% appreciation or depreciation in the EUR against the dollar would have increased or decreased, respectively, the Company’s revenue for the periods ended June 30, 2024 and 2023 by approximately $ 5,339 and $ 4,676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3.Prepayments and other current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1"/>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18"/>
        </w:trPr>
        <w:tc>
          <w:tcPr>
            <w:tcW w:w="1580" w:type="dxa"/>
            <w:vAlign w:val="bottom"/>
          </w:tcPr>
          <w:p>
            <w:pPr>
              <w:spacing w:after="0"/>
              <w:rPr>
                <w:sz w:val="10"/>
                <w:szCs w:val="10"/>
                <w:color w:val="auto"/>
              </w:rPr>
            </w:pPr>
          </w:p>
        </w:tc>
        <w:tc>
          <w:tcPr>
            <w:tcW w:w="4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Prepaid expense</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207,829</w:t>
            </w: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130,309</w:t>
            </w:r>
          </w:p>
        </w:tc>
        <w:tc>
          <w:tcPr>
            <w:tcW w:w="100" w:type="dxa"/>
            <w:vAlign w:val="bottom"/>
            <w:shd w:val="clear" w:color="auto" w:fill="CFF0FC"/>
          </w:tcPr>
          <w:p>
            <w:pPr>
              <w:spacing w:after="0"/>
              <w:rPr>
                <w:sz w:val="10"/>
                <w:szCs w:val="10"/>
                <w:color w:val="auto"/>
              </w:rPr>
            </w:pPr>
          </w:p>
        </w:tc>
      </w:tr>
      <w:tr>
        <w:trPr>
          <w:trHeight w:val="127"/>
        </w:trPr>
        <w:tc>
          <w:tcPr>
            <w:tcW w:w="1580" w:type="dxa"/>
            <w:vAlign w:val="bottom"/>
          </w:tcPr>
          <w:p>
            <w:pPr>
              <w:spacing w:after="0"/>
              <w:rPr>
                <w:sz w:val="11"/>
                <w:szCs w:val="11"/>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Receivable from government authorities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582</w:t>
            </w:r>
          </w:p>
        </w:tc>
        <w:tc>
          <w:tcPr>
            <w:tcW w:w="1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4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Other receivable</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68,788</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27,690</w:t>
            </w:r>
          </w:p>
        </w:tc>
        <w:tc>
          <w:tcPr>
            <w:tcW w:w="10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40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0"/>
                <w:szCs w:val="10"/>
                <w:color w:val="auto"/>
              </w:rPr>
              <w:t>Input tax credit receivable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150,681</w:t>
            </w:r>
          </w:p>
        </w:tc>
        <w:tc>
          <w:tcPr>
            <w:tcW w:w="12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140,432</w:t>
            </w:r>
          </w:p>
        </w:tc>
        <w:tc>
          <w:tcPr>
            <w:tcW w:w="100" w:type="dxa"/>
            <w:vAlign w:val="bottom"/>
            <w:tcBorders>
              <w:bottom w:val="single" w:sz="8" w:color="CFF0FC"/>
            </w:tcBorders>
          </w:tcPr>
          <w:p>
            <w:pPr>
              <w:spacing w:after="0"/>
              <w:rPr>
                <w:sz w:val="11"/>
                <w:szCs w:val="11"/>
                <w:color w:val="auto"/>
              </w:rPr>
            </w:pPr>
          </w:p>
        </w:tc>
      </w:tr>
      <w:tr>
        <w:trPr>
          <w:trHeight w:val="118"/>
        </w:trPr>
        <w:tc>
          <w:tcPr>
            <w:tcW w:w="1580" w:type="dxa"/>
            <w:vAlign w:val="bottom"/>
          </w:tcPr>
          <w:p>
            <w:pPr>
              <w:spacing w:after="0"/>
              <w:rPr>
                <w:sz w:val="10"/>
                <w:szCs w:val="10"/>
                <w:color w:val="auto"/>
              </w:rPr>
            </w:pPr>
          </w:p>
        </w:tc>
        <w:tc>
          <w:tcPr>
            <w:tcW w:w="4080" w:type="dxa"/>
            <w:vAlign w:val="bottom"/>
            <w:tcBorders>
              <w:bottom w:val="single" w:sz="8" w:color="CFF0FC"/>
            </w:tcBorders>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b w:val="1"/>
                <w:bCs w:val="1"/>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430,691</w:t>
            </w: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299,013</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321"/>
        </w:trPr>
        <w:tc>
          <w:tcPr>
            <w:tcW w:w="56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4.Intangible assets, net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8"/>
        </w:trPr>
        <w:tc>
          <w:tcPr>
            <w:tcW w:w="15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1"/>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18"/>
        </w:trPr>
        <w:tc>
          <w:tcPr>
            <w:tcW w:w="1580" w:type="dxa"/>
            <w:vAlign w:val="bottom"/>
          </w:tcPr>
          <w:p>
            <w:pPr>
              <w:spacing w:after="0"/>
              <w:rPr>
                <w:sz w:val="10"/>
                <w:szCs w:val="10"/>
                <w:color w:val="auto"/>
              </w:rPr>
            </w:pPr>
          </w:p>
        </w:tc>
        <w:tc>
          <w:tcPr>
            <w:tcW w:w="4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Software</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1,014,094</w:t>
            </w: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1,009,272</w:t>
            </w:r>
          </w:p>
        </w:tc>
        <w:tc>
          <w:tcPr>
            <w:tcW w:w="100" w:type="dxa"/>
            <w:vAlign w:val="bottom"/>
            <w:shd w:val="clear" w:color="auto" w:fill="CFF0FC"/>
          </w:tcPr>
          <w:p>
            <w:pPr>
              <w:spacing w:after="0"/>
              <w:rPr>
                <w:sz w:val="10"/>
                <w:szCs w:val="10"/>
                <w:color w:val="auto"/>
              </w:rPr>
            </w:pPr>
          </w:p>
        </w:tc>
      </w:tr>
      <w:tr>
        <w:trPr>
          <w:trHeight w:val="127"/>
        </w:trPr>
        <w:tc>
          <w:tcPr>
            <w:tcW w:w="1580" w:type="dxa"/>
            <w:vAlign w:val="bottom"/>
          </w:tcPr>
          <w:p>
            <w:pPr>
              <w:spacing w:after="0"/>
              <w:rPr>
                <w:sz w:val="11"/>
                <w:szCs w:val="11"/>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In development intangible asset</w:t>
            </w: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3,218,169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1,862,465</w:t>
            </w:r>
          </w:p>
        </w:tc>
        <w:tc>
          <w:tcPr>
            <w:tcW w:w="1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40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4,232,263</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2,871,737</w:t>
            </w:r>
          </w:p>
        </w:tc>
        <w:tc>
          <w:tcPr>
            <w:tcW w:w="10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Less - Accumulated amortization</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(835,774 )</w:t>
            </w:r>
          </w:p>
        </w:tc>
        <w:tc>
          <w:tcPr>
            <w:tcW w:w="20" w:type="dxa"/>
            <w:vAlign w:val="bottom"/>
          </w:tcPr>
          <w:p>
            <w:pPr>
              <w:spacing w:after="0"/>
              <w:rPr>
                <w:sz w:val="11"/>
                <w:szCs w:val="11"/>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(736,834 )</w:t>
            </w:r>
          </w:p>
        </w:tc>
      </w:tr>
      <w:tr>
        <w:trPr>
          <w:trHeight w:val="118"/>
        </w:trPr>
        <w:tc>
          <w:tcPr>
            <w:tcW w:w="1580" w:type="dxa"/>
            <w:vAlign w:val="bottom"/>
          </w:tcPr>
          <w:p>
            <w:pPr>
              <w:spacing w:after="0"/>
              <w:rPr>
                <w:sz w:val="10"/>
                <w:szCs w:val="10"/>
                <w:color w:val="auto"/>
              </w:rPr>
            </w:pPr>
          </w:p>
        </w:tc>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Intangible assets, net</w:t>
            </w:r>
          </w:p>
        </w:tc>
        <w:tc>
          <w:tcPr>
            <w:tcW w:w="20" w:type="dxa"/>
            <w:vAlign w:val="bottom"/>
            <w:tcBorders>
              <w:top w:val="single" w:sz="8" w:color="auto"/>
              <w:bottom w:val="single" w:sz="8" w:color="auto"/>
            </w:tcBorders>
            <w:shd w:val="clear" w:color="auto" w:fill="CFF0FC"/>
          </w:tcPr>
          <w:p>
            <w:pPr>
              <w:spacing w:after="0"/>
              <w:rPr>
                <w:sz w:val="10"/>
                <w:szCs w:val="1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3,396,489</w:t>
            </w: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top w:val="single" w:sz="8" w:color="auto"/>
              <w:bottom w:val="single" w:sz="8" w:color="auto"/>
            </w:tcBorders>
            <w:shd w:val="clear" w:color="auto" w:fill="CFF0FC"/>
          </w:tcPr>
          <w:p>
            <w:pPr>
              <w:spacing w:after="0"/>
              <w:rPr>
                <w:sz w:val="10"/>
                <w:szCs w:val="1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2,134,903</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Amortization expense in each of the six months ended June 30, 2024 and June 30, 2023 was $ $98,940.</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40"/>
          </w:cols>
          <w:pgMar w:left="640" w:top="921" w:right="82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5.Debt and other liabilities</w:t>
      </w:r>
    </w:p>
    <w:p>
      <w:pPr>
        <w:spacing w:after="0" w:line="16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40" w:type="dxa"/>
            <w:vAlign w:val="bottom"/>
          </w:tcPr>
          <w:p>
            <w:pPr>
              <w:ind w:left="450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20" w:type="dxa"/>
            <w:vAlign w:val="bottom"/>
          </w:tcPr>
          <w:p>
            <w:pPr>
              <w:spacing w:after="0"/>
              <w:rPr>
                <w:sz w:val="8"/>
                <w:szCs w:val="8"/>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1"/>
        </w:trPr>
        <w:tc>
          <w:tcPr>
            <w:tcW w:w="5040" w:type="dxa"/>
            <w:vAlign w:val="bottom"/>
          </w:tcPr>
          <w:p>
            <w:pPr>
              <w:ind w:left="4720"/>
              <w:spacing w:after="0"/>
              <w:rPr>
                <w:sz w:val="20"/>
                <w:szCs w:val="20"/>
                <w:color w:val="auto"/>
              </w:rPr>
            </w:pPr>
            <w:r>
              <w:rPr>
                <w:rFonts w:ascii="Times New Roman" w:cs="Times New Roman" w:eastAsia="Times New Roman" w:hAnsi="Times New Roman"/>
                <w:sz w:val="8"/>
                <w:szCs w:val="8"/>
                <w:b w:val="1"/>
                <w:bCs w:val="1"/>
                <w:color w:val="auto"/>
              </w:rPr>
              <w:t>$</w:t>
            </w:r>
          </w:p>
        </w:tc>
        <w:tc>
          <w:tcPr>
            <w:tcW w:w="820" w:type="dxa"/>
            <w:vAlign w:val="bottom"/>
          </w:tcPr>
          <w:p>
            <w:pPr>
              <w:spacing w:after="0"/>
              <w:rPr>
                <w:sz w:val="9"/>
                <w:szCs w:val="9"/>
                <w:color w:val="auto"/>
              </w:rPr>
            </w:pPr>
          </w:p>
        </w:tc>
        <w:tc>
          <w:tcPr>
            <w:tcW w:w="1580" w:type="dxa"/>
            <w:vAlign w:val="bottom"/>
          </w:tcPr>
          <w:p>
            <w:pPr>
              <w:jc w:val="right"/>
              <w:ind w:right="833"/>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31"/>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Short-term debt</w:t>
            </w:r>
          </w:p>
        </w:tc>
        <w:tc>
          <w:tcPr>
            <w:tcW w:w="8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r>
      <w:tr>
        <w:trPr>
          <w:trHeight w:val="127"/>
        </w:trPr>
        <w:tc>
          <w:tcPr>
            <w:tcW w:w="5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Short-term debt from Related parties (5.1)</w:t>
            </w: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rPr>
              <w:t>860,778</w:t>
            </w: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6,225,815</w:t>
            </w:r>
          </w:p>
        </w:tc>
      </w:tr>
      <w:tr>
        <w:trPr>
          <w:trHeight w:val="128"/>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Short-term debt to related party (5.2)</w:t>
            </w:r>
          </w:p>
        </w:tc>
        <w:tc>
          <w:tcPr>
            <w:tcW w:w="8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132,269</w:t>
            </w:r>
          </w:p>
        </w:tc>
      </w:tr>
      <w:tr>
        <w:trPr>
          <w:trHeight w:val="127"/>
        </w:trPr>
        <w:tc>
          <w:tcPr>
            <w:tcW w:w="5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debt (5.3)</w:t>
            </w: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31,088,259</w:t>
            </w:r>
          </w:p>
        </w:tc>
      </w:tr>
      <w:tr>
        <w:trPr>
          <w:trHeight w:val="128"/>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Promissory loan note (5.5)</w:t>
            </w:r>
          </w:p>
        </w:tc>
        <w:tc>
          <w:tcPr>
            <w:tcW w:w="8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color w:val="auto"/>
              </w:rPr>
              <w:t>437,956</w:t>
            </w:r>
          </w:p>
        </w:tc>
        <w:tc>
          <w:tcPr>
            <w:tcW w:w="15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short-term debt</w:t>
            </w: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1,298,734</w:t>
            </w: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0"/>
                <w:szCs w:val="10"/>
                <w:b w:val="1"/>
                <w:bCs w:val="1"/>
                <w:color w:val="auto"/>
              </w:rPr>
              <w:t>37,446,343</w:t>
            </w:r>
          </w:p>
        </w:tc>
      </w:tr>
      <w:tr>
        <w:trPr>
          <w:trHeight w:val="128"/>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Long-term debt</w:t>
            </w:r>
          </w:p>
        </w:tc>
        <w:tc>
          <w:tcPr>
            <w:tcW w:w="8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r>
      <w:tr>
        <w:trPr>
          <w:trHeight w:val="126"/>
        </w:trPr>
        <w:tc>
          <w:tcPr>
            <w:tcW w:w="5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promissory notes (5.4)</w:t>
            </w: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rPr>
              <w:t>5,395,702</w:t>
            </w: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loans (5.3)</w:t>
            </w: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rPr>
              <w:t>38,737,594</w:t>
            </w: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long-term debt</w:t>
            </w:r>
          </w:p>
        </w:tc>
        <w:tc>
          <w:tcPr>
            <w:tcW w:w="8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44,133,296</w:t>
            </w:r>
          </w:p>
        </w:tc>
        <w:tc>
          <w:tcPr>
            <w:tcW w:w="15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details of the Company’s debt are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5.1.</w:t>
      </w:r>
      <w:r>
        <w:rPr>
          <w:rFonts w:ascii="Times New Roman" w:cs="Times New Roman" w:eastAsia="Times New Roman" w:hAnsi="Times New Roman"/>
          <w:sz w:val="10"/>
          <w:szCs w:val="10"/>
          <w:color w:val="auto"/>
        </w:rPr>
        <w:t>Short-term debt from Related parties: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related party (DBLP Sea Cow Ltd) of $860,778 consists of a $447,067 loan repayable on demand. Additionally, DBLP Sea Cow Ltd is owed $413,711 for amounts to be re-imbursed for expenses incurred on behalf of Rezolve at June 30, 2024 (December 31, 2023, $191,405).</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bore a borrowing fee of $660,000 and €660,000, respectively, which has been recorded in interest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expense in the six months ended June 30, 2023. The loans were due to mature on July 31, 2023 or at the option of the investor, can be converted into ordinary shares of the Company including the accrued borrowing fees at a conversion rate of 0.50 to the Company’s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price at listing after completing any reorganization. The loans were not repaid by the maturity date and therefore the Company was in default of the two unsecured convertible loans and the loans remained repayable on demand at December 31, 2023 for a total of</w:t>
      </w:r>
    </w:p>
    <w:p>
      <w:pPr>
        <w:spacing w:after="0"/>
        <w:rPr>
          <w:sz w:val="20"/>
          <w:szCs w:val="20"/>
          <w:color w:val="auto"/>
        </w:rPr>
      </w:pPr>
      <w:r>
        <w:rPr>
          <w:rFonts w:ascii="Times New Roman" w:cs="Times New Roman" w:eastAsia="Times New Roman" w:hAnsi="Times New Roman"/>
          <w:sz w:val="9"/>
          <w:szCs w:val="9"/>
          <w:color w:val="auto"/>
        </w:rPr>
        <w:t>$5,587,343 including their accrued borrowing fee. On January 26, 2024, the two unsecured convertible loans were added to the Company’s senior secured convertible notes (note 5.3). The loan principal and accrued borrowing fees were rounded to a sum of $8,000,000.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key terms of the loan amendment include that of the senior secured convertible notes, as noted below:</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at the option of the investor from any date of an IPO or Business Combination with a publicly listed company.</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 xml:space="preserve">5.2. </w:t>
      </w:r>
      <w:r>
        <w:rPr>
          <w:rFonts w:ascii="Times New Roman" w:cs="Times New Roman" w:eastAsia="Times New Roman" w:hAnsi="Times New Roman"/>
          <w:sz w:val="10"/>
          <w:szCs w:val="10"/>
          <w:color w:val="auto"/>
        </w:rPr>
        <w:t>A Short term convertible debt to a related party of $132,269 was also added to the Company’s senior secured convertible note. The loan includes principal of $125,000 and $11,943 of interest. The loan was originally entered into March 2, 2023 and bore interest at 7.5%</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per annum. Upon adding to the Company's senior secured convertible note on January 26, 2024, the note now bears the same terms and conditions as Igor Lychagov's loan discussed above in note 5.2.</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0"/>
          <w:szCs w:val="10"/>
          <w:b w:val="1"/>
          <w:bCs w:val="1"/>
          <w:color w:val="auto"/>
        </w:rPr>
        <w:t>5.3.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closed on August 15, 2024.</w:t>
      </w:r>
    </w:p>
    <w:p>
      <w:pPr>
        <w:spacing w:after="0" w:line="104"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pre-funded the PIPE entered into an agreement to purchase secured convertible notes of the Company for a total of $20 million. These notes were due to mature on December 16, 2023, and are redeemable by the noteholder on the occurrence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May 23, 2023 amendment terms of the secured convertible notes, Rezolve has given certain covenants to the noteholders which remain in force while the convertible notes are outstanding, including that</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(i)the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41" w:lineRule="exact"/>
        <w:rPr>
          <w:sz w:val="20"/>
          <w:szCs w:val="20"/>
          <w:color w:val="auto"/>
        </w:rPr>
      </w:pPr>
    </w:p>
    <w:p>
      <w:pPr>
        <w:ind w:left="480" w:right="38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01"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It is the Company’s current intent to settle the principal amount and accrued interest of its outstanding convertible debt in the Company’s ordinary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 Demerger notes"). These are contingent upon completion of the Demerger and will only be included in the carrying amount of the convertible debt upon completion of the Demerger. On June 4, 2024 the Demerger was completed and the Demerger notes will be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August 16, 2024, and extension to the maturity date to at least August 16, 2027, the Company classified the Convertible debt as non-current as at June 30, 2024 under the guidance in ASC 470-10-45-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14.</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5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20" w:type="dxa"/>
            <w:vAlign w:val="bottom"/>
          </w:tcPr>
          <w:p>
            <w:pPr>
              <w:jc w:val="right"/>
              <w:ind w:right="873"/>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31"/>
        </w:trPr>
        <w:tc>
          <w:tcPr>
            <w:tcW w:w="1580" w:type="dxa"/>
            <w:vAlign w:val="bottom"/>
          </w:tcPr>
          <w:p>
            <w:pPr>
              <w:spacing w:after="0"/>
              <w:rPr>
                <w:sz w:val="11"/>
                <w:szCs w:val="11"/>
                <w:color w:val="auto"/>
              </w:rPr>
            </w:pPr>
          </w:p>
        </w:tc>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Convertible debt</w:t>
            </w:r>
          </w:p>
        </w:tc>
        <w:tc>
          <w:tcPr>
            <w:tcW w:w="202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r>
      <w:tr>
        <w:trPr>
          <w:trHeight w:val="113"/>
        </w:trPr>
        <w:tc>
          <w:tcPr>
            <w:tcW w:w="1580" w:type="dxa"/>
            <w:vAlign w:val="bottom"/>
          </w:tcPr>
          <w:p>
            <w:pPr>
              <w:spacing w:after="0"/>
              <w:rPr>
                <w:sz w:val="9"/>
                <w:szCs w:val="9"/>
                <w:color w:val="auto"/>
              </w:rPr>
            </w:pPr>
          </w:p>
        </w:tc>
        <w:tc>
          <w:tcPr>
            <w:tcW w:w="388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Convertible debt under troubled debt</w:t>
            </w:r>
          </w:p>
        </w:tc>
        <w:tc>
          <w:tcPr>
            <w:tcW w:w="2020" w:type="dxa"/>
            <w:vAlign w:val="bottom"/>
          </w:tcPr>
          <w:p>
            <w:pPr>
              <w:jc w:val="right"/>
              <w:ind w:right="333"/>
              <w:spacing w:after="0" w:line="114" w:lineRule="exact"/>
              <w:rPr>
                <w:sz w:val="20"/>
                <w:szCs w:val="20"/>
                <w:color w:val="auto"/>
              </w:rPr>
            </w:pPr>
            <w:r>
              <w:rPr>
                <w:rFonts w:ascii="Times New Roman" w:cs="Times New Roman" w:eastAsia="Times New Roman" w:hAnsi="Times New Roman"/>
                <w:sz w:val="10"/>
                <w:szCs w:val="10"/>
                <w:color w:val="auto"/>
              </w:rPr>
              <w:t>38,737,594</w:t>
            </w:r>
          </w:p>
        </w:tc>
        <w:tc>
          <w:tcPr>
            <w:tcW w:w="1540" w:type="dxa"/>
            <w:vAlign w:val="bottom"/>
          </w:tcPr>
          <w:p>
            <w:pPr>
              <w:jc w:val="right"/>
              <w:ind w:right="53"/>
              <w:spacing w:after="0" w:line="114" w:lineRule="exact"/>
              <w:rPr>
                <w:sz w:val="20"/>
                <w:szCs w:val="20"/>
                <w:color w:val="auto"/>
              </w:rPr>
            </w:pPr>
            <w:r>
              <w:rPr>
                <w:rFonts w:ascii="Times New Roman" w:cs="Times New Roman" w:eastAsia="Times New Roman" w:hAnsi="Times New Roman"/>
                <w:sz w:val="10"/>
                <w:szCs w:val="10"/>
                <w:color w:val="auto"/>
              </w:rPr>
              <w:t>31,220,528</w:t>
            </w:r>
          </w:p>
        </w:tc>
      </w:tr>
      <w:tr>
        <w:trPr>
          <w:trHeight w:val="126"/>
        </w:trPr>
        <w:tc>
          <w:tcPr>
            <w:tcW w:w="1580" w:type="dxa"/>
            <w:vAlign w:val="bottom"/>
          </w:tcPr>
          <w:p>
            <w:pPr>
              <w:spacing w:after="0"/>
              <w:rPr>
                <w:sz w:val="10"/>
                <w:szCs w:val="10"/>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restructuring</w:t>
            </w:r>
          </w:p>
        </w:tc>
        <w:tc>
          <w:tcPr>
            <w:tcW w:w="20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28"/>
        </w:trPr>
        <w:tc>
          <w:tcPr>
            <w:tcW w:w="1580" w:type="dxa"/>
            <w:vAlign w:val="bottom"/>
          </w:tcPr>
          <w:p>
            <w:pPr>
              <w:spacing w:after="0"/>
              <w:rPr>
                <w:sz w:val="11"/>
                <w:szCs w:val="11"/>
                <w:color w:val="auto"/>
              </w:rPr>
            </w:pPr>
          </w:p>
        </w:tc>
        <w:tc>
          <w:tcPr>
            <w:tcW w:w="3880" w:type="dxa"/>
            <w:vAlign w:val="bottom"/>
            <w:shd w:val="clear" w:color="auto" w:fill="CFF0FC"/>
          </w:tcPr>
          <w:p>
            <w:pPr>
              <w:spacing w:after="0"/>
              <w:rPr>
                <w:sz w:val="11"/>
                <w:szCs w:val="11"/>
                <w:color w:val="auto"/>
              </w:rPr>
            </w:pPr>
          </w:p>
        </w:tc>
        <w:tc>
          <w:tcPr>
            <w:tcW w:w="2020" w:type="dxa"/>
            <w:vAlign w:val="bottom"/>
            <w:shd w:val="clear" w:color="auto" w:fill="CFF0FC"/>
          </w:tcPr>
          <w:p>
            <w:pPr>
              <w:jc w:val="right"/>
              <w:ind w:right="333"/>
              <w:spacing w:after="0"/>
              <w:rPr>
                <w:sz w:val="20"/>
                <w:szCs w:val="20"/>
                <w:color w:val="auto"/>
              </w:rPr>
            </w:pPr>
            <w:r>
              <w:rPr>
                <w:rFonts w:ascii="Times New Roman" w:cs="Times New Roman" w:eastAsia="Times New Roman" w:hAnsi="Times New Roman"/>
                <w:sz w:val="10"/>
                <w:szCs w:val="10"/>
                <w:b w:val="1"/>
                <w:bCs w:val="1"/>
                <w:color w:val="auto"/>
              </w:rPr>
              <w:t>38,737,594</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b w:val="1"/>
                <w:bCs w:val="1"/>
                <w:color w:val="auto"/>
              </w:rPr>
              <w:t>31,220,528</w:t>
            </w:r>
          </w:p>
        </w:tc>
      </w:tr>
      <w:tr>
        <w:trPr>
          <w:trHeight w:val="321"/>
        </w:trPr>
        <w:tc>
          <w:tcPr>
            <w:tcW w:w="5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5.4.</w:t>
            </w:r>
            <w:r>
              <w:rPr>
                <w:rFonts w:ascii="Times New Roman" w:cs="Times New Roman" w:eastAsia="Times New Roman" w:hAnsi="Times New Roman"/>
                <w:sz w:val="10"/>
                <w:szCs w:val="10"/>
                <w:color w:val="auto"/>
              </w:rPr>
              <w:t>Convertible promissory notes:</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2"/>
        </w:trPr>
        <w:tc>
          <w:tcPr>
            <w:tcW w:w="1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28"/>
        </w:trPr>
        <w:tc>
          <w:tcPr>
            <w:tcW w:w="1580" w:type="dxa"/>
            <w:vAlign w:val="bottom"/>
          </w:tcPr>
          <w:p>
            <w:pPr>
              <w:spacing w:after="0"/>
              <w:rPr>
                <w:sz w:val="11"/>
                <w:szCs w:val="11"/>
                <w:color w:val="auto"/>
              </w:rPr>
            </w:pPr>
          </w:p>
        </w:tc>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202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promissory note</w:t>
            </w:r>
          </w:p>
        </w:tc>
        <w:tc>
          <w:tcPr>
            <w:tcW w:w="2020" w:type="dxa"/>
            <w:vAlign w:val="bottom"/>
          </w:tcPr>
          <w:p>
            <w:pPr>
              <w:jc w:val="right"/>
              <w:ind w:right="273"/>
              <w:spacing w:after="0"/>
              <w:rPr>
                <w:sz w:val="20"/>
                <w:szCs w:val="20"/>
                <w:color w:val="auto"/>
              </w:rPr>
            </w:pPr>
            <w:r>
              <w:rPr>
                <w:rFonts w:ascii="Times New Roman" w:cs="Times New Roman" w:eastAsia="Times New Roman" w:hAnsi="Times New Roman"/>
                <w:sz w:val="10"/>
                <w:szCs w:val="10"/>
                <w:color w:val="auto"/>
              </w:rPr>
              <w:t>2,508,685</w:t>
            </w:r>
          </w:p>
        </w:tc>
        <w:tc>
          <w:tcPr>
            <w:tcW w:w="1540" w:type="dxa"/>
            <w:vAlign w:val="bottom"/>
          </w:tcPr>
          <w:p>
            <w:pPr>
              <w:ind w:left="1440"/>
              <w:spacing w:after="0"/>
              <w:rPr>
                <w:sz w:val="20"/>
                <w:szCs w:val="20"/>
                <w:color w:val="auto"/>
              </w:rPr>
            </w:pPr>
            <w:r>
              <w:rPr>
                <w:rFonts w:ascii="Times New Roman" w:cs="Times New Roman" w:eastAsia="Times New Roman" w:hAnsi="Times New Roman"/>
                <w:sz w:val="10"/>
                <w:szCs w:val="10"/>
                <w:color w:val="auto"/>
                <w:w w:val="79"/>
              </w:rPr>
              <w:t>—</w:t>
            </w:r>
          </w:p>
        </w:tc>
      </w:tr>
      <w:tr>
        <w:trPr>
          <w:trHeight w:val="127"/>
        </w:trPr>
        <w:tc>
          <w:tcPr>
            <w:tcW w:w="1580" w:type="dxa"/>
            <w:vAlign w:val="bottom"/>
          </w:tcPr>
          <w:p>
            <w:pPr>
              <w:spacing w:after="0"/>
              <w:rPr>
                <w:sz w:val="11"/>
                <w:szCs w:val="11"/>
                <w:color w:val="auto"/>
              </w:rPr>
            </w:pPr>
          </w:p>
        </w:tc>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Promissory loan note</w:t>
            </w:r>
          </w:p>
        </w:tc>
        <w:tc>
          <w:tcPr>
            <w:tcW w:w="202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0"/>
                <w:szCs w:val="10"/>
                <w:color w:val="auto"/>
              </w:rPr>
              <w:t>2,887,017</w:t>
            </w:r>
          </w:p>
        </w:tc>
        <w:tc>
          <w:tcPr>
            <w:tcW w:w="15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0"/>
                <w:szCs w:val="10"/>
                <w:color w:val="auto"/>
                <w:w w:val="79"/>
              </w:rPr>
              <w:t>—</w:t>
            </w:r>
          </w:p>
        </w:tc>
      </w:tr>
      <w:tr>
        <w:trPr>
          <w:trHeight w:val="129"/>
        </w:trPr>
        <w:tc>
          <w:tcPr>
            <w:tcW w:w="1580" w:type="dxa"/>
            <w:vAlign w:val="bottom"/>
          </w:tcPr>
          <w:p>
            <w:pPr>
              <w:spacing w:after="0"/>
              <w:rPr>
                <w:sz w:val="11"/>
                <w:szCs w:val="11"/>
                <w:color w:val="auto"/>
              </w:rPr>
            </w:pPr>
          </w:p>
        </w:tc>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convertible promissory notes</w:t>
            </w:r>
          </w:p>
        </w:tc>
        <w:tc>
          <w:tcPr>
            <w:tcW w:w="202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0"/>
                <w:szCs w:val="10"/>
                <w:b w:val="1"/>
                <w:bCs w:val="1"/>
                <w:color w:val="auto"/>
              </w:rPr>
              <w:t>5,395,702</w:t>
            </w:r>
          </w:p>
        </w:tc>
        <w:tc>
          <w:tcPr>
            <w:tcW w:w="15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0"/>
                <w:szCs w:val="10"/>
                <w:color w:val="auto"/>
                <w:w w:val="79"/>
              </w:rPr>
              <w:t>—</w:t>
            </w:r>
          </w:p>
        </w:tc>
      </w:tr>
    </w:tbl>
    <w:p>
      <w:pPr>
        <w:spacing w:after="0" w:line="61" w:lineRule="exact"/>
        <w:rPr>
          <w:sz w:val="20"/>
          <w:szCs w:val="20"/>
          <w:color w:val="auto"/>
        </w:rPr>
      </w:pPr>
    </w:p>
    <w:p>
      <w:pPr>
        <w:ind w:right="20" w:firstLine="480"/>
        <w:spacing w:after="0" w:line="221" w:lineRule="auto"/>
        <w:rPr>
          <w:sz w:val="20"/>
          <w:szCs w:val="20"/>
          <w:color w:val="auto"/>
        </w:rPr>
      </w:pPr>
      <w:r>
        <w:rPr>
          <w:rFonts w:ascii="Times New Roman" w:cs="Times New Roman" w:eastAsia="Times New Roman" w:hAnsi="Times New Roman"/>
          <w:sz w:val="10"/>
          <w:szCs w:val="10"/>
          <w:color w:val="auto"/>
        </w:rPr>
        <w:t>On February 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0"/>
          <w:szCs w:val="10"/>
          <w:color w:val="auto"/>
        </w:rPr>
        <w:t>, 2024, the Company obtained an unsecured loan of $2,000,000 from YA II PN, LTD (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($ 2,500,000) funded upon execution of the Second A&amp;R YA Agreement, the second tranche in an original principal amount of Two Million Five Hundred Thousand Dollars ($ 2,500,000)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5.5.</w:t>
      </w:r>
      <w:r>
        <w:rPr>
          <w:rFonts w:ascii="Times New Roman" w:cs="Times New Roman" w:eastAsia="Times New Roman" w:hAnsi="Times New Roman"/>
          <w:sz w:val="10"/>
          <w:szCs w:val="10"/>
          <w:color w:val="auto"/>
        </w:rPr>
        <w:t>Promissory note:</w:t>
      </w:r>
    </w:p>
    <w:p>
      <w:pPr>
        <w:spacing w:after="0" w:line="68" w:lineRule="exact"/>
        <w:rPr>
          <w:sz w:val="20"/>
          <w:szCs w:val="20"/>
          <w:color w:val="auto"/>
        </w:rPr>
      </w:pPr>
    </w:p>
    <w:p>
      <w:pPr>
        <w:ind w:right="80" w:firstLine="480"/>
        <w:spacing w:after="0" w:line="221"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6.Other current and long-term liabilities</w:t>
      </w:r>
    </w:p>
    <w:p>
      <w:pPr>
        <w:spacing w:after="0" w:line="16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20" w:type="dxa"/>
            <w:vAlign w:val="bottom"/>
          </w:tcPr>
          <w:p>
            <w:pPr>
              <w:jc w:val="center"/>
              <w:ind w:left="4374"/>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40" w:type="dxa"/>
            <w:vAlign w:val="bottom"/>
          </w:tcPr>
          <w:p>
            <w:pPr>
              <w:spacing w:after="0"/>
              <w:rPr>
                <w:sz w:val="8"/>
                <w:szCs w:val="8"/>
                <w:color w:val="auto"/>
              </w:rPr>
            </w:pPr>
          </w:p>
        </w:tc>
        <w:tc>
          <w:tcPr>
            <w:tcW w:w="1580" w:type="dxa"/>
            <w:vAlign w:val="bottom"/>
          </w:tcPr>
          <w:p>
            <w:pPr>
              <w:jc w:val="right"/>
              <w:ind w:right="53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1"/>
        </w:trPr>
        <w:tc>
          <w:tcPr>
            <w:tcW w:w="5020" w:type="dxa"/>
            <w:vAlign w:val="bottom"/>
          </w:tcPr>
          <w:p>
            <w:pPr>
              <w:jc w:val="right"/>
              <w:ind w:right="234"/>
              <w:spacing w:after="0"/>
              <w:rPr>
                <w:sz w:val="20"/>
                <w:szCs w:val="20"/>
                <w:color w:val="auto"/>
              </w:rPr>
            </w:pPr>
            <w:r>
              <w:rPr>
                <w:rFonts w:ascii="Times New Roman" w:cs="Times New Roman" w:eastAsia="Times New Roman" w:hAnsi="Times New Roman"/>
                <w:sz w:val="8"/>
                <w:szCs w:val="8"/>
                <w:b w:val="1"/>
                <w:bCs w:val="1"/>
                <w:color w:val="auto"/>
              </w:rPr>
              <w:t>$</w:t>
            </w:r>
          </w:p>
        </w:tc>
        <w:tc>
          <w:tcPr>
            <w:tcW w:w="840" w:type="dxa"/>
            <w:vAlign w:val="bottom"/>
          </w:tcPr>
          <w:p>
            <w:pPr>
              <w:spacing w:after="0"/>
              <w:rPr>
                <w:sz w:val="9"/>
                <w:szCs w:val="9"/>
                <w:color w:val="auto"/>
              </w:rPr>
            </w:pPr>
          </w:p>
        </w:tc>
        <w:tc>
          <w:tcPr>
            <w:tcW w:w="1580" w:type="dxa"/>
            <w:vAlign w:val="bottom"/>
          </w:tcPr>
          <w:p>
            <w:pPr>
              <w:jc w:val="right"/>
              <w:ind w:right="835"/>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31"/>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Other current liabilities</w:t>
            </w:r>
          </w:p>
        </w:tc>
        <w:tc>
          <w:tcPr>
            <w:tcW w:w="84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r>
      <w:tr>
        <w:trPr>
          <w:trHeight w:val="127"/>
        </w:trPr>
        <w:tc>
          <w:tcPr>
            <w:tcW w:w="5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Ordinary shares payable (6.1)</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10,236,655</w:t>
            </w:r>
          </w:p>
        </w:tc>
        <w:tc>
          <w:tcPr>
            <w:tcW w:w="158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8,223,928</w:t>
            </w:r>
          </w:p>
        </w:tc>
      </w:tr>
      <w:tr>
        <w:trPr>
          <w:trHeight w:val="128"/>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Share-based payment liability (6.2)</w:t>
            </w:r>
          </w:p>
        </w:tc>
        <w:tc>
          <w:tcPr>
            <w:tcW w:w="84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color w:val="auto"/>
              </w:rPr>
              <w:t>1,383,298</w:t>
            </w:r>
          </w:p>
        </w:tc>
        <w:tc>
          <w:tcPr>
            <w:tcW w:w="1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3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b w:val="1"/>
          <w:bCs w:val="1"/>
          <w:color w:val="auto"/>
        </w:rPr>
        <w:t>6.1.</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5.3). The Company expects prior to the close of the business combination to complete a reorganization under the Demerger, such that the existing shares transferred from Rezolve Limited to Rezolve AI Limited would result in a transfer of shares of approximately 6.13 ordinary shares of Rezolve Limited for one share of Rezolve AI Limited. In connection with the funding received through advanced subscription agreements as of June 30, 2023, the number of ordinary shares to be issued as part of the Rights Issue post re-organization is fixed at 1,115,217 and will not fluctuate with the Company’s pre-close equity value of the Company or that of Armada Acquisition Corp I. The Company may received additional funding under advanced subscription agreements which would increase the number of Ordinary shares to issue post-reorganization.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6.2.</w:t>
      </w:r>
      <w:r>
        <w:rPr>
          <w:rFonts w:ascii="Times New Roman" w:cs="Times New Roman" w:eastAsia="Times New Roman" w:hAnsi="Times New Roman"/>
          <w:sz w:val="9"/>
          <w:szCs w:val="9"/>
          <w:color w:val="auto"/>
        </w:rPr>
        <w:t>On October 7th, 2021, the Group acquired Jaymax International Service Inc. (“Jaymax”) (later renamed to “Rezolve Taiwan Limited”). As part of the acquisition of Jaymax, the Company agreed to issue $1,400,000 in Rezolve common stock to Jaymax’s former owner</w:t>
      </w:r>
    </w:p>
    <w:p>
      <w:pPr>
        <w:spacing w:after="0" w:line="2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0"/>
          <w:szCs w:val="10"/>
          <w:color w:val="auto"/>
        </w:rPr>
        <w:t>for completion of a 3-year noncompete period which began on the October 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2021. The share-based payment is to be settled by a fixed dollar amount of shares and therefore represents a liability in accordance with ASC 480. The liability was been measured at fair value using a discounted cash-flow model using the Company’s cost of capital of 10.8%.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7.Other Non-operating (income)/ expenses,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11"/>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920" w:type="dxa"/>
            <w:vAlign w:val="bottom"/>
            <w:gridSpan w:val="2"/>
          </w:tcPr>
          <w:p>
            <w:pPr>
              <w:jc w:val="center"/>
              <w:ind w:left="239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60" w:type="dxa"/>
            <w:vAlign w:val="bottom"/>
          </w:tcPr>
          <w:p>
            <w:pPr>
              <w:spacing w:after="0"/>
              <w:rPr>
                <w:sz w:val="9"/>
                <w:szCs w:val="9"/>
                <w:color w:val="auto"/>
              </w:rPr>
            </w:pPr>
          </w:p>
        </w:tc>
        <w:tc>
          <w:tcPr>
            <w:tcW w:w="880" w:type="dxa"/>
            <w:vAlign w:val="bottom"/>
          </w:tcPr>
          <w:p>
            <w:pPr>
              <w:jc w:val="center"/>
              <w:ind w:left="3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Pr>
          <w:p>
            <w:pPr>
              <w:spacing w:after="0"/>
              <w:rPr>
                <w:sz w:val="9"/>
                <w:szCs w:val="9"/>
                <w:color w:val="auto"/>
              </w:rPr>
            </w:pPr>
          </w:p>
        </w:tc>
      </w:tr>
      <w:tr>
        <w:trPr>
          <w:trHeight w:val="131"/>
        </w:trPr>
        <w:tc>
          <w:tcPr>
            <w:tcW w:w="1580" w:type="dxa"/>
            <w:vAlign w:val="bottom"/>
          </w:tcPr>
          <w:p>
            <w:pPr>
              <w:spacing w:after="0"/>
              <w:rPr>
                <w:sz w:val="11"/>
                <w:szCs w:val="11"/>
                <w:color w:val="auto"/>
              </w:rPr>
            </w:pPr>
          </w:p>
        </w:tc>
        <w:tc>
          <w:tcPr>
            <w:tcW w:w="1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Foreign exchange (gain) loss</w:t>
            </w:r>
          </w:p>
        </w:tc>
        <w:tc>
          <w:tcPr>
            <w:tcW w:w="3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108,224</w:t>
            </w:r>
          </w:p>
        </w:tc>
        <w:tc>
          <w:tcPr>
            <w:tcW w:w="26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327,383</w:t>
            </w:r>
          </w:p>
        </w:tc>
      </w:tr>
      <w:tr>
        <w:trPr>
          <w:trHeight w:val="127"/>
        </w:trPr>
        <w:tc>
          <w:tcPr>
            <w:tcW w:w="1580" w:type="dxa"/>
            <w:vAlign w:val="bottom"/>
          </w:tcPr>
          <w:p>
            <w:pPr>
              <w:spacing w:after="0"/>
              <w:rPr>
                <w:sz w:val="11"/>
                <w:szCs w:val="11"/>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R&amp;D credits</w:t>
            </w:r>
          </w:p>
        </w:tc>
        <w:tc>
          <w:tcPr>
            <w:tcW w:w="2420" w:type="dxa"/>
            <w:vAlign w:val="bottom"/>
          </w:tcPr>
          <w:p>
            <w:pPr>
              <w:spacing w:after="0"/>
              <w:rPr>
                <w:sz w:val="11"/>
                <w:szCs w:val="11"/>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(496,448 )</w:t>
            </w:r>
          </w:p>
        </w:tc>
      </w:tr>
      <w:tr>
        <w:trPr>
          <w:trHeight w:val="128"/>
        </w:trPr>
        <w:tc>
          <w:tcPr>
            <w:tcW w:w="1580" w:type="dxa"/>
            <w:vAlign w:val="bottom"/>
          </w:tcPr>
          <w:p>
            <w:pPr>
              <w:spacing w:after="0"/>
              <w:rPr>
                <w:sz w:val="11"/>
                <w:szCs w:val="11"/>
                <w:color w:val="auto"/>
              </w:rPr>
            </w:pPr>
          </w:p>
        </w:tc>
        <w:tc>
          <w:tcPr>
            <w:tcW w:w="1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Other, net</w:t>
            </w:r>
          </w:p>
        </w:tc>
        <w:tc>
          <w:tcPr>
            <w:tcW w:w="4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(408 )</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(2,686)</w:t>
            </w:r>
          </w:p>
        </w:tc>
      </w:tr>
      <w:tr>
        <w:trPr>
          <w:trHeight w:val="127"/>
        </w:trPr>
        <w:tc>
          <w:tcPr>
            <w:tcW w:w="1580" w:type="dxa"/>
            <w:vAlign w:val="bottom"/>
          </w:tcPr>
          <w:p>
            <w:pPr>
              <w:spacing w:after="0"/>
              <w:rPr>
                <w:sz w:val="11"/>
                <w:szCs w:val="11"/>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107,816</w:t>
            </w:r>
          </w:p>
        </w:tc>
        <w:tc>
          <w:tcPr>
            <w:tcW w:w="260" w:type="dxa"/>
            <w:vAlign w:val="bottom"/>
          </w:tcPr>
          <w:p>
            <w:pPr>
              <w:spacing w:after="0"/>
              <w:rPr>
                <w:sz w:val="11"/>
                <w:szCs w:val="11"/>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(171,751 )</w:t>
            </w:r>
          </w:p>
        </w:tc>
      </w:tr>
      <w:tr>
        <w:trPr>
          <w:trHeight w:val="316"/>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8.Related party disclosures</w:t>
            </w:r>
          </w:p>
        </w:tc>
        <w:tc>
          <w:tcPr>
            <w:tcW w:w="24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152"/>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15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28"/>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Dan Wagner</w:t>
            </w:r>
          </w:p>
        </w:tc>
        <w:tc>
          <w:tcPr>
            <w:tcW w:w="418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Director and chief executive officer</w:t>
            </w:r>
          </w:p>
        </w:tc>
        <w:tc>
          <w:tcPr>
            <w:tcW w:w="880" w:type="dxa"/>
            <w:vAlign w:val="bottom"/>
            <w:shd w:val="clear" w:color="auto" w:fill="CFF0FC"/>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Richard Burchill</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auto"/>
              </w:rPr>
              <w:t>Chief financial officer</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Sauvik Banerjjee</w:t>
            </w:r>
          </w:p>
        </w:tc>
        <w:tc>
          <w:tcPr>
            <w:tcW w:w="418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Chief executive officer, products, technology and digital services</w:t>
            </w:r>
          </w:p>
        </w:tc>
        <w:tc>
          <w:tcPr>
            <w:tcW w:w="880" w:type="dxa"/>
            <w:vAlign w:val="bottom"/>
            <w:shd w:val="clear" w:color="auto" w:fill="CFF0FC"/>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Salman Ahmad</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auto"/>
              </w:rPr>
              <w:t>Chief technical officer</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Peter Vesco</w:t>
            </w:r>
          </w:p>
        </w:tc>
        <w:tc>
          <w:tcPr>
            <w:tcW w:w="418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Chief commercial officer</w:t>
            </w:r>
          </w:p>
        </w:tc>
        <w:tc>
          <w:tcPr>
            <w:tcW w:w="880" w:type="dxa"/>
            <w:vAlign w:val="bottom"/>
            <w:shd w:val="clear" w:color="auto" w:fill="CFF0FC"/>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Arthur Yao (1)</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auto"/>
              </w:rPr>
              <w:t>Chief executive officer, Rezolve China</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Anthony Sharp</w:t>
            </w:r>
          </w:p>
        </w:tc>
        <w:tc>
          <w:tcPr>
            <w:tcW w:w="418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Non-executive deputy chairman</w:t>
            </w:r>
          </w:p>
        </w:tc>
        <w:tc>
          <w:tcPr>
            <w:tcW w:w="880" w:type="dxa"/>
            <w:vAlign w:val="bottom"/>
            <w:shd w:val="clear" w:color="auto" w:fill="CFF0FC"/>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Sir David Wright</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Steve Perry</w:t>
            </w:r>
          </w:p>
        </w:tc>
        <w:tc>
          <w:tcPr>
            <w:tcW w:w="418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shd w:val="clear" w:color="auto" w:fill="CFF0FC"/>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Derek Smith</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Susan Wagner</w:t>
            </w:r>
          </w:p>
        </w:tc>
        <w:tc>
          <w:tcPr>
            <w:tcW w:w="418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0"/>
                <w:szCs w:val="10"/>
                <w:color w:val="auto"/>
              </w:rPr>
              <w:t>Member</w:t>
            </w:r>
          </w:p>
        </w:tc>
        <w:tc>
          <w:tcPr>
            <w:tcW w:w="880" w:type="dxa"/>
            <w:vAlign w:val="bottom"/>
            <w:shd w:val="clear" w:color="auto" w:fill="CFF0FC"/>
          </w:tcPr>
          <w:p>
            <w:pPr>
              <w:spacing w:after="0"/>
              <w:rPr>
                <w:sz w:val="11"/>
                <w:szCs w:val="11"/>
                <w:color w:val="auto"/>
              </w:rPr>
            </w:pPr>
          </w:p>
        </w:tc>
        <w:tc>
          <w:tcPr>
            <w:tcW w:w="520" w:type="dxa"/>
            <w:vAlign w:val="bottom"/>
          </w:tcPr>
          <w:p>
            <w:pPr>
              <w:spacing w:after="0"/>
              <w:rPr>
                <w:sz w:val="11"/>
                <w:szCs w:val="1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 – Basis of presentation).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Transactions with and outstanding balances with related parties were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period</w:t>
      </w:r>
    </w:p>
    <w:p>
      <w:pPr>
        <w:spacing w:after="0" w:line="163" w:lineRule="exact"/>
        <w:rPr>
          <w:sz w:val="20"/>
          <w:szCs w:val="20"/>
          <w:color w:val="auto"/>
        </w:rPr>
      </w:pPr>
    </w:p>
    <w:tbl>
      <w:tblPr>
        <w:tblLayout w:type="fixed"/>
        <w:tblInd w:w="1580" w:type="dxa"/>
        <w:tblCellMar>
          <w:top w:w="0" w:type="dxa"/>
          <w:left w:w="0" w:type="dxa"/>
          <w:bottom w:w="0" w:type="dxa"/>
          <w:right w:w="0" w:type="dxa"/>
        </w:tblCellMar>
      </w:tblPr>
      <w:tr>
        <w:trPr>
          <w:trHeight w:val="111"/>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00" w:type="dxa"/>
            <w:vAlign w:val="bottom"/>
          </w:tcPr>
          <w:p>
            <w:pPr>
              <w:spacing w:after="0"/>
              <w:rPr>
                <w:sz w:val="9"/>
                <w:szCs w:val="9"/>
                <w:color w:val="auto"/>
              </w:rPr>
            </w:pPr>
          </w:p>
        </w:tc>
        <w:tc>
          <w:tcPr>
            <w:tcW w:w="1440" w:type="dxa"/>
            <w:vAlign w:val="bottom"/>
          </w:tcPr>
          <w:p>
            <w:pPr>
              <w:jc w:val="right"/>
              <w:ind w:right="57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31"/>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8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Igor Lychagov (number of Ordinary shares issued in 2023 - 163,265)</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20</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Loans repaid</w:t>
            </w:r>
          </w:p>
        </w:tc>
        <w:tc>
          <w:tcPr>
            <w:tcW w:w="8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250,000</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Loans taken</w:t>
            </w:r>
          </w:p>
        </w:tc>
        <w:tc>
          <w:tcPr>
            <w:tcW w:w="8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125,000</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Igor Lychagov</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4,000,000</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DBLP Sea Cow Limited</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93,750</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Adam Wagner</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31,250</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John Wagner</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19,844</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Stephen Perry</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63,500</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Sauvik Banerjee</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27,413</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79,250</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Reimbursement of expenses</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50,000</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79,180</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8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151,799</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147,702</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Salman Ahmad</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113,849</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110,776</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139,149</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135,393</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195,075</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115,682</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spacing w:after="0"/>
              <w:rPr>
                <w:sz w:val="11"/>
                <w:szCs w:val="11"/>
                <w:color w:val="auto"/>
              </w:rPr>
            </w:pP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673,282</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673,282</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345,896</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345,896</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100,000</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100,000</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Consulting fees</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DBLP Sea Cow</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150,000</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189,749</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184,627</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150,000</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Director remuneration</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184,627</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200,129</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Sir David Wright</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49,212</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46,157</w:t>
            </w:r>
          </w:p>
        </w:tc>
        <w:tc>
          <w:tcPr>
            <w:tcW w:w="14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49,212</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Derek Smith</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49,212</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8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China (2)</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570,917</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(1)DBLP Sea Cow Ltd. (a company incorporated in the Seychelles) (“DBLP Sea Cow”) is wholly legally owned by Dan Wagner, Chief Executive Officer of Rezolve.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(2)The Company has expensed all cash transferred to its subsidiary Rezolve China. Please refer to the basis of presentation discussed in note 2.1.</w:t>
      </w:r>
    </w:p>
    <w:p>
      <w:pPr>
        <w:spacing w:after="0" w:line="1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921"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6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760" w:type="dxa"/>
            <w:vAlign w:val="bottom"/>
          </w:tcPr>
          <w:p>
            <w:pPr>
              <w:spacing w:after="0"/>
              <w:rPr>
                <w:sz w:val="8"/>
                <w:szCs w:val="8"/>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1"/>
        </w:trPr>
        <w:tc>
          <w:tcPr>
            <w:tcW w:w="5200" w:type="dxa"/>
            <w:vAlign w:val="bottom"/>
          </w:tcPr>
          <w:p>
            <w:pPr>
              <w:ind w:left="4880"/>
              <w:spacing w:after="0"/>
              <w:rPr>
                <w:sz w:val="20"/>
                <w:szCs w:val="20"/>
                <w:color w:val="auto"/>
              </w:rPr>
            </w:pPr>
            <w:r>
              <w:rPr>
                <w:rFonts w:ascii="Times New Roman" w:cs="Times New Roman" w:eastAsia="Times New Roman" w:hAnsi="Times New Roman"/>
                <w:sz w:val="8"/>
                <w:szCs w:val="8"/>
                <w:b w:val="1"/>
                <w:bCs w:val="1"/>
                <w:color w:val="auto"/>
              </w:rPr>
              <w:t>$</w:t>
            </w:r>
          </w:p>
        </w:tc>
        <w:tc>
          <w:tcPr>
            <w:tcW w:w="760" w:type="dxa"/>
            <w:vAlign w:val="bottom"/>
          </w:tcPr>
          <w:p>
            <w:pPr>
              <w:spacing w:after="0"/>
              <w:rPr>
                <w:sz w:val="9"/>
                <w:szCs w:val="9"/>
                <w:color w:val="auto"/>
              </w:rPr>
            </w:pPr>
          </w:p>
        </w:tc>
        <w:tc>
          <w:tcPr>
            <w:tcW w:w="1480" w:type="dxa"/>
            <w:vAlign w:val="bottom"/>
          </w:tcPr>
          <w:p>
            <w:pPr>
              <w:jc w:val="right"/>
              <w:ind w:right="79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31"/>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Unsecured Loans payable</w:t>
            </w:r>
          </w:p>
        </w:tc>
        <w:tc>
          <w:tcPr>
            <w:tcW w:w="76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447,067</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447,067</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Trade and other payables</w:t>
            </w:r>
          </w:p>
        </w:tc>
        <w:tc>
          <w:tcPr>
            <w:tcW w:w="76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450,000</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350,000</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334,725</w:t>
            </w:r>
          </w:p>
        </w:tc>
        <w:tc>
          <w:tcPr>
            <w:tcW w:w="1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147,485</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151,105</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61,495</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Peter Vesco</w:t>
            </w:r>
          </w:p>
        </w:tc>
        <w:tc>
          <w:tcPr>
            <w:tcW w:w="7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30,407</w:t>
            </w:r>
          </w:p>
        </w:tc>
        <w:tc>
          <w:tcPr>
            <w:tcW w:w="1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31,248</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Sauvik Banerjjee</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58,320</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126,223</w:t>
            </w:r>
          </w:p>
        </w:tc>
        <w:tc>
          <w:tcPr>
            <w:tcW w:w="1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127,325</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Steve Perry</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1,133</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76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111,845</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111,845</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7,999</w:t>
            </w:r>
          </w:p>
        </w:tc>
        <w:tc>
          <w:tcPr>
            <w:tcW w:w="1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7,999</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Convertible debt</w:t>
            </w:r>
          </w:p>
        </w:tc>
        <w:tc>
          <w:tcPr>
            <w:tcW w:w="7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Steve Perry (note 5.2)</w:t>
            </w:r>
          </w:p>
        </w:tc>
        <w:tc>
          <w:tcPr>
            <w:tcW w:w="7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136,943</w:t>
            </w:r>
          </w:p>
        </w:tc>
        <w:tc>
          <w:tcPr>
            <w:tcW w:w="1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125,000</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Igor Lychagov (note 5.3)</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6,028,177</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5,587,343</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76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DBLP Sea Cow Limited</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1,260,417</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94,531</w:t>
            </w:r>
          </w:p>
        </w:tc>
        <w:tc>
          <w:tcPr>
            <w:tcW w:w="1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Adam Wagner</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31,510</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John Wagner</w:t>
            </w:r>
          </w:p>
        </w:tc>
        <w:tc>
          <w:tcPr>
            <w:tcW w:w="7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20,009</w:t>
            </w:r>
          </w:p>
        </w:tc>
        <w:tc>
          <w:tcPr>
            <w:tcW w:w="1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Stephen Perry</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64,029</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Sauvik Banerjee</w:t>
            </w:r>
          </w:p>
        </w:tc>
        <w:tc>
          <w:tcPr>
            <w:tcW w:w="7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27,641</w:t>
            </w:r>
          </w:p>
        </w:tc>
        <w:tc>
          <w:tcPr>
            <w:tcW w:w="1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r>
        <w:trPr>
          <w:trHeight w:val="126"/>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79,910</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9.Income taxes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Provision for income taxes in the six months ended June 30, 2024 and 2023 was not material. The effective tax rate was 0.5% and 0.4% for the six months ended June 30, 2024 and 2023, respectively. The effective tax rates differ significantly from the statutory tax rate of 25%, primarily due to the Company’s valuation allowance movement in each period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the condensed interim carve-out financial statements as of June 30, 2024, we have evaluated the following subsequent events through October 1, 2024 which is the date such financial statements are available to be issued:</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Close of business combination with Armada Acquisition Corp I. (“Armada”)</w:t>
      </w:r>
    </w:p>
    <w:p>
      <w:pPr>
        <w:spacing w:after="0" w:line="120"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Amendment and restatement to the Yorkville Note</w:t>
      </w:r>
    </w:p>
    <w:p>
      <w:pPr>
        <w:spacing w:after="0" w:line="12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0"/>
          <w:szCs w:val="1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80"/>
          </w:cols>
          <w:pgMar w:left="640" w:top="921" w:right="880"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Board of Directors and Stockholders of Rezolve AI Limited and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Restatement of the 2023 and 2022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discussed in Note 2, the accompanying 2023 and 2022 carve-out consolidated financial statements have been restated.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Substantial Doubt about the Company’s Ability to Continue as a Going Concern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have been prepared assuming that the Company will continue as a going concern. As discussed in Note 2 to the carve- 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and significant estimates made by management, as well as evaluating the overall presentation of the carve-out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Grassi &amp; Co., CPAs, P.C.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Jericho, New York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May 20, 2024, except for Notes 2.20, 13 and 14, as to which the date is June 11, 2024, expect Note 17 as to which the date is October 28, 2024.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9"/>
                <w:szCs w:val="9"/>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7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10"/>
                <w:szCs w:val="1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Cash</w:t>
            </w:r>
          </w:p>
        </w:tc>
        <w:tc>
          <w:tcPr>
            <w:tcW w:w="2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10,441</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39,380</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Accounts receivable</w:t>
            </w: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12,534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8,855</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Prepayments and other current assets</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299,013</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440,846</w:t>
            </w:r>
          </w:p>
        </w:tc>
        <w:tc>
          <w:tcPr>
            <w:tcW w:w="100" w:type="dxa"/>
            <w:vAlign w:val="bottom"/>
            <w:shd w:val="clear" w:color="auto" w:fill="CFF0FC"/>
          </w:tcPr>
          <w:p>
            <w:pPr>
              <w:spacing w:after="0"/>
              <w:rPr>
                <w:sz w:val="11"/>
                <w:szCs w:val="11"/>
                <w:color w:val="auto"/>
              </w:rPr>
            </w:pPr>
          </w:p>
        </w:tc>
      </w:tr>
      <w:tr>
        <w:trPr>
          <w:trHeight w:val="113"/>
        </w:trPr>
        <w:tc>
          <w:tcPr>
            <w:tcW w:w="728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Loans receivable (net of credit loss provision of $785,000 and nil as at</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spacing w:after="0"/>
              <w:rPr>
                <w:sz w:val="10"/>
                <w:szCs w:val="1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598,414</w:t>
            </w:r>
          </w:p>
        </w:tc>
        <w:tc>
          <w:tcPr>
            <w:tcW w:w="100" w:type="dxa"/>
            <w:vAlign w:val="bottom"/>
          </w:tcPr>
          <w:p>
            <w:pPr>
              <w:spacing w:after="0"/>
              <w:rPr>
                <w:sz w:val="10"/>
                <w:szCs w:val="10"/>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321,988</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1,087,495</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Non-current assets</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79,593</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110,998</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Intangible assets</w:t>
            </w: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2,134,903</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450,446</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2,214,496</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561,444</w:t>
            </w:r>
          </w:p>
        </w:tc>
        <w:tc>
          <w:tcPr>
            <w:tcW w:w="100" w:type="dxa"/>
            <w:vAlign w:val="bottom"/>
            <w:shd w:val="clear" w:color="auto" w:fill="CFF0FC"/>
          </w:tcPr>
          <w:p>
            <w:pPr>
              <w:spacing w:after="0"/>
              <w:rPr>
                <w:sz w:val="11"/>
                <w:szCs w:val="1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Accounts payable</w:t>
            </w:r>
          </w:p>
        </w:tc>
        <w:tc>
          <w:tcPr>
            <w:tcW w:w="2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4,569,703</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3,728,974</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Due to related party (refer to note 14)</w:t>
            </w: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777,576</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621,791</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Accrued expenses and other payables</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4,492,790</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2,640,384</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Ordinary shares payable</w:t>
            </w: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8,223,928</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Short term convertible debt to related party (refer to note 14)</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Short term debt to related party (refer to note 2.20 and note 14)</w:t>
            </w: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6,225,815</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697,067</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Share-based payment liability</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1,311,028</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7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Convertible debt (current)</w:t>
            </w: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7,688,216</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Convertible debt (long-term)</w:t>
            </w:r>
          </w:p>
        </w:tc>
        <w:tc>
          <w:tcPr>
            <w:tcW w:w="24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25,302,709</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Share-based payment liability (long-term)</w:t>
            </w:r>
          </w:p>
        </w:tc>
        <w:tc>
          <w:tcPr>
            <w:tcW w:w="240" w:type="dxa"/>
            <w:vAlign w:val="bottom"/>
          </w:tcPr>
          <w:p>
            <w:pPr>
              <w:spacing w:after="0"/>
              <w:rPr>
                <w:sz w:val="11"/>
                <w:szCs w:val="11"/>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1,177,617</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4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26,480,326</w:t>
            </w:r>
          </w:p>
        </w:tc>
        <w:tc>
          <w:tcPr>
            <w:tcW w:w="100" w:type="dxa"/>
            <w:vAlign w:val="bottom"/>
            <w:shd w:val="clear" w:color="auto" w:fill="CFF0FC"/>
          </w:tcPr>
          <w:p>
            <w:pPr>
              <w:spacing w:after="0"/>
              <w:rPr>
                <w:sz w:val="11"/>
                <w:szCs w:val="1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34,168,542</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Shareholders’ deficit</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13"/>
        </w:trPr>
        <w:tc>
          <w:tcPr>
            <w:tcW w:w="728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Ordinary shares, £0.0001 nominal value 932,969,424 shares issued and outstanding</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as of December 31, 2023 927,806,159 shares issued and outstanding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December 31, 2022 991,285,244 and 986,121,959 shares authorized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280" w:type="dxa"/>
            <w:vAlign w:val="bottom"/>
          </w:tcPr>
          <w:p>
            <w:pPr>
              <w:spacing w:after="0"/>
              <w:rPr>
                <w:sz w:val="10"/>
                <w:szCs w:val="10"/>
                <w:color w:val="auto"/>
              </w:rPr>
            </w:pP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126,677</w:t>
            </w:r>
          </w:p>
        </w:tc>
        <w:tc>
          <w:tcPr>
            <w:tcW w:w="100" w:type="dxa"/>
            <w:vAlign w:val="bottom"/>
          </w:tcPr>
          <w:p>
            <w:pPr>
              <w:spacing w:after="0"/>
              <w:rPr>
                <w:sz w:val="10"/>
                <w:szCs w:val="10"/>
                <w:color w:val="auto"/>
              </w:rPr>
            </w:pPr>
          </w:p>
        </w:tc>
      </w:tr>
      <w:tr>
        <w:trPr>
          <w:trHeight w:val="114"/>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Series A shares, £0.0001 nominal value 28,039,517 shares issued, authorized and</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7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outstanding as of December 31, 2023 and 2022</w:t>
            </w:r>
          </w:p>
        </w:tc>
        <w:tc>
          <w:tcPr>
            <w:tcW w:w="24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172,204,832</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163,165,083</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Share subscription receivable (1)</w:t>
            </w:r>
          </w:p>
        </w:tc>
        <w:tc>
          <w:tcPr>
            <w:tcW w:w="24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(178,720 )</w:t>
            </w:r>
          </w:p>
        </w:tc>
        <w:tc>
          <w:tcPr>
            <w:tcW w:w="22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(178,720 )</w:t>
            </w:r>
          </w:p>
        </w:tc>
      </w:tr>
      <w:tr>
        <w:trPr>
          <w:trHeight w:val="127"/>
        </w:trPr>
        <w:tc>
          <w:tcPr>
            <w:tcW w:w="7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Accumulated deficit</w:t>
            </w:r>
          </w:p>
        </w:tc>
        <w:tc>
          <w:tcPr>
            <w:tcW w:w="240" w:type="dxa"/>
            <w:vAlign w:val="bottom"/>
          </w:tcPr>
          <w:p>
            <w:pPr>
              <w:spacing w:after="0"/>
              <w:rPr>
                <w:sz w:val="11"/>
                <w:szCs w:val="11"/>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(226,291,430 )</w:t>
            </w:r>
          </w:p>
        </w:tc>
        <w:tc>
          <w:tcPr>
            <w:tcW w:w="220" w:type="dxa"/>
            <w:vAlign w:val="bottom"/>
          </w:tcPr>
          <w:p>
            <w:pPr>
              <w:spacing w:after="0"/>
              <w:rPr>
                <w:sz w:val="11"/>
                <w:szCs w:val="1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(195,555,332 )</w:t>
            </w: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24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(150,744 )</w:t>
            </w:r>
          </w:p>
        </w:tc>
        <w:tc>
          <w:tcPr>
            <w:tcW w:w="22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(81,179 )</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40" w:type="dxa"/>
            <w:vAlign w:val="bottom"/>
          </w:tcPr>
          <w:p>
            <w:pPr>
              <w:spacing w:after="0"/>
              <w:rPr>
                <w:sz w:val="11"/>
                <w:szCs w:val="11"/>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(54,284,884 )</w:t>
            </w:r>
          </w:p>
        </w:tc>
        <w:tc>
          <w:tcPr>
            <w:tcW w:w="220" w:type="dxa"/>
            <w:vAlign w:val="bottom"/>
          </w:tcPr>
          <w:p>
            <w:pPr>
              <w:spacing w:after="0"/>
              <w:rPr>
                <w:sz w:val="11"/>
                <w:szCs w:val="1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(32,519,603 )</w:t>
            </w:r>
          </w:p>
        </w:tc>
      </w:tr>
      <w:tr>
        <w:trPr>
          <w:trHeight w:val="13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40" w:type="dxa"/>
            <w:vAlign w:val="bottom"/>
            <w:tcBorders>
              <w:bottom w:val="single" w:sz="8" w:color="auto"/>
            </w:tcBorders>
            <w:shd w:val="clear" w:color="auto" w:fill="CFF0FC"/>
          </w:tcPr>
          <w:p>
            <w:pPr>
              <w:spacing w:after="0"/>
              <w:rPr>
                <w:sz w:val="11"/>
                <w:szCs w:val="1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Borders>
              <w:bottom w:val="single" w:sz="8" w:color="CFF0FC"/>
            </w:tcBorders>
            <w:shd w:val="clear" w:color="auto" w:fill="CFF0FC"/>
          </w:tcPr>
          <w:p>
            <w:pPr>
              <w:spacing w:after="0"/>
              <w:rPr>
                <w:sz w:val="11"/>
                <w:szCs w:val="1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(1)Includes related party balances of $(119,844) as at December 31, 2023 and 2022, refer to note 14.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340" w:type="dxa"/>
            <w:vAlign w:val="bottom"/>
          </w:tcPr>
          <w:p>
            <w:pPr>
              <w:spacing w:after="0"/>
              <w:rPr>
                <w:sz w:val="8"/>
                <w:szCs w:val="8"/>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108"/>
        </w:trPr>
        <w:tc>
          <w:tcPr>
            <w:tcW w:w="52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340" w:type="dxa"/>
            <w:vAlign w:val="bottom"/>
          </w:tcPr>
          <w:p>
            <w:pPr>
              <w:spacing w:after="0"/>
              <w:rPr>
                <w:sz w:val="9"/>
                <w:szCs w:val="9"/>
                <w:color w:val="auto"/>
              </w:rPr>
            </w:pPr>
          </w:p>
        </w:tc>
        <w:tc>
          <w:tcPr>
            <w:tcW w:w="1340" w:type="dxa"/>
            <w:vAlign w:val="bottom"/>
          </w:tcPr>
          <w:p>
            <w:pPr>
              <w:jc w:val="center"/>
              <w:ind w:right="27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52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340" w:type="dxa"/>
            <w:vAlign w:val="bottom"/>
          </w:tcPr>
          <w:p>
            <w:pPr>
              <w:spacing w:after="0"/>
              <w:rPr>
                <w:sz w:val="10"/>
                <w:szCs w:val="10"/>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23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145,051</w:t>
            </w:r>
          </w:p>
        </w:tc>
        <w:tc>
          <w:tcPr>
            <w:tcW w:w="3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115,159</w:t>
            </w:r>
          </w:p>
        </w:tc>
      </w:tr>
      <w:tr>
        <w:trPr>
          <w:trHeight w:val="127"/>
        </w:trPr>
        <w:tc>
          <w:tcPr>
            <w:tcW w:w="5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Operating expenses</w:t>
            </w:r>
          </w:p>
        </w:tc>
        <w:tc>
          <w:tcPr>
            <w:tcW w:w="2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8"/>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Cost of revenue (refer to note 2.11)</w:t>
            </w:r>
          </w:p>
        </w:tc>
        <w:tc>
          <w:tcPr>
            <w:tcW w:w="232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34,791</w:t>
            </w:r>
          </w:p>
        </w:tc>
        <w:tc>
          <w:tcPr>
            <w:tcW w:w="3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745,040</w:t>
            </w:r>
          </w:p>
        </w:tc>
      </w:tr>
      <w:tr>
        <w:trPr>
          <w:trHeight w:val="111"/>
        </w:trPr>
        <w:tc>
          <w:tcPr>
            <w:tcW w:w="5200" w:type="dxa"/>
            <w:vAlign w:val="bottom"/>
          </w:tcPr>
          <w:p>
            <w:pPr>
              <w:ind w:left="100"/>
              <w:spacing w:after="0" w:line="111"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28"/>
        </w:trPr>
        <w:tc>
          <w:tcPr>
            <w:tcW w:w="5200" w:type="dxa"/>
            <w:vAlign w:val="bottom"/>
          </w:tcPr>
          <w:p>
            <w:pPr>
              <w:ind w:left="180"/>
              <w:spacing w:after="0"/>
              <w:rPr>
                <w:sz w:val="20"/>
                <w:szCs w:val="20"/>
                <w:color w:val="auto"/>
              </w:rPr>
            </w:pPr>
            <w:r>
              <w:rPr>
                <w:rFonts w:ascii="Times New Roman" w:cs="Times New Roman" w:eastAsia="Times New Roman" w:hAnsi="Times New Roman"/>
                <w:sz w:val="10"/>
                <w:szCs w:val="10"/>
                <w:i w:val="1"/>
                <w:iCs w:val="1"/>
                <w:color w:val="auto"/>
              </w:rPr>
              <w:t>2,072,224 and 869,777 refer to Note 14)</w:t>
            </w:r>
          </w:p>
        </w:tc>
        <w:tc>
          <w:tcPr>
            <w:tcW w:w="2320" w:type="dxa"/>
            <w:vAlign w:val="bottom"/>
          </w:tcPr>
          <w:p>
            <w:pPr>
              <w:spacing w:after="0"/>
              <w:rPr>
                <w:sz w:val="11"/>
                <w:szCs w:val="11"/>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6,731,254</w:t>
            </w:r>
          </w:p>
        </w:tc>
        <w:tc>
          <w:tcPr>
            <w:tcW w:w="34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4,338,557</w:t>
            </w:r>
          </w:p>
        </w:tc>
      </w:tr>
      <w:tr>
        <w:trPr>
          <w:trHeight w:val="112"/>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9"/>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i w:val="1"/>
                <w:iCs w:val="1"/>
                <w:color w:val="auto"/>
              </w:rPr>
              <w:t>3,831,291 and 41,231,704, refer to Note 14)</w:t>
            </w:r>
          </w:p>
        </w:tc>
        <w:tc>
          <w:tcPr>
            <w:tcW w:w="232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17,986,528</w:t>
            </w:r>
          </w:p>
        </w:tc>
        <w:tc>
          <w:tcPr>
            <w:tcW w:w="3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86,640,500</w:t>
            </w:r>
          </w:p>
        </w:tc>
      </w:tr>
      <w:tr>
        <w:trPr>
          <w:trHeight w:val="127"/>
        </w:trPr>
        <w:tc>
          <w:tcPr>
            <w:tcW w:w="52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Other operating expenses</w:t>
            </w:r>
          </w:p>
        </w:tc>
        <w:tc>
          <w:tcPr>
            <w:tcW w:w="2320" w:type="dxa"/>
            <w:vAlign w:val="bottom"/>
          </w:tcPr>
          <w:p>
            <w:pPr>
              <w:spacing w:after="0"/>
              <w:rPr>
                <w:sz w:val="11"/>
                <w:szCs w:val="11"/>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1,156,316</w:t>
            </w:r>
          </w:p>
        </w:tc>
        <w:tc>
          <w:tcPr>
            <w:tcW w:w="34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334,952</w:t>
            </w:r>
          </w:p>
        </w:tc>
      </w:tr>
      <w:tr>
        <w:trPr>
          <w:trHeight w:val="128"/>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Depreciation and amortization expenses</w:t>
            </w:r>
          </w:p>
        </w:tc>
        <w:tc>
          <w:tcPr>
            <w:tcW w:w="232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242,436</w:t>
            </w:r>
          </w:p>
        </w:tc>
        <w:tc>
          <w:tcPr>
            <w:tcW w:w="3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235,797</w:t>
            </w:r>
          </w:p>
        </w:tc>
      </w:tr>
      <w:tr>
        <w:trPr>
          <w:trHeight w:val="127"/>
        </w:trPr>
        <w:tc>
          <w:tcPr>
            <w:tcW w:w="52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Impairment of investment in ANY</w:t>
            </w:r>
          </w:p>
        </w:tc>
        <w:tc>
          <w:tcPr>
            <w:tcW w:w="2320" w:type="dxa"/>
            <w:vAlign w:val="bottom"/>
          </w:tcPr>
          <w:p>
            <w:pPr>
              <w:spacing w:after="0"/>
              <w:rPr>
                <w:sz w:val="11"/>
                <w:szCs w:val="11"/>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14,822,022</w:t>
            </w:r>
          </w:p>
        </w:tc>
      </w:tr>
      <w:tr>
        <w:trPr>
          <w:trHeight w:val="128"/>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Impairment of goodwill</w:t>
            </w:r>
          </w:p>
        </w:tc>
        <w:tc>
          <w:tcPr>
            <w:tcW w:w="232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44,438</w:t>
            </w:r>
          </w:p>
        </w:tc>
      </w:tr>
      <w:tr>
        <w:trPr>
          <w:trHeight w:val="127"/>
        </w:trPr>
        <w:tc>
          <w:tcPr>
            <w:tcW w:w="5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320" w:type="dxa"/>
            <w:vAlign w:val="bottom"/>
          </w:tcPr>
          <w:p>
            <w:pPr>
              <w:spacing w:after="0"/>
              <w:rPr>
                <w:sz w:val="11"/>
                <w:szCs w:val="11"/>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26,151,325</w:t>
            </w:r>
          </w:p>
        </w:tc>
        <w:tc>
          <w:tcPr>
            <w:tcW w:w="34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107,161,306</w:t>
            </w:r>
          </w:p>
        </w:tc>
      </w:tr>
      <w:tr>
        <w:trPr>
          <w:trHeight w:val="128"/>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Operating loss</w:t>
            </w:r>
          </w:p>
        </w:tc>
        <w:tc>
          <w:tcPr>
            <w:tcW w:w="232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(26,006,274 )</w:t>
            </w:r>
          </w:p>
        </w:tc>
        <w:tc>
          <w:tcPr>
            <w:tcW w:w="3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(107,046,147 )</w:t>
            </w:r>
          </w:p>
        </w:tc>
      </w:tr>
      <w:tr>
        <w:trPr>
          <w:trHeight w:val="127"/>
        </w:trPr>
        <w:tc>
          <w:tcPr>
            <w:tcW w:w="5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Other expenses</w:t>
            </w:r>
          </w:p>
        </w:tc>
        <w:tc>
          <w:tcPr>
            <w:tcW w:w="2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8"/>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232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(4,791,782 )</w:t>
            </w:r>
          </w:p>
        </w:tc>
        <w:tc>
          <w:tcPr>
            <w:tcW w:w="3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(3,884,695 )</w:t>
            </w:r>
          </w:p>
        </w:tc>
      </w:tr>
      <w:tr>
        <w:trPr>
          <w:trHeight w:val="127"/>
        </w:trPr>
        <w:tc>
          <w:tcPr>
            <w:tcW w:w="5200" w:type="dxa"/>
            <w:vAlign w:val="bottom"/>
          </w:tcPr>
          <w:p>
            <w:pPr>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2320" w:type="dxa"/>
            <w:vAlign w:val="bottom"/>
          </w:tcPr>
          <w:p>
            <w:pPr>
              <w:spacing w:after="0"/>
              <w:rPr>
                <w:sz w:val="11"/>
                <w:szCs w:val="11"/>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125,366</w:t>
            </w:r>
          </w:p>
        </w:tc>
        <w:tc>
          <w:tcPr>
            <w:tcW w:w="34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256,659</w:t>
            </w:r>
          </w:p>
        </w:tc>
      </w:tr>
      <w:tr>
        <w:trPr>
          <w:trHeight w:val="128"/>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32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(4,666,416 )</w:t>
            </w:r>
          </w:p>
        </w:tc>
        <w:tc>
          <w:tcPr>
            <w:tcW w:w="3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(3,628,036 )</w:t>
            </w:r>
          </w:p>
        </w:tc>
      </w:tr>
      <w:tr>
        <w:trPr>
          <w:trHeight w:val="127"/>
        </w:trPr>
        <w:tc>
          <w:tcPr>
            <w:tcW w:w="5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Loss before taxes</w:t>
            </w:r>
          </w:p>
        </w:tc>
        <w:tc>
          <w:tcPr>
            <w:tcW w:w="2320" w:type="dxa"/>
            <w:vAlign w:val="bottom"/>
          </w:tcPr>
          <w:p>
            <w:pPr>
              <w:spacing w:after="0"/>
              <w:rPr>
                <w:sz w:val="11"/>
                <w:szCs w:val="11"/>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(30,672,690 )</w:t>
            </w:r>
          </w:p>
        </w:tc>
        <w:tc>
          <w:tcPr>
            <w:tcW w:w="340" w:type="dxa"/>
            <w:vAlign w:val="bottom"/>
          </w:tcPr>
          <w:p>
            <w:pPr>
              <w:spacing w:after="0"/>
              <w:rPr>
                <w:sz w:val="11"/>
                <w:szCs w:val="1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(110,674,183 )</w:t>
            </w:r>
          </w:p>
        </w:tc>
      </w:tr>
      <w:tr>
        <w:trPr>
          <w:trHeight w:val="128"/>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232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(63,408 )</w:t>
            </w:r>
          </w:p>
        </w:tc>
        <w:tc>
          <w:tcPr>
            <w:tcW w:w="3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(38,765 )</w:t>
            </w:r>
          </w:p>
        </w:tc>
      </w:tr>
      <w:tr>
        <w:trPr>
          <w:trHeight w:val="127"/>
        </w:trPr>
        <w:tc>
          <w:tcPr>
            <w:tcW w:w="5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loss for the year</w:t>
            </w:r>
          </w:p>
        </w:tc>
        <w:tc>
          <w:tcPr>
            <w:tcW w:w="232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(30,736,098 )</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(110,712,948 )</w:t>
            </w:r>
          </w:p>
        </w:tc>
      </w:tr>
      <w:tr>
        <w:trPr>
          <w:trHeight w:val="128"/>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3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(0.03 )</w:t>
            </w:r>
          </w:p>
        </w:tc>
        <w:tc>
          <w:tcPr>
            <w:tcW w:w="3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(0.12 )</w:t>
            </w:r>
          </w:p>
        </w:tc>
      </w:tr>
      <w:tr>
        <w:trPr>
          <w:trHeight w:val="126"/>
        </w:trPr>
        <w:tc>
          <w:tcPr>
            <w:tcW w:w="52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927,204,508</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Comprehensive Loss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220" w:type="dxa"/>
            <w:vAlign w:val="bottom"/>
          </w:tcPr>
          <w:p>
            <w:pPr>
              <w:spacing w:after="0"/>
              <w:rPr>
                <w:sz w:val="8"/>
                <w:szCs w:val="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108"/>
        </w:trPr>
        <w:tc>
          <w:tcPr>
            <w:tcW w:w="24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9"/>
                <w:szCs w:val="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24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220" w:type="dxa"/>
            <w:vAlign w:val="bottom"/>
          </w:tcPr>
          <w:p>
            <w:pPr>
              <w:spacing w:after="0"/>
              <w:rPr>
                <w:sz w:val="10"/>
                <w:szCs w:val="1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512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(30,736,098 )</w:t>
            </w: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(110,712,948 )</w:t>
            </w:r>
          </w:p>
        </w:tc>
      </w:tr>
      <w:tr>
        <w:trPr>
          <w:trHeight w:val="127"/>
        </w:trPr>
        <w:tc>
          <w:tcPr>
            <w:tcW w:w="240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Foreign currency translation loss</w:t>
            </w:r>
          </w:p>
        </w:tc>
        <w:tc>
          <w:tcPr>
            <w:tcW w:w="4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(69,565 )</w:t>
            </w:r>
          </w:p>
        </w:tc>
        <w:tc>
          <w:tcPr>
            <w:tcW w:w="22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(87,941 )</w:t>
            </w:r>
          </w:p>
        </w:tc>
      </w:tr>
      <w:tr>
        <w:trPr>
          <w:trHeight w:val="130"/>
        </w:trPr>
        <w:tc>
          <w:tcPr>
            <w:tcW w:w="2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488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54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(30,805,663 </w:t>
            </w:r>
            <w:r>
              <w:rPr>
                <w:rFonts w:ascii="Times New Roman" w:cs="Times New Roman" w:eastAsia="Times New Roman" w:hAnsi="Times New Roman"/>
                <w:sz w:val="14"/>
                <w:szCs w:val="14"/>
                <w:b w:val="1"/>
                <w:bCs w:val="1"/>
                <w:color w:val="auto"/>
                <w:vertAlign w:val="subscript"/>
              </w:rPr>
              <w:t>)</w:t>
            </w: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(110,800,889 </w:t>
            </w:r>
            <w:r>
              <w:rPr>
                <w:rFonts w:ascii="Times New Roman" w:cs="Times New Roman" w:eastAsia="Times New Roman" w:hAnsi="Times New Roman"/>
                <w:sz w:val="14"/>
                <w:szCs w:val="14"/>
                <w:b w:val="1"/>
                <w:bCs w:val="1"/>
                <w:color w:val="auto"/>
                <w:vertAlign w:val="subscript"/>
              </w:rPr>
              <w:t>)</w:t>
            </w:r>
          </w:p>
        </w:tc>
      </w:tr>
      <w:tr>
        <w:trPr>
          <w:trHeight w:val="261"/>
        </w:trPr>
        <w:tc>
          <w:tcPr>
            <w:tcW w:w="2400" w:type="dxa"/>
            <w:vAlign w:val="bottom"/>
          </w:tcPr>
          <w:p>
            <w:pPr>
              <w:spacing w:after="0"/>
              <w:rPr>
                <w:sz w:val="22"/>
                <w:szCs w:val="22"/>
                <w:color w:val="auto"/>
              </w:rPr>
            </w:pPr>
          </w:p>
        </w:tc>
        <w:tc>
          <w:tcPr>
            <w:tcW w:w="4880" w:type="dxa"/>
            <w:vAlign w:val="bottom"/>
          </w:tcPr>
          <w:p>
            <w:pPr>
              <w:jc w:val="right"/>
              <w:ind w:right="11"/>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2400" w:type="dxa"/>
            <w:vAlign w:val="bottom"/>
          </w:tcPr>
          <w:p>
            <w:pPr>
              <w:spacing w:after="0"/>
              <w:rPr>
                <w:sz w:val="20"/>
                <w:szCs w:val="20"/>
                <w:color w:val="auto"/>
              </w:rPr>
            </w:pPr>
          </w:p>
        </w:tc>
        <w:tc>
          <w:tcPr>
            <w:tcW w:w="5120" w:type="dxa"/>
            <w:vAlign w:val="bottom"/>
            <w:gridSpan w:val="2"/>
          </w:tcPr>
          <w:p>
            <w:pPr>
              <w:jc w:val="right"/>
              <w:ind w:right="2071"/>
              <w:spacing w:after="0"/>
              <w:rPr>
                <w:sz w:val="20"/>
                <w:szCs w:val="20"/>
                <w:color w:val="auto"/>
              </w:rPr>
            </w:pPr>
            <w:r>
              <w:rPr>
                <w:rFonts w:ascii="Times New Roman" w:cs="Times New Roman" w:eastAsia="Times New Roman" w:hAnsi="Times New Roman"/>
                <w:sz w:val="10"/>
                <w:szCs w:val="10"/>
                <w:color w:val="auto"/>
              </w:rPr>
              <w:t>F-30</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2"/>
        </w:trPr>
        <w:tc>
          <w:tcPr>
            <w:tcW w:w="240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Changes in Shareholders’ Deficit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2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7"/>
                <w:szCs w:val="7"/>
                <w:b w:val="1"/>
                <w:bCs w:val="1"/>
                <w:color w:val="auto"/>
                <w:w w:val="95"/>
              </w:rPr>
              <w:t>Accumulated</w:t>
            </w: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3"/>
              </w:rPr>
              <w:t>Additional</w:t>
            </w: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1"/>
              </w:rPr>
              <w:t>Share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7"/>
                <w:szCs w:val="7"/>
                <w:b w:val="1"/>
                <w:bCs w:val="1"/>
                <w:color w:val="auto"/>
                <w:w w:val="87"/>
              </w:rPr>
              <w:t>other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7"/>
                <w:szCs w:val="7"/>
                <w:b w:val="1"/>
                <w:bCs w:val="1"/>
                <w:color w:val="auto"/>
              </w:rPr>
              <w:t>Total</w:t>
            </w:r>
          </w:p>
        </w:tc>
      </w:tr>
      <w:tr>
        <w:trPr>
          <w:trHeight w:val="88"/>
        </w:trPr>
        <w:tc>
          <w:tcPr>
            <w:tcW w:w="2180" w:type="dxa"/>
            <w:vAlign w:val="bottom"/>
          </w:tcPr>
          <w:p>
            <w:pPr>
              <w:spacing w:after="0"/>
              <w:rPr>
                <w:sz w:val="7"/>
                <w:szCs w:val="7"/>
                <w:color w:val="auto"/>
              </w:rPr>
            </w:pPr>
          </w:p>
        </w:tc>
        <w:tc>
          <w:tcPr>
            <w:tcW w:w="1140" w:type="dxa"/>
            <w:vAlign w:val="bottom"/>
            <w:gridSpan w:val="3"/>
          </w:tcPr>
          <w:p>
            <w:pPr>
              <w:ind w:left="600"/>
              <w:spacing w:after="0"/>
              <w:rPr>
                <w:sz w:val="20"/>
                <w:szCs w:val="20"/>
                <w:color w:val="auto"/>
              </w:rPr>
            </w:pPr>
            <w:r>
              <w:rPr>
                <w:rFonts w:ascii="Times New Roman" w:cs="Times New Roman" w:eastAsia="Times New Roman" w:hAnsi="Times New Roman"/>
                <w:sz w:val="7"/>
                <w:szCs w:val="7"/>
                <w:b w:val="1"/>
                <w:bCs w:val="1"/>
                <w:color w:val="auto"/>
              </w:rPr>
              <w:t>Ordinary shares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3"/>
          </w:tcPr>
          <w:p>
            <w:pPr>
              <w:ind w:left="500"/>
              <w:spacing w:after="0"/>
              <w:rPr>
                <w:sz w:val="20"/>
                <w:szCs w:val="20"/>
                <w:color w:val="auto"/>
              </w:rPr>
            </w:pPr>
            <w:r>
              <w:rPr>
                <w:rFonts w:ascii="Times New Roman" w:cs="Times New Roman" w:eastAsia="Times New Roman" w:hAnsi="Times New Roman"/>
                <w:sz w:val="7"/>
                <w:szCs w:val="7"/>
                <w:b w:val="1"/>
                <w:bCs w:val="1"/>
                <w:color w:val="auto"/>
              </w:rPr>
              <w:t>Series A shares</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7"/>
                <w:szCs w:val="7"/>
                <w:b w:val="1"/>
                <w:bCs w:val="1"/>
                <w:color w:val="auto"/>
                <w:w w:val="93"/>
              </w:rPr>
              <w:t>paid-in</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7"/>
              </w:rPr>
              <w:t>subscription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7"/>
                <w:szCs w:val="7"/>
                <w:b w:val="1"/>
                <w:bCs w:val="1"/>
                <w:color w:val="auto"/>
                <w:w w:val="93"/>
              </w:rPr>
              <w:t>comprehensive</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7"/>
                <w:szCs w:val="7"/>
                <w:b w:val="1"/>
                <w:bCs w:val="1"/>
                <w:color w:val="auto"/>
                <w:w w:val="95"/>
              </w:rPr>
              <w:t>Shareholders</w:t>
            </w:r>
          </w:p>
        </w:tc>
      </w:tr>
      <w:tr>
        <w:trPr>
          <w:trHeight w:val="99"/>
        </w:trPr>
        <w:tc>
          <w:tcPr>
            <w:tcW w:w="2180" w:type="dxa"/>
            <w:vAlign w:val="bottom"/>
          </w:tcPr>
          <w:p>
            <w:pPr>
              <w:spacing w:after="0"/>
              <w:rPr>
                <w:sz w:val="8"/>
                <w:szCs w:val="8"/>
                <w:color w:val="auto"/>
              </w:rPr>
            </w:pP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7"/>
                <w:szCs w:val="7"/>
                <w:b w:val="1"/>
                <w:bCs w:val="1"/>
                <w:color w:val="auto"/>
              </w:rPr>
              <w:t>Shares</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7"/>
                <w:szCs w:val="7"/>
                <w:b w:val="1"/>
                <w:bCs w:val="1"/>
                <w:color w:val="auto"/>
              </w:rPr>
              <w:t>Amount</w:t>
            </w: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7"/>
                <w:szCs w:val="7"/>
                <w:b w:val="1"/>
                <w:bCs w:val="1"/>
                <w:color w:val="auto"/>
              </w:rPr>
              <w:t>Shares</w:t>
            </w: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7"/>
                <w:szCs w:val="7"/>
                <w:b w:val="1"/>
                <w:bCs w:val="1"/>
                <w:color w:val="auto"/>
              </w:rPr>
              <w:t>Amount</w:t>
            </w:r>
          </w:p>
        </w:tc>
        <w:tc>
          <w:tcPr>
            <w:tcW w:w="220" w:type="dxa"/>
            <w:vAlign w:val="bottom"/>
          </w:tcPr>
          <w:p>
            <w:pPr>
              <w:spacing w:after="0"/>
              <w:rPr>
                <w:sz w:val="8"/>
                <w:szCs w:val="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7"/>
                <w:szCs w:val="7"/>
                <w:b w:val="1"/>
                <w:bCs w:val="1"/>
                <w:color w:val="auto"/>
                <w:w w:val="98"/>
              </w:rPr>
              <w:t>capital</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7"/>
                <w:szCs w:val="7"/>
                <w:b w:val="1"/>
                <w:bCs w:val="1"/>
                <w:color w:val="auto"/>
              </w:rPr>
              <w:t>deficit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2"/>
              </w:rPr>
              <w:t>receivable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3"/>
              </w:rPr>
              <w:t>income</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7"/>
                <w:szCs w:val="7"/>
                <w:b w:val="1"/>
                <w:bCs w:val="1"/>
                <w:color w:val="auto"/>
                <w:w w:val="96"/>
              </w:rPr>
              <w:t>deficit</w:t>
            </w:r>
          </w:p>
        </w:tc>
      </w:tr>
      <w:tr>
        <w:trPr>
          <w:trHeight w:val="99"/>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January 1, 2022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891,818,882</w:t>
            </w: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122,427</w:t>
            </w: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83,692,381</w:t>
            </w:r>
          </w:p>
        </w:tc>
        <w:tc>
          <w:tcPr>
            <w:tcW w:w="2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7"/>
                <w:szCs w:val="7"/>
                <w:b w:val="1"/>
                <w:bCs w:val="1"/>
                <w:color w:val="auto"/>
              </w:rPr>
              <w:t>(84,842,384 )</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7"/>
                <w:szCs w:val="7"/>
                <w:b w:val="1"/>
                <w:bCs w:val="1"/>
                <w:color w:val="auto"/>
              </w:rPr>
              <w:t>(175,505 )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6,762</w:t>
            </w:r>
          </w:p>
        </w:tc>
        <w:tc>
          <w:tcPr>
            <w:tcW w:w="200" w:type="dxa"/>
            <w:vAlign w:val="bottom"/>
            <w:shd w:val="clear" w:color="auto" w:fill="CFF0FC"/>
          </w:tcPr>
          <w:p>
            <w:pPr>
              <w:spacing w:after="0"/>
              <w:rPr>
                <w:sz w:val="8"/>
                <w:szCs w:val="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7"/>
                <w:szCs w:val="7"/>
                <w:b w:val="1"/>
                <w:bCs w:val="1"/>
                <w:color w:val="auto"/>
              </w:rPr>
              <w:t>(1,192,451 )</w:t>
            </w:r>
          </w:p>
        </w:tc>
      </w:tr>
      <w:tr>
        <w:trPr>
          <w:trHeight w:val="96"/>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w:t>
            </w:r>
          </w:p>
        </w:tc>
        <w:tc>
          <w:tcPr>
            <w:tcW w:w="7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2,040,816</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166</w:t>
            </w:r>
          </w:p>
        </w:tc>
        <w:tc>
          <w:tcPr>
            <w:tcW w:w="220" w:type="dxa"/>
            <w:vAlign w:val="bottom"/>
          </w:tcPr>
          <w:p>
            <w:pPr>
              <w:spacing w:after="0"/>
              <w:rPr>
                <w:sz w:val="8"/>
                <w:szCs w:val="8"/>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2,499,754</w:t>
            </w:r>
          </w:p>
        </w:tc>
        <w:tc>
          <w:tcPr>
            <w:tcW w:w="200" w:type="dxa"/>
            <w:vAlign w:val="bottom"/>
          </w:tcPr>
          <w:p>
            <w:pPr>
              <w:spacing w:after="0"/>
              <w:rPr>
                <w:sz w:val="8"/>
                <w:szCs w:val="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2,499,920</w:t>
            </w:r>
          </w:p>
        </w:tc>
        <w:tc>
          <w:tcPr>
            <w:tcW w:w="100" w:type="dxa"/>
            <w:vAlign w:val="bottom"/>
          </w:tcPr>
          <w:p>
            <w:pPr>
              <w:spacing w:after="0"/>
              <w:rPr>
                <w:sz w:val="8"/>
                <w:szCs w:val="8"/>
                <w:color w:val="auto"/>
              </w:rPr>
            </w:pPr>
          </w:p>
        </w:tc>
      </w:tr>
      <w:tr>
        <w:trPr>
          <w:trHeight w:val="9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for ANY</w:t>
            </w: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89"/>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(note 2.20) (as restated)</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14,427,185</w:t>
            </w: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20" w:type="dxa"/>
            <w:vAlign w:val="bottom"/>
            <w:shd w:val="clear" w:color="auto" w:fill="CFF0FC"/>
          </w:tcPr>
          <w:p>
            <w:pPr>
              <w:spacing w:after="0"/>
              <w:rPr>
                <w:sz w:val="7"/>
                <w:szCs w:val="7"/>
                <w:color w:val="auto"/>
              </w:rPr>
            </w:pP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14,858,007</w:t>
            </w:r>
          </w:p>
        </w:tc>
        <w:tc>
          <w:tcPr>
            <w:tcW w:w="200" w:type="dxa"/>
            <w:vAlign w:val="bottom"/>
            <w:shd w:val="clear" w:color="auto" w:fill="CFF0FC"/>
          </w:tcPr>
          <w:p>
            <w:pPr>
              <w:spacing w:after="0"/>
              <w:rPr>
                <w:sz w:val="7"/>
                <w:szCs w:val="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14,860,000</w:t>
            </w:r>
          </w:p>
        </w:tc>
        <w:tc>
          <w:tcPr>
            <w:tcW w:w="100" w:type="dxa"/>
            <w:vAlign w:val="bottom"/>
            <w:shd w:val="clear" w:color="auto" w:fill="CFF0FC"/>
          </w:tcPr>
          <w:p>
            <w:pPr>
              <w:spacing w:after="0"/>
              <w:rPr>
                <w:sz w:val="7"/>
                <w:szCs w:val="7"/>
                <w:color w:val="auto"/>
              </w:rPr>
            </w:pPr>
          </w:p>
        </w:tc>
      </w:tr>
      <w:tr>
        <w:trPr>
          <w:trHeight w:val="9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to</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7"/>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color w:val="auto"/>
              </w:rPr>
              <w:t>consultant (note 11)</w:t>
            </w:r>
          </w:p>
        </w:tc>
        <w:tc>
          <w:tcPr>
            <w:tcW w:w="7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677</w:t>
            </w:r>
          </w:p>
        </w:tc>
        <w:tc>
          <w:tcPr>
            <w:tcW w:w="220" w:type="dxa"/>
            <w:vAlign w:val="bottom"/>
          </w:tcPr>
          <w:p>
            <w:pPr>
              <w:spacing w:after="0"/>
              <w:rPr>
                <w:sz w:val="7"/>
                <w:szCs w:val="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18,417,139</w:t>
            </w:r>
          </w:p>
        </w:tc>
        <w:tc>
          <w:tcPr>
            <w:tcW w:w="200" w:type="dxa"/>
            <w:vAlign w:val="bottom"/>
          </w:tcPr>
          <w:p>
            <w:pPr>
              <w:spacing w:after="0"/>
              <w:rPr>
                <w:sz w:val="7"/>
                <w:szCs w:val="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18,417,816</w:t>
            </w:r>
          </w:p>
        </w:tc>
        <w:tc>
          <w:tcPr>
            <w:tcW w:w="100" w:type="dxa"/>
            <w:vAlign w:val="bottom"/>
          </w:tcPr>
          <w:p>
            <w:pPr>
              <w:spacing w:after="0"/>
              <w:rPr>
                <w:sz w:val="7"/>
                <w:szCs w:val="7"/>
                <w:color w:val="auto"/>
              </w:rPr>
            </w:pPr>
          </w:p>
        </w:tc>
      </w:tr>
      <w:tr>
        <w:trPr>
          <w:trHeight w:val="9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against</w:t>
            </w: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89"/>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warrants (note 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1,700,000</w:t>
            </w: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192</w:t>
            </w:r>
          </w:p>
        </w:tc>
        <w:tc>
          <w:tcPr>
            <w:tcW w:w="220" w:type="dxa"/>
            <w:vAlign w:val="bottom"/>
            <w:shd w:val="clear" w:color="auto" w:fill="CFF0FC"/>
          </w:tcPr>
          <w:p>
            <w:pPr>
              <w:spacing w:after="0"/>
              <w:rPr>
                <w:sz w:val="7"/>
                <w:szCs w:val="7"/>
                <w:color w:val="auto"/>
              </w:rPr>
            </w:pP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2,082,308</w:t>
            </w:r>
          </w:p>
        </w:tc>
        <w:tc>
          <w:tcPr>
            <w:tcW w:w="200" w:type="dxa"/>
            <w:vAlign w:val="bottom"/>
            <w:shd w:val="clear" w:color="auto" w:fill="CFF0FC"/>
          </w:tcPr>
          <w:p>
            <w:pPr>
              <w:spacing w:after="0"/>
              <w:rPr>
                <w:sz w:val="7"/>
                <w:szCs w:val="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2,082,500</w:t>
            </w:r>
          </w:p>
        </w:tc>
        <w:tc>
          <w:tcPr>
            <w:tcW w:w="100" w:type="dxa"/>
            <w:vAlign w:val="bottom"/>
            <w:shd w:val="clear" w:color="auto" w:fill="CFF0FC"/>
          </w:tcPr>
          <w:p>
            <w:pPr>
              <w:spacing w:after="0"/>
              <w:rPr>
                <w:sz w:val="7"/>
                <w:szCs w:val="7"/>
                <w:color w:val="auto"/>
              </w:rPr>
            </w:pPr>
          </w:p>
        </w:tc>
      </w:tr>
      <w:tr>
        <w:trPr>
          <w:trHeight w:val="9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7"/>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color w:val="auto"/>
              </w:rPr>
              <w:t>– related parties (note 11)</w:t>
            </w:r>
          </w:p>
        </w:tc>
        <w:tc>
          <w:tcPr>
            <w:tcW w:w="7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27,246,461</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3,215</w:t>
            </w:r>
          </w:p>
        </w:tc>
        <w:tc>
          <w:tcPr>
            <w:tcW w:w="220" w:type="dxa"/>
            <w:vAlign w:val="bottom"/>
          </w:tcPr>
          <w:p>
            <w:pPr>
              <w:spacing w:after="0"/>
              <w:rPr>
                <w:sz w:val="7"/>
                <w:szCs w:val="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200" w:type="dxa"/>
            <w:vAlign w:val="bottom"/>
          </w:tcPr>
          <w:p>
            <w:pPr>
              <w:spacing w:after="0"/>
              <w:rPr>
                <w:sz w:val="7"/>
                <w:szCs w:val="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(3,215 )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100" w:type="dxa"/>
            <w:vAlign w:val="bottom"/>
          </w:tcPr>
          <w:p>
            <w:pPr>
              <w:spacing w:after="0"/>
              <w:rPr>
                <w:sz w:val="7"/>
                <w:szCs w:val="7"/>
                <w:color w:val="auto"/>
              </w:rPr>
            </w:pPr>
          </w:p>
        </w:tc>
      </w:tr>
      <w:tr>
        <w:trPr>
          <w:trHeight w:val="9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Employee share-based</w:t>
            </w: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89"/>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compensation (note 11)</w:t>
            </w:r>
          </w:p>
        </w:tc>
        <w:tc>
          <w:tcPr>
            <w:tcW w:w="11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200" w:type="dxa"/>
            <w:vAlign w:val="bottom"/>
            <w:shd w:val="clear" w:color="auto" w:fill="CFF0FC"/>
          </w:tcPr>
          <w:p>
            <w:pPr>
              <w:spacing w:after="0"/>
              <w:rPr>
                <w:sz w:val="7"/>
                <w:szCs w:val="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100" w:type="dxa"/>
            <w:vAlign w:val="bottom"/>
            <w:shd w:val="clear" w:color="auto" w:fill="CFF0FC"/>
          </w:tcPr>
          <w:p>
            <w:pPr>
              <w:spacing w:after="0"/>
              <w:rPr>
                <w:sz w:val="7"/>
                <w:szCs w:val="7"/>
                <w:color w:val="auto"/>
              </w:rPr>
            </w:pPr>
          </w:p>
        </w:tc>
      </w:tr>
      <w:tr>
        <w:trPr>
          <w:trHeight w:val="96"/>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ANY shares reverted (note 2.20)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7"/>
                <w:szCs w:val="7"/>
                <w:color w:val="auto"/>
              </w:rPr>
              <w:t>(14,427,185 )</w:t>
            </w:r>
          </w:p>
        </w:tc>
        <w:tc>
          <w:tcPr>
            <w:tcW w:w="160" w:type="dxa"/>
            <w:vAlign w:val="bottom"/>
          </w:tcPr>
          <w:p>
            <w:pPr>
              <w:spacing w:after="0"/>
              <w:rPr>
                <w:sz w:val="8"/>
                <w:szCs w:val="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7"/>
                <w:szCs w:val="7"/>
                <w:color w:val="auto"/>
              </w:rPr>
              <w:t>(1,993 )</w:t>
            </w: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00" w:type="dxa"/>
            <w:vAlign w:val="bottom"/>
          </w:tcPr>
          <w:p>
            <w:pPr>
              <w:spacing w:after="0"/>
              <w:rPr>
                <w:sz w:val="8"/>
                <w:szCs w:val="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r>
      <w:tr>
        <w:trPr>
          <w:trHeight w:val="99"/>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 (as restated)</w:t>
            </w:r>
          </w:p>
        </w:tc>
        <w:tc>
          <w:tcPr>
            <w:tcW w:w="11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8"/>
                <w:szCs w:val="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7"/>
                <w:szCs w:val="7"/>
                <w:color w:val="auto"/>
              </w:rPr>
              <w:t>(110,712,948 )</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7"/>
                <w:szCs w:val="7"/>
                <w:color w:val="auto"/>
              </w:rPr>
              <w:t>(110,712,948 )</w:t>
            </w:r>
          </w:p>
        </w:tc>
      </w:tr>
      <w:tr>
        <w:trPr>
          <w:trHeight w:val="9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Foreign currency translation</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7"/>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color w:val="auto"/>
              </w:rPr>
              <w:t>(loss) (as restated)</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(87,941 )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(87,941 )</w:t>
            </w:r>
          </w:p>
        </w:tc>
      </w:tr>
      <w:tr>
        <w:trPr>
          <w:trHeight w:val="99"/>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December 31, 2022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927,806,159</w:t>
            </w: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126,677</w:t>
            </w: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163,165,083</w:t>
            </w:r>
          </w:p>
        </w:tc>
        <w:tc>
          <w:tcPr>
            <w:tcW w:w="2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7"/>
                <w:szCs w:val="7"/>
                <w:b w:val="1"/>
                <w:bCs w:val="1"/>
                <w:color w:val="auto"/>
              </w:rPr>
              <w:t>(195,555,332 )</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7"/>
                <w:szCs w:val="7"/>
                <w:b w:val="1"/>
                <w:bCs w:val="1"/>
                <w:color w:val="auto"/>
              </w:rPr>
              <w:t>(178,720 )</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7"/>
                <w:szCs w:val="7"/>
                <w:b w:val="1"/>
                <w:bCs w:val="1"/>
                <w:color w:val="auto"/>
              </w:rPr>
              <w:t>(81,179 )</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7"/>
                <w:szCs w:val="7"/>
                <w:b w:val="1"/>
                <w:bCs w:val="1"/>
                <w:color w:val="auto"/>
              </w:rPr>
              <w:t>(32,519,603 )</w:t>
            </w:r>
          </w:p>
        </w:tc>
      </w:tr>
      <w:tr>
        <w:trPr>
          <w:trHeight w:val="9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 to related</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7"/>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7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163,265</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w:t>
            </w:r>
          </w:p>
        </w:tc>
        <w:tc>
          <w:tcPr>
            <w:tcW w:w="220" w:type="dxa"/>
            <w:vAlign w:val="bottom"/>
          </w:tcPr>
          <w:p>
            <w:pPr>
              <w:spacing w:after="0"/>
              <w:rPr>
                <w:sz w:val="7"/>
                <w:szCs w:val="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199,954</w:t>
            </w:r>
          </w:p>
        </w:tc>
        <w:tc>
          <w:tcPr>
            <w:tcW w:w="200" w:type="dxa"/>
            <w:vAlign w:val="bottom"/>
          </w:tcPr>
          <w:p>
            <w:pPr>
              <w:spacing w:after="0"/>
              <w:rPr>
                <w:sz w:val="7"/>
                <w:szCs w:val="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199,974</w:t>
            </w:r>
          </w:p>
        </w:tc>
        <w:tc>
          <w:tcPr>
            <w:tcW w:w="100" w:type="dxa"/>
            <w:vAlign w:val="bottom"/>
          </w:tcPr>
          <w:p>
            <w:pPr>
              <w:spacing w:after="0"/>
              <w:rPr>
                <w:sz w:val="7"/>
                <w:szCs w:val="7"/>
                <w:color w:val="auto"/>
              </w:rPr>
            </w:pPr>
          </w:p>
        </w:tc>
      </w:tr>
      <w:tr>
        <w:trPr>
          <w:trHeight w:val="9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from</w:t>
            </w: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89"/>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share-options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613</w:t>
            </w:r>
          </w:p>
        </w:tc>
        <w:tc>
          <w:tcPr>
            <w:tcW w:w="220" w:type="dxa"/>
            <w:vAlign w:val="bottom"/>
            <w:shd w:val="clear" w:color="auto" w:fill="CFF0FC"/>
          </w:tcPr>
          <w:p>
            <w:pPr>
              <w:spacing w:after="0"/>
              <w:rPr>
                <w:sz w:val="7"/>
                <w:szCs w:val="7"/>
                <w:color w:val="auto"/>
              </w:rPr>
            </w:pP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7"/>
                <w:szCs w:val="7"/>
                <w:color w:val="auto"/>
              </w:rPr>
              <w:t>(613 )</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r>
      <w:tr>
        <w:trPr>
          <w:trHeight w:val="91"/>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in lieu</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7"/>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color w:val="auto"/>
              </w:rPr>
              <w:t>of services</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200" w:type="dxa"/>
            <w:vAlign w:val="bottom"/>
          </w:tcPr>
          <w:p>
            <w:pPr>
              <w:spacing w:after="0"/>
              <w:rPr>
                <w:sz w:val="7"/>
                <w:szCs w:val="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100" w:type="dxa"/>
            <w:vAlign w:val="bottom"/>
          </w:tcPr>
          <w:p>
            <w:pPr>
              <w:spacing w:after="0"/>
              <w:rPr>
                <w:sz w:val="7"/>
                <w:szCs w:val="7"/>
                <w:color w:val="auto"/>
              </w:rPr>
            </w:pPr>
          </w:p>
        </w:tc>
      </w:tr>
      <w:tr>
        <w:trPr>
          <w:trHeight w:val="9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Share-based compensation related</w:t>
            </w: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89"/>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11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200" w:type="dxa"/>
            <w:vAlign w:val="bottom"/>
            <w:shd w:val="clear" w:color="auto" w:fill="CFF0FC"/>
          </w:tcPr>
          <w:p>
            <w:pPr>
              <w:spacing w:after="0"/>
              <w:rPr>
                <w:sz w:val="7"/>
                <w:szCs w:val="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100" w:type="dxa"/>
            <w:vAlign w:val="bottom"/>
            <w:shd w:val="clear" w:color="auto" w:fill="CFF0FC"/>
          </w:tcPr>
          <w:p>
            <w:pPr>
              <w:spacing w:after="0"/>
              <w:rPr>
                <w:sz w:val="7"/>
                <w:szCs w:val="7"/>
                <w:color w:val="auto"/>
              </w:rPr>
            </w:pPr>
          </w:p>
        </w:tc>
      </w:tr>
      <w:tr>
        <w:trPr>
          <w:trHeight w:val="96"/>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Employee share-based compensation</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200" w:type="dxa"/>
            <w:vAlign w:val="bottom"/>
          </w:tcPr>
          <w:p>
            <w:pPr>
              <w:spacing w:after="0"/>
              <w:rPr>
                <w:sz w:val="8"/>
                <w:szCs w:val="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100" w:type="dxa"/>
            <w:vAlign w:val="bottom"/>
          </w:tcPr>
          <w:p>
            <w:pPr>
              <w:spacing w:after="0"/>
              <w:rPr>
                <w:sz w:val="8"/>
                <w:szCs w:val="8"/>
                <w:color w:val="auto"/>
              </w:rPr>
            </w:pPr>
          </w:p>
        </w:tc>
      </w:tr>
      <w:tr>
        <w:trPr>
          <w:trHeight w:val="99"/>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w:t>
            </w:r>
          </w:p>
        </w:tc>
        <w:tc>
          <w:tcPr>
            <w:tcW w:w="11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8"/>
                <w:szCs w:val="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7"/>
                <w:szCs w:val="7"/>
                <w:color w:val="auto"/>
              </w:rPr>
              <w:t>(30,736,098 )</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7"/>
                <w:szCs w:val="7"/>
                <w:color w:val="auto"/>
              </w:rPr>
              <w:t>(30,736,098 )</w:t>
            </w:r>
          </w:p>
        </w:tc>
      </w:tr>
      <w:tr>
        <w:trPr>
          <w:trHeight w:val="89"/>
        </w:trPr>
        <w:tc>
          <w:tcPr>
            <w:tcW w:w="218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Foreign currency translation</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9"/>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b w:val="1"/>
                <w:bCs w:val="1"/>
                <w:color w:val="auto"/>
              </w:rPr>
              <w:t>(loss)</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7"/>
                <w:szCs w:val="7"/>
                <w:b w:val="1"/>
                <w:bCs w:val="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w:t>
            </w:r>
          </w:p>
        </w:tc>
        <w:tc>
          <w:tcPr>
            <w:tcW w:w="220" w:type="dxa"/>
            <w:vAlign w:val="bottom"/>
          </w:tcPr>
          <w:p>
            <w:pPr>
              <w:spacing w:after="0"/>
              <w:rPr>
                <w:sz w:val="7"/>
                <w:szCs w:val="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b w:val="1"/>
                <w:bCs w:val="1"/>
                <w:color w:val="auto"/>
              </w:rPr>
              <w:t>(69,565 )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b w:val="1"/>
                <w:bCs w:val="1"/>
                <w:color w:val="auto"/>
              </w:rPr>
              <w:t>(69,565 )</w:t>
            </w:r>
          </w:p>
        </w:tc>
      </w:tr>
      <w:tr>
        <w:trPr>
          <w:trHeight w:val="99"/>
        </w:trPr>
        <w:tc>
          <w:tcPr>
            <w:tcW w:w="2180" w:type="dxa"/>
            <w:vAlign w:val="bottom"/>
            <w:shd w:val="clear" w:color="auto" w:fill="CFF0FC"/>
          </w:tcPr>
          <w:p>
            <w:pPr>
              <w:spacing w:after="0" w:line="79" w:lineRule="exact"/>
              <w:rPr>
                <w:sz w:val="20"/>
                <w:szCs w:val="20"/>
                <w:color w:val="auto"/>
              </w:rPr>
            </w:pPr>
            <w:r>
              <w:rPr>
                <w:rFonts w:ascii="Times New Roman" w:cs="Times New Roman" w:eastAsia="Times New Roman" w:hAnsi="Times New Roman"/>
                <w:sz w:val="7"/>
                <w:szCs w:val="7"/>
                <w:b w:val="1"/>
                <w:bCs w:val="1"/>
                <w:color w:val="auto"/>
              </w:rPr>
              <w:t>Balance as at December 31, 2023</w:t>
            </w:r>
          </w:p>
        </w:tc>
        <w:tc>
          <w:tcPr>
            <w:tcW w:w="76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7"/>
                <w:szCs w:val="7"/>
                <w:b w:val="1"/>
                <w:bCs w:val="1"/>
                <w:color w:val="auto"/>
              </w:rPr>
              <w:t>932,969,424</w:t>
            </w: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7"/>
                <w:szCs w:val="7"/>
                <w:b w:val="1"/>
                <w:bCs w:val="1"/>
                <w:color w:val="auto"/>
              </w:rPr>
              <w:t>127,310</w:t>
            </w: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7"/>
                <w:szCs w:val="7"/>
                <w:b w:val="1"/>
                <w:bCs w:val="1"/>
                <w:color w:val="auto"/>
              </w:rPr>
              <w:t>3,868</w:t>
            </w:r>
          </w:p>
        </w:tc>
        <w:tc>
          <w:tcPr>
            <w:tcW w:w="22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7"/>
                <w:szCs w:val="7"/>
                <w:b w:val="1"/>
                <w:bCs w:val="1"/>
                <w:color w:val="auto"/>
              </w:rPr>
              <w:t>172,204,832</w:t>
            </w:r>
          </w:p>
        </w:tc>
        <w:tc>
          <w:tcPr>
            <w:tcW w:w="2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200"/>
              <w:spacing w:after="0" w:line="79" w:lineRule="exact"/>
              <w:rPr>
                <w:sz w:val="20"/>
                <w:szCs w:val="20"/>
                <w:color w:val="auto"/>
              </w:rPr>
            </w:pPr>
            <w:r>
              <w:rPr>
                <w:rFonts w:ascii="Times New Roman" w:cs="Times New Roman" w:eastAsia="Times New Roman" w:hAnsi="Times New Roman"/>
                <w:sz w:val="5"/>
                <w:szCs w:val="5"/>
                <w:b w:val="1"/>
                <w:bCs w:val="1"/>
                <w:color w:val="auto"/>
              </w:rPr>
              <w:t xml:space="preserve">(226,291,430 </w:t>
            </w:r>
            <w:r>
              <w:rPr>
                <w:rFonts w:ascii="Times New Roman" w:cs="Times New Roman" w:eastAsia="Times New Roman" w:hAnsi="Times New Roman"/>
                <w:sz w:val="9"/>
                <w:szCs w:val="9"/>
                <w:b w:val="1"/>
                <w:bCs w:val="1"/>
                <w:color w:val="auto"/>
                <w:vertAlign w:val="subscript"/>
              </w:rPr>
              <w:t>)</w:t>
            </w:r>
          </w:p>
        </w:tc>
        <w:tc>
          <w:tcPr>
            <w:tcW w:w="940" w:type="dxa"/>
            <w:vAlign w:val="bottom"/>
            <w:gridSpan w:val="2"/>
            <w:shd w:val="clear" w:color="auto" w:fill="CFF0FC"/>
          </w:tcPr>
          <w:p>
            <w:pPr>
              <w:jc w:val="right"/>
              <w:ind w:right="180"/>
              <w:spacing w:after="0" w:line="79" w:lineRule="exact"/>
              <w:rPr>
                <w:sz w:val="20"/>
                <w:szCs w:val="20"/>
                <w:color w:val="auto"/>
              </w:rPr>
            </w:pPr>
            <w:r>
              <w:rPr>
                <w:rFonts w:ascii="Times New Roman" w:cs="Times New Roman" w:eastAsia="Times New Roman" w:hAnsi="Times New Roman"/>
                <w:sz w:val="5"/>
                <w:szCs w:val="5"/>
                <w:b w:val="1"/>
                <w:bCs w:val="1"/>
                <w:color w:val="auto"/>
              </w:rPr>
              <w:t xml:space="preserve">(178,720 </w:t>
            </w:r>
            <w:r>
              <w:rPr>
                <w:rFonts w:ascii="Times New Roman" w:cs="Times New Roman" w:eastAsia="Times New Roman" w:hAnsi="Times New Roman"/>
                <w:sz w:val="9"/>
                <w:szCs w:val="9"/>
                <w:b w:val="1"/>
                <w:bCs w:val="1"/>
                <w:color w:val="auto"/>
                <w:vertAlign w:val="subscript"/>
              </w:rPr>
              <w:t>)</w:t>
            </w:r>
          </w:p>
        </w:tc>
        <w:tc>
          <w:tcPr>
            <w:tcW w:w="1100" w:type="dxa"/>
            <w:vAlign w:val="bottom"/>
            <w:gridSpan w:val="2"/>
            <w:shd w:val="clear" w:color="auto" w:fill="CFF0FC"/>
          </w:tcPr>
          <w:p>
            <w:pPr>
              <w:jc w:val="right"/>
              <w:ind w:right="180"/>
              <w:spacing w:after="0" w:line="79" w:lineRule="exact"/>
              <w:rPr>
                <w:sz w:val="20"/>
                <w:szCs w:val="20"/>
                <w:color w:val="auto"/>
              </w:rPr>
            </w:pPr>
            <w:r>
              <w:rPr>
                <w:rFonts w:ascii="Times New Roman" w:cs="Times New Roman" w:eastAsia="Times New Roman" w:hAnsi="Times New Roman"/>
                <w:sz w:val="5"/>
                <w:szCs w:val="5"/>
                <w:b w:val="1"/>
                <w:bCs w:val="1"/>
                <w:color w:val="auto"/>
              </w:rPr>
              <w:t xml:space="preserve">(150,744 </w:t>
            </w:r>
            <w:r>
              <w:rPr>
                <w:rFonts w:ascii="Times New Roman" w:cs="Times New Roman" w:eastAsia="Times New Roman" w:hAnsi="Times New Roman"/>
                <w:sz w:val="9"/>
                <w:szCs w:val="9"/>
                <w:b w:val="1"/>
                <w:bCs w:val="1"/>
                <w:color w:val="auto"/>
                <w:vertAlign w:val="subscript"/>
              </w:rPr>
              <w:t>)</w:t>
            </w:r>
          </w:p>
        </w:tc>
        <w:tc>
          <w:tcPr>
            <w:tcW w:w="1020" w:type="dxa"/>
            <w:vAlign w:val="bottom"/>
            <w:gridSpan w:val="2"/>
            <w:shd w:val="clear" w:color="auto" w:fill="CFF0FC"/>
          </w:tcPr>
          <w:p>
            <w:pPr>
              <w:jc w:val="right"/>
              <w:ind w:right="80"/>
              <w:spacing w:after="0" w:line="79" w:lineRule="exact"/>
              <w:rPr>
                <w:sz w:val="20"/>
                <w:szCs w:val="20"/>
                <w:color w:val="auto"/>
              </w:rPr>
            </w:pPr>
            <w:r>
              <w:rPr>
                <w:rFonts w:ascii="Times New Roman" w:cs="Times New Roman" w:eastAsia="Times New Roman" w:hAnsi="Times New Roman"/>
                <w:sz w:val="5"/>
                <w:szCs w:val="5"/>
                <w:b w:val="1"/>
                <w:bCs w:val="1"/>
                <w:color w:val="auto"/>
              </w:rPr>
              <w:t xml:space="preserve">(54,284,884 </w:t>
            </w:r>
            <w:r>
              <w:rPr>
                <w:rFonts w:ascii="Times New Roman" w:cs="Times New Roman" w:eastAsia="Times New Roman" w:hAnsi="Times New Roman"/>
                <w:sz w:val="9"/>
                <w:szCs w:val="9"/>
                <w:b w:val="1"/>
                <w:bCs w:val="1"/>
                <w:color w:val="auto"/>
                <w:vertAlign w:val="subscript"/>
              </w:rPr>
              <w:t>)</w:t>
            </w:r>
          </w:p>
        </w:tc>
      </w:tr>
      <w:tr>
        <w:trPr>
          <w:trHeight w:val="23"/>
        </w:trPr>
        <w:tc>
          <w:tcPr>
            <w:tcW w:w="21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Cash Flows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77"/>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108"/>
        </w:trPr>
        <w:tc>
          <w:tcPr>
            <w:tcW w:w="5180" w:type="dxa"/>
            <w:vAlign w:val="bottom"/>
          </w:tcPr>
          <w:p>
            <w:pPr>
              <w:spacing w:after="0"/>
              <w:rPr>
                <w:sz w:val="9"/>
                <w:szCs w:val="9"/>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15"/>
        </w:trPr>
        <w:tc>
          <w:tcPr>
            <w:tcW w:w="5180" w:type="dxa"/>
            <w:vAlign w:val="bottom"/>
          </w:tcPr>
          <w:p>
            <w:pPr>
              <w:spacing w:after="0"/>
              <w:rPr>
                <w:sz w:val="10"/>
                <w:szCs w:val="10"/>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3100" w:type="dxa"/>
            <w:vAlign w:val="bottom"/>
          </w:tcPr>
          <w:p>
            <w:pPr>
              <w:jc w:val="right"/>
              <w:ind w:right="897"/>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95"/>
              </w:rPr>
              <w:t>(30,736,098 )</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(110,712,948 )</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 operating activities:</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242,436</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244,208</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Unrealized foreign exchange (gain)/loss</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375,298</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(277,838 )</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Share based compensation issued to related parties for consultancy services</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3,646,017</w:t>
            </w:r>
          </w:p>
        </w:tc>
        <w:tc>
          <w:tcPr>
            <w:tcW w:w="38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39,501,701</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18,417,816</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Employee share based compensation</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5,079,201</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2,115,015</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46,236</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731,940</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Impairment of accounts receivable</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334,952</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Impairment of loans receivable</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1,156,316</w:t>
            </w:r>
          </w:p>
        </w:tc>
        <w:tc>
          <w:tcPr>
            <w:tcW w:w="38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Impairment of goodwill</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44,438</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Impairment of investment in ANY</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14,600,000</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4,791,782</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3,884,695</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3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Decrease/(increase) in accounts receivable</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(3,679 )</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712,554</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3100" w:type="dxa"/>
            <w:vAlign w:val="bottom"/>
          </w:tcPr>
          <w:p>
            <w:pPr>
              <w:spacing w:after="0"/>
              <w:rPr>
                <w:sz w:val="11"/>
                <w:szCs w:val="1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(416,069 )</w:t>
            </w:r>
          </w:p>
        </w:tc>
        <w:tc>
          <w:tcPr>
            <w:tcW w:w="380" w:type="dxa"/>
            <w:vAlign w:val="bottom"/>
          </w:tcPr>
          <w:p>
            <w:pPr>
              <w:spacing w:after="0"/>
              <w:rPr>
                <w:sz w:val="11"/>
                <w:szCs w:val="1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(56,523 )</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(Decrease) in operating lease liability</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(46,236 )</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168,754</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Increase in accounts payable, accrued expenses and other payables</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2,310,465</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3,340,539</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552,456</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161,791</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95"/>
              </w:rPr>
              <w:t>(13,001,875 )</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(26,788,906 )</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3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Purchase of property and equipment</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(36,854 )</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Development of intangible assets</w:t>
            </w:r>
          </w:p>
        </w:tc>
        <w:tc>
          <w:tcPr>
            <w:tcW w:w="3100" w:type="dxa"/>
            <w:vAlign w:val="bottom"/>
          </w:tcPr>
          <w:p>
            <w:pPr>
              <w:spacing w:after="0"/>
              <w:rPr>
                <w:sz w:val="11"/>
                <w:szCs w:val="1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(36,854 )</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3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from rights issuance</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7,767,674</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issuance of ordinary shares</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2,499,920</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199,974</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Repayment of short-term debt obligation from related parties</w:t>
            </w:r>
          </w:p>
        </w:tc>
        <w:tc>
          <w:tcPr>
            <w:tcW w:w="3100" w:type="dxa"/>
            <w:vAlign w:val="bottom"/>
          </w:tcPr>
          <w:p>
            <w:pPr>
              <w:spacing w:after="0"/>
              <w:rPr>
                <w:sz w:val="11"/>
                <w:szCs w:val="1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(250,000 )</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4,369,413</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long-term debt obligation</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2,625,000</w:t>
            </w:r>
          </w:p>
        </w:tc>
        <w:tc>
          <w:tcPr>
            <w:tcW w:w="38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21,500,000</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14,712,061</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23,999,920</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42,399</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177,287</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change in cash</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(28,939 )</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(2,648,553 )</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39,380</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2,687,933</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10,441</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39,380</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Supplemental disclosures</w:t>
            </w:r>
          </w:p>
        </w:tc>
        <w:tc>
          <w:tcPr>
            <w:tcW w:w="3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115,190</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Cash paid for interest</w:t>
            </w:r>
          </w:p>
        </w:tc>
        <w:tc>
          <w:tcPr>
            <w:tcW w:w="310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Cash paid for taxes</w:t>
            </w:r>
          </w:p>
        </w:tc>
        <w:tc>
          <w:tcPr>
            <w:tcW w:w="3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5"/>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310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4,040,989</w:t>
            </w:r>
          </w:p>
        </w:tc>
        <w:tc>
          <w:tcPr>
            <w:tcW w:w="380" w:type="dxa"/>
            <w:vAlign w:val="bottom"/>
          </w:tcPr>
          <w:p>
            <w:pPr>
              <w:spacing w:after="0"/>
              <w:rPr>
                <w:sz w:val="10"/>
                <w:szCs w:val="10"/>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26" w:lineRule="exact"/>
        <w:rPr>
          <w:sz w:val="20"/>
          <w:szCs w:val="20"/>
          <w:color w:val="auto"/>
        </w:rPr>
      </w:pPr>
    </w:p>
    <w:p>
      <w:pPr>
        <w:ind w:right="280" w:firstLine="480"/>
        <w:spacing w:after="0" w:line="221"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13"/>
          <w:szCs w:val="13"/>
          <w:color w:val="auto"/>
          <w:vertAlign w:val="superscript"/>
        </w:rPr>
        <w:t>rd</w:t>
      </w:r>
      <w:r>
        <w:rPr>
          <w:rFonts w:ascii="Times New Roman" w:cs="Times New Roman" w:eastAsia="Times New Roman" w:hAnsi="Times New Roman"/>
          <w:sz w:val="10"/>
          <w:szCs w:val="10"/>
          <w:color w:val="auto"/>
        </w:rPr>
        <w:t xml:space="preserve"> Floor, 80 New Bond Street, London, United Kingdom, W1S 1SB.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2.Basis of presentation and summary of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presentation</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Carve -out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1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Consolidated Statement of Operations in accordance with </w:t>
      </w:r>
      <w:r>
        <w:rPr>
          <w:rFonts w:ascii="Times New Roman" w:cs="Times New Roman" w:eastAsia="Times New Roman" w:hAnsi="Times New Roman"/>
          <w:sz w:val="10"/>
          <w:szCs w:val="10"/>
          <w:i w:val="1"/>
          <w:iCs w:val="1"/>
          <w:color w:val="auto"/>
        </w:rPr>
        <w:t>Staff Accounting Bulletin Topic 1-B1, Costs Reflected in Historical Financial Statements</w:t>
      </w:r>
      <w:r>
        <w:rPr>
          <w:rFonts w:ascii="Times New Roman" w:cs="Times New Roman" w:eastAsia="Times New Roman" w:hAnsi="Times New Roman"/>
          <w:sz w:val="10"/>
          <w:szCs w:val="10"/>
          <w:color w:val="auto"/>
        </w:rPr>
        <w:t xml:space="preserve"> (“SAB 1-B1”). Management asserts that this method used is reasonable.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list of subsidiaries and Rezolve Limited’s holding as of December 31, 2023 and 2022 is as follows:</w:t>
      </w:r>
    </w:p>
    <w:p>
      <w:pPr>
        <w:spacing w:after="0" w:line="161"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40" w:type="dxa"/>
            <w:vAlign w:val="bottom"/>
          </w:tcPr>
          <w:p>
            <w:pPr>
              <w:jc w:val="center"/>
              <w:ind w:left="33"/>
              <w:spacing w:after="0"/>
              <w:rPr>
                <w:sz w:val="20"/>
                <w:szCs w:val="20"/>
                <w:color w:val="auto"/>
              </w:rPr>
            </w:pPr>
            <w:r>
              <w:rPr>
                <w:rFonts w:ascii="Times New Roman" w:cs="Times New Roman" w:eastAsia="Times New Roman" w:hAnsi="Times New Roman"/>
                <w:sz w:val="8"/>
                <w:szCs w:val="8"/>
                <w:b w:val="1"/>
                <w:bCs w:val="1"/>
                <w:color w:val="auto"/>
              </w:rPr>
              <w:t>Country of</w:t>
            </w:r>
          </w:p>
        </w:tc>
        <w:tc>
          <w:tcPr>
            <w:tcW w:w="1420" w:type="dxa"/>
            <w:vAlign w:val="bottom"/>
          </w:tcPr>
          <w:p>
            <w:pPr>
              <w:jc w:val="right"/>
              <w:ind w:right="554"/>
              <w:spacing w:after="0"/>
              <w:rPr>
                <w:sz w:val="20"/>
                <w:szCs w:val="20"/>
                <w:color w:val="auto"/>
              </w:rPr>
            </w:pPr>
            <w:r>
              <w:rPr>
                <w:rFonts w:ascii="Times New Roman" w:cs="Times New Roman" w:eastAsia="Times New Roman" w:hAnsi="Times New Roman"/>
                <w:sz w:val="8"/>
                <w:szCs w:val="8"/>
                <w:b w:val="1"/>
                <w:bCs w:val="1"/>
                <w:color w:val="auto"/>
              </w:rPr>
              <w:t>Group</w:t>
            </w:r>
          </w:p>
        </w:tc>
      </w:tr>
      <w:tr>
        <w:trPr>
          <w:trHeight w:val="111"/>
        </w:trPr>
        <w:tc>
          <w:tcPr>
            <w:tcW w:w="326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280" w:type="dxa"/>
            <w:vAlign w:val="bottom"/>
          </w:tcPr>
          <w:p>
            <w:pPr>
              <w:jc w:val="center"/>
              <w:ind w:left="51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1540" w:type="dxa"/>
            <w:vAlign w:val="bottom"/>
          </w:tcPr>
          <w:p>
            <w:pPr>
              <w:jc w:val="center"/>
              <w:ind w:left="13"/>
              <w:spacing w:after="0"/>
              <w:rPr>
                <w:sz w:val="20"/>
                <w:szCs w:val="20"/>
                <w:color w:val="auto"/>
              </w:rPr>
            </w:pPr>
            <w:r>
              <w:rPr>
                <w:rFonts w:ascii="Times New Roman" w:cs="Times New Roman" w:eastAsia="Times New Roman" w:hAnsi="Times New Roman"/>
                <w:sz w:val="8"/>
                <w:szCs w:val="8"/>
                <w:b w:val="1"/>
                <w:bCs w:val="1"/>
                <w:color w:val="auto"/>
              </w:rPr>
              <w:t>incorporation</w:t>
            </w: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8"/>
                <w:szCs w:val="8"/>
                <w:b w:val="1"/>
                <w:bCs w:val="1"/>
                <w:color w:val="auto"/>
              </w:rPr>
              <w:t>shareholding (%)</w:t>
            </w:r>
          </w:p>
        </w:tc>
      </w:tr>
      <w:tr>
        <w:trPr>
          <w:trHeight w:val="1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Rezolve Mobile Commerce Inc.</w:t>
            </w:r>
          </w:p>
        </w:tc>
        <w:tc>
          <w:tcPr>
            <w:tcW w:w="2280" w:type="dxa"/>
            <w:vAlign w:val="bottom"/>
            <w:shd w:val="clear" w:color="auto" w:fill="CFF0FC"/>
          </w:tcPr>
          <w:p>
            <w:pPr>
              <w:spacing w:after="0"/>
              <w:rPr>
                <w:sz w:val="10"/>
                <w:szCs w:val="10"/>
                <w:color w:val="auto"/>
              </w:rPr>
            </w:pPr>
          </w:p>
        </w:tc>
        <w:tc>
          <w:tcPr>
            <w:tcW w:w="1540" w:type="dxa"/>
            <w:vAlign w:val="bottom"/>
            <w:shd w:val="clear" w:color="auto" w:fill="CFF0FC"/>
          </w:tcPr>
          <w:p>
            <w:pPr>
              <w:jc w:val="center"/>
              <w:ind w:left="33"/>
              <w:spacing w:after="0"/>
              <w:rPr>
                <w:sz w:val="20"/>
                <w:szCs w:val="20"/>
                <w:color w:val="auto"/>
              </w:rPr>
            </w:pPr>
            <w:r>
              <w:rPr>
                <w:rFonts w:ascii="Times New Roman" w:cs="Times New Roman" w:eastAsia="Times New Roman" w:hAnsi="Times New Roman"/>
                <w:sz w:val="10"/>
                <w:szCs w:val="10"/>
                <w:color w:val="auto"/>
                <w:w w:val="96"/>
              </w:rPr>
              <w:t>United States of</w:t>
            </w:r>
          </w:p>
        </w:tc>
        <w:tc>
          <w:tcPr>
            <w:tcW w:w="1420" w:type="dxa"/>
            <w:vAlign w:val="bottom"/>
            <w:shd w:val="clear" w:color="auto" w:fill="CFF0FC"/>
          </w:tcPr>
          <w:p>
            <w:pPr>
              <w:spacing w:after="0"/>
              <w:rPr>
                <w:sz w:val="10"/>
                <w:szCs w:val="10"/>
                <w:color w:val="auto"/>
              </w:rPr>
            </w:pPr>
          </w:p>
        </w:tc>
      </w:tr>
      <w:tr>
        <w:trPr>
          <w:trHeight w:val="127"/>
        </w:trPr>
        <w:tc>
          <w:tcPr>
            <w:tcW w:w="3260" w:type="dxa"/>
            <w:vAlign w:val="bottom"/>
            <w:shd w:val="clear" w:color="auto" w:fill="CFF0FC"/>
          </w:tcPr>
          <w:p>
            <w:pPr>
              <w:spacing w:after="0"/>
              <w:rPr>
                <w:sz w:val="11"/>
                <w:szCs w:val="11"/>
                <w:color w:val="auto"/>
              </w:rPr>
            </w:pPr>
          </w:p>
        </w:tc>
        <w:tc>
          <w:tcPr>
            <w:tcW w:w="2280" w:type="dxa"/>
            <w:vAlign w:val="bottom"/>
            <w:shd w:val="clear" w:color="auto" w:fill="CFF0FC"/>
          </w:tcPr>
          <w:p>
            <w:pPr>
              <w:jc w:val="center"/>
              <w:ind w:left="533"/>
              <w:spacing w:after="0"/>
              <w:rPr>
                <w:sz w:val="20"/>
                <w:szCs w:val="20"/>
                <w:color w:val="auto"/>
              </w:rPr>
            </w:pPr>
            <w:r>
              <w:rPr>
                <w:rFonts w:ascii="Times New Roman" w:cs="Times New Roman" w:eastAsia="Times New Roman" w:hAnsi="Times New Roman"/>
                <w:sz w:val="10"/>
                <w:szCs w:val="10"/>
                <w:color w:val="auto"/>
                <w:w w:val="98"/>
              </w:rPr>
              <w:t>April 20, 2016</w:t>
            </w:r>
          </w:p>
        </w:tc>
        <w:tc>
          <w:tcPr>
            <w:tcW w:w="1540" w:type="dxa"/>
            <w:vAlign w:val="bottom"/>
            <w:shd w:val="clear" w:color="auto" w:fill="CFF0FC"/>
          </w:tcPr>
          <w:p>
            <w:pPr>
              <w:jc w:val="center"/>
              <w:ind w:left="33"/>
              <w:spacing w:after="0"/>
              <w:rPr>
                <w:sz w:val="20"/>
                <w:szCs w:val="20"/>
                <w:color w:val="auto"/>
              </w:rPr>
            </w:pPr>
            <w:r>
              <w:rPr>
                <w:rFonts w:ascii="Times New Roman" w:cs="Times New Roman" w:eastAsia="Times New Roman" w:hAnsi="Times New Roman"/>
                <w:sz w:val="10"/>
                <w:szCs w:val="10"/>
                <w:color w:val="auto"/>
                <w:w w:val="98"/>
              </w:rPr>
              <w:t>America</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27"/>
        </w:trPr>
        <w:tc>
          <w:tcPr>
            <w:tcW w:w="3260" w:type="dxa"/>
            <w:vAlign w:val="bottom"/>
          </w:tcPr>
          <w:p>
            <w:pPr>
              <w:spacing w:after="0"/>
              <w:rPr>
                <w:sz w:val="20"/>
                <w:szCs w:val="20"/>
                <w:color w:val="auto"/>
              </w:rPr>
            </w:pPr>
            <w:r>
              <w:rPr>
                <w:rFonts w:ascii="Times New Roman" w:cs="Times New Roman" w:eastAsia="Times New Roman" w:hAnsi="Times New Roman"/>
                <w:sz w:val="10"/>
                <w:szCs w:val="10"/>
                <w:color w:val="auto"/>
              </w:rPr>
              <w:t>Rezolve Technology S.L.</w:t>
            </w:r>
          </w:p>
        </w:tc>
        <w:tc>
          <w:tcPr>
            <w:tcW w:w="2280" w:type="dxa"/>
            <w:vAlign w:val="bottom"/>
          </w:tcPr>
          <w:p>
            <w:pPr>
              <w:jc w:val="center"/>
              <w:ind w:left="533"/>
              <w:spacing w:after="0"/>
              <w:rPr>
                <w:sz w:val="20"/>
                <w:szCs w:val="20"/>
                <w:color w:val="auto"/>
              </w:rPr>
            </w:pPr>
            <w:r>
              <w:rPr>
                <w:rFonts w:ascii="Times New Roman" w:cs="Times New Roman" w:eastAsia="Times New Roman" w:hAnsi="Times New Roman"/>
                <w:sz w:val="10"/>
                <w:szCs w:val="10"/>
                <w:color w:val="auto"/>
                <w:w w:val="99"/>
              </w:rPr>
              <w:t>August 25, 2020</w:t>
            </w:r>
          </w:p>
        </w:tc>
        <w:tc>
          <w:tcPr>
            <w:tcW w:w="1540" w:type="dxa"/>
            <w:vAlign w:val="bottom"/>
          </w:tcPr>
          <w:p>
            <w:pPr>
              <w:jc w:val="center"/>
              <w:ind w:left="33"/>
              <w:spacing w:after="0"/>
              <w:rPr>
                <w:sz w:val="20"/>
                <w:szCs w:val="20"/>
                <w:color w:val="auto"/>
              </w:rPr>
            </w:pPr>
            <w:r>
              <w:rPr>
                <w:rFonts w:ascii="Times New Roman" w:cs="Times New Roman" w:eastAsia="Times New Roman" w:hAnsi="Times New Roman"/>
                <w:sz w:val="10"/>
                <w:szCs w:val="10"/>
                <w:color w:val="auto"/>
                <w:w w:val="96"/>
              </w:rPr>
              <w:t>Spain</w:t>
            </w: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28"/>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Rezolve Taiwan Limited</w:t>
            </w:r>
          </w:p>
        </w:tc>
        <w:tc>
          <w:tcPr>
            <w:tcW w:w="2280" w:type="dxa"/>
            <w:vAlign w:val="bottom"/>
            <w:shd w:val="clear" w:color="auto" w:fill="CFF0FC"/>
          </w:tcPr>
          <w:p>
            <w:pPr>
              <w:jc w:val="center"/>
              <w:ind w:left="533"/>
              <w:spacing w:after="0"/>
              <w:rPr>
                <w:sz w:val="20"/>
                <w:szCs w:val="20"/>
                <w:color w:val="auto"/>
              </w:rPr>
            </w:pPr>
            <w:r>
              <w:rPr>
                <w:rFonts w:ascii="Times New Roman" w:cs="Times New Roman" w:eastAsia="Times New Roman" w:hAnsi="Times New Roman"/>
                <w:sz w:val="10"/>
                <w:szCs w:val="10"/>
                <w:color w:val="auto"/>
                <w:w w:val="98"/>
              </w:rPr>
              <w:t>November 9, 2000</w:t>
            </w:r>
          </w:p>
        </w:tc>
        <w:tc>
          <w:tcPr>
            <w:tcW w:w="1540" w:type="dxa"/>
            <w:vAlign w:val="bottom"/>
            <w:shd w:val="clear" w:color="auto" w:fill="CFF0FC"/>
          </w:tcPr>
          <w:p>
            <w:pPr>
              <w:jc w:val="center"/>
              <w:ind w:left="33"/>
              <w:spacing w:after="0"/>
              <w:rPr>
                <w:sz w:val="20"/>
                <w:szCs w:val="20"/>
                <w:color w:val="auto"/>
              </w:rPr>
            </w:pPr>
            <w:r>
              <w:rPr>
                <w:rFonts w:ascii="Times New Roman" w:cs="Times New Roman" w:eastAsia="Times New Roman" w:hAnsi="Times New Roman"/>
                <w:sz w:val="10"/>
                <w:szCs w:val="10"/>
                <w:color w:val="auto"/>
                <w:w w:val="99"/>
              </w:rPr>
              <w:t>Taiwan</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26"/>
        </w:trPr>
        <w:tc>
          <w:tcPr>
            <w:tcW w:w="3260" w:type="dxa"/>
            <w:vAlign w:val="bottom"/>
          </w:tcPr>
          <w:p>
            <w:pPr>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280" w:type="dxa"/>
            <w:vAlign w:val="bottom"/>
          </w:tcPr>
          <w:p>
            <w:pPr>
              <w:jc w:val="center"/>
              <w:ind w:left="533"/>
              <w:spacing w:after="0"/>
              <w:rPr>
                <w:sz w:val="20"/>
                <w:szCs w:val="20"/>
                <w:color w:val="auto"/>
              </w:rPr>
            </w:pPr>
            <w:r>
              <w:rPr>
                <w:rFonts w:ascii="Times New Roman" w:cs="Times New Roman" w:eastAsia="Times New Roman" w:hAnsi="Times New Roman"/>
                <w:sz w:val="10"/>
                <w:szCs w:val="10"/>
                <w:color w:val="auto"/>
                <w:w w:val="97"/>
              </w:rPr>
              <w:t>March 19, 2021</w:t>
            </w:r>
          </w:p>
        </w:tc>
        <w:tc>
          <w:tcPr>
            <w:tcW w:w="1540" w:type="dxa"/>
            <w:vAlign w:val="bottom"/>
          </w:tcPr>
          <w:p>
            <w:pPr>
              <w:jc w:val="center"/>
              <w:ind w:left="13"/>
              <w:spacing w:after="0"/>
              <w:rPr>
                <w:sz w:val="20"/>
                <w:szCs w:val="20"/>
                <w:color w:val="auto"/>
              </w:rPr>
            </w:pPr>
            <w:r>
              <w:rPr>
                <w:rFonts w:ascii="Times New Roman" w:cs="Times New Roman" w:eastAsia="Times New Roman" w:hAnsi="Times New Roman"/>
                <w:sz w:val="10"/>
                <w:szCs w:val="10"/>
                <w:color w:val="auto"/>
                <w:w w:val="97"/>
              </w:rPr>
              <w:t>India</w:t>
            </w: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100 %</w:t>
            </w:r>
          </w:p>
        </w:tc>
      </w:tr>
    </w:tbl>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financial statements have been prepared using the United Stated Dollar ($) as its reporting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2.3.Emerging Growth Company</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2.4.Liquidity</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Pursuant to ASC 205-40, Presentation of Financial Statements—Going Concern (“ASC 205- 40”),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08"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ability to generate revenue from our technology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2.5.Use of estimates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 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2.6.Foreign currency translation and transactions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05" w:lineRule="exact"/>
        <w:rPr>
          <w:sz w:val="20"/>
          <w:szCs w:val="20"/>
          <w:color w:val="auto"/>
        </w:rPr>
      </w:pPr>
    </w:p>
    <w:p>
      <w:pPr>
        <w:ind w:right="200" w:firstLine="480"/>
        <w:spacing w:after="0" w:line="239" w:lineRule="auto"/>
        <w:rPr>
          <w:sz w:val="20"/>
          <w:szCs w:val="20"/>
          <w:color w:val="auto"/>
        </w:rPr>
      </w:pPr>
      <w:r>
        <w:rPr>
          <w:rFonts w:ascii="Times New Roman" w:cs="Times New Roman" w:eastAsia="Times New Roman" w:hAnsi="Times New Roman"/>
          <w:sz w:val="10"/>
          <w:szCs w:val="10"/>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Cash comprises cash on hand and in current accounts which are readily available. Our cash is held in creditworthy financial institutions and is insured up to GBP 85,000 in accordance with the regulations of the United Kingdom’s Financial Conduct Authority.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Company has not experienced any losses associated with cash held with financial institutions.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2.8.Accounts receivable, net</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Company has adopted ASC 326 “Financial Instruments—Credit Losses” as of January 31, 2023 (refer to note 3.) Account receivable consists primarily of amounts related to fees charged to customers. Credit is 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2.9.Property and equipment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Property and equipment are stated at cost of acquisition less accumulated depreciation and accumulated impairment provisions, however, there have been no indicators identified during the reporting periods.</w:t>
      </w:r>
    </w:p>
    <w:p>
      <w:pPr>
        <w:spacing w:after="0" w:line="11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Depreciation on property and equipment is charged to expense on a systematic basis over the useful life of assets as estimated by the management. Depreciation is computed using the straight-line method. The useful lives estimated by the management are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follows:</w:t>
      </w:r>
    </w:p>
    <w:p>
      <w:pPr>
        <w:spacing w:after="0" w:line="151" w:lineRule="exact"/>
        <w:rPr>
          <w:sz w:val="20"/>
          <w:szCs w:val="20"/>
          <w:color w:val="auto"/>
        </w:rPr>
      </w:pPr>
    </w:p>
    <w:tbl>
      <w:tblPr>
        <w:tblLayout w:type="fixed"/>
        <w:tblInd w:w="2120" w:type="dxa"/>
        <w:tblCellMar>
          <w:top w:w="0" w:type="dxa"/>
          <w:left w:w="0" w:type="dxa"/>
          <w:bottom w:w="0" w:type="dxa"/>
          <w:right w:w="0" w:type="dxa"/>
        </w:tblCellMar>
      </w:tblPr>
      <w:tr>
        <w:trPr>
          <w:trHeight w:val="111"/>
        </w:trPr>
        <w:tc>
          <w:tcPr>
            <w:tcW w:w="29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b w:val="1"/>
                <w:bCs w:val="1"/>
                <w:color w:val="auto"/>
              </w:rPr>
              <w:t>Useful life</w:t>
            </w:r>
          </w:p>
        </w:tc>
      </w:tr>
      <w:tr>
        <w:trPr>
          <w:trHeight w:val="1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Computers</w:t>
            </w:r>
          </w:p>
        </w:tc>
        <w:tc>
          <w:tcPr>
            <w:tcW w:w="346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8"/>
                <w:szCs w:val="8"/>
                <w:color w:val="auto"/>
              </w:rPr>
              <w:t>3 years</w:t>
            </w:r>
          </w:p>
        </w:tc>
      </w:tr>
      <w:tr>
        <w:trPr>
          <w:trHeight w:val="107"/>
        </w:trPr>
        <w:tc>
          <w:tcPr>
            <w:tcW w:w="2920" w:type="dxa"/>
            <w:vAlign w:val="bottom"/>
          </w:tcPr>
          <w:p>
            <w:pPr>
              <w:spacing w:after="0"/>
              <w:rPr>
                <w:sz w:val="20"/>
                <w:szCs w:val="20"/>
                <w:color w:val="auto"/>
              </w:rPr>
            </w:pPr>
            <w:r>
              <w:rPr>
                <w:rFonts w:ascii="Times New Roman" w:cs="Times New Roman" w:eastAsia="Times New Roman" w:hAnsi="Times New Roman"/>
                <w:sz w:val="8"/>
                <w:szCs w:val="8"/>
                <w:color w:val="auto"/>
              </w:rPr>
              <w:t>Office equipment</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color w:val="auto"/>
              </w:rPr>
              <w:t>3 years</w:t>
            </w:r>
          </w:p>
        </w:tc>
      </w:tr>
    </w:tbl>
    <w:p>
      <w:pPr>
        <w:spacing w:after="0" w:line="1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Repairs and maintenance of property and equipment are expensed as incurred; enhancements and improvements that extend the life of property and equipment are capitalized into their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2.10.Intangible assets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Intangible assets consist of computer software, customer lists and goodwill.</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Computer software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initial useful lives of computer software assets as estimated by management are summarized as follows:</w:t>
      </w:r>
    </w:p>
    <w:p>
      <w:pPr>
        <w:sectPr>
          <w:pgSz w:w="11900" w:h="16840" w:orient="portrait"/>
          <w:cols w:equalWidth="0" w:num="1">
            <w:col w:w="10620"/>
          </w:cols>
          <w:pgMar w:left="640" w:top="921" w:right="640" w:bottom="1440" w:gutter="0" w:footer="0" w:header="0"/>
        </w:sectPr>
      </w:pPr>
    </w:p>
    <w:p>
      <w:pPr>
        <w:spacing w:after="0" w:line="16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8"/>
          <w:szCs w:val="8"/>
          <w:b w:val="1"/>
          <w:bCs w:val="1"/>
          <w:color w:val="auto"/>
        </w:rPr>
        <w:t>Assets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b w:val="1"/>
          <w:bCs w:val="1"/>
          <w:color w:val="auto"/>
        </w:rPr>
        <w:t>Useful life</w:t>
      </w:r>
    </w:p>
    <w:p>
      <w:pPr>
        <w:spacing w:after="0" w:line="34"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8"/>
          <w:szCs w:val="8"/>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5 years</w:t>
      </w:r>
    </w:p>
    <w:p>
      <w:pPr>
        <w:spacing w:after="0" w:line="196"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9"/>
          <w:szCs w:val="9"/>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264160</wp:posOffset>
            </wp:positionV>
            <wp:extent cx="6778625" cy="34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Internal-use software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We capitalize internal and external costs directly associated with the development of internal-use software. Maintenance and training costs, as well as costs incurred during the preliminary stage of an internal-use software development project, are expensed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2.11.Impairment of assets</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108"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other indicators of impairment for any of the long-lived assets as of December 31, 2023 and December 31, 2022 and the years then 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2.12.Convertible Debt</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2.13.Deferred financing costs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2.14.Revenue recognition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Ticketing Commissions (Spain)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single source of revenue is for the commission from sales of football tickets for La Liga in Spain through our platform technology. La Liga pays a commission for each football ticket sold through our platform technology.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 is recognized in accordance with ASC 606 “Revenue from Contracts with Customers” at the point in time when a football ticket is sold on our platform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2.15.Cost of revenue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consists of expenses incurred directly in relation to the earning of revenues such as partner’s fees and inventory plus the impairment of current assets (see note 2.11).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2.16.Operating segments</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2.17.Research and development credits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2.18.Share-based compensation</w:t>
      </w:r>
    </w:p>
    <w:p>
      <w:pPr>
        <w:spacing w:after="0" w:line="6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2.19.Shareholders’ deficit and reserves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Authorized and Outstanding Shares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and 2022, there were 932,969,424 and 927,806,159 common shares, and 28,039,517 Series A shares outstanding, respectively.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61"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960" w:type="dxa"/>
            <w:vAlign w:val="bottom"/>
          </w:tcPr>
          <w:p>
            <w:pPr>
              <w:spacing w:after="0"/>
              <w:rPr>
                <w:sz w:val="8"/>
                <w:szCs w:val="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 Shares</w:t>
            </w: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Shares at</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Requiring Additional</w:t>
            </w: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8"/>
        </w:trPr>
        <w:tc>
          <w:tcPr>
            <w:tcW w:w="496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Par Value</w:t>
            </w:r>
          </w:p>
        </w:tc>
        <w:tc>
          <w:tcPr>
            <w:tcW w:w="160" w:type="dxa"/>
            <w:vAlign w:val="bottom"/>
          </w:tcPr>
          <w:p>
            <w:pPr>
              <w:spacing w:after="0"/>
              <w:rPr>
                <w:sz w:val="9"/>
                <w:szCs w:val="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Paid in Capital</w:t>
            </w: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15"/>
        </w:trPr>
        <w:tc>
          <w:tcPr>
            <w:tcW w:w="49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£0.0001</w:t>
            </w:r>
          </w:p>
        </w:tc>
        <w:tc>
          <w:tcPr>
            <w:tcW w:w="1200" w:type="dxa"/>
            <w:vAlign w:val="bottom"/>
            <w:gridSpan w:val="2"/>
          </w:tcPr>
          <w:p>
            <w:pPr>
              <w:jc w:val="center"/>
              <w:ind w:left="114"/>
              <w:spacing w:after="0"/>
              <w:rPr>
                <w:sz w:val="20"/>
                <w:szCs w:val="20"/>
                <w:color w:val="auto"/>
              </w:rPr>
            </w:pPr>
            <w:r>
              <w:rPr>
                <w:rFonts w:ascii="Times New Roman" w:cs="Times New Roman" w:eastAsia="Times New Roman" w:hAnsi="Times New Roman"/>
                <w:sz w:val="8"/>
                <w:szCs w:val="8"/>
                <w:b w:val="1"/>
                <w:bCs w:val="1"/>
                <w:color w:val="auto"/>
              </w:rPr>
              <w:t>£0.016</w:t>
            </w:r>
          </w:p>
        </w:tc>
        <w:tc>
          <w:tcPr>
            <w:tcW w:w="1200" w:type="dxa"/>
            <w:vAlign w:val="bottom"/>
            <w:gridSpan w:val="2"/>
          </w:tcPr>
          <w:p>
            <w:pPr>
              <w:jc w:val="right"/>
              <w:ind w:right="431"/>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r>
      <w:tr>
        <w:trPr>
          <w:trHeight w:val="131"/>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Balance as on January 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10,700,000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215,448</w:t>
            </w:r>
          </w:p>
        </w:tc>
        <w:tc>
          <w:tcPr>
            <w:tcW w:w="80" w:type="dxa"/>
            <w:vAlign w:val="bottom"/>
            <w:shd w:val="clear" w:color="auto" w:fill="CFF0FC"/>
          </w:tcPr>
          <w:p>
            <w:pPr>
              <w:spacing w:after="0"/>
              <w:rPr>
                <w:sz w:val="11"/>
                <w:szCs w:val="11"/>
                <w:color w:val="auto"/>
              </w:rPr>
            </w:pPr>
          </w:p>
        </w:tc>
      </w:tr>
      <w:tr>
        <w:trPr>
          <w:trHeight w:val="127"/>
        </w:trPr>
        <w:tc>
          <w:tcPr>
            <w:tcW w:w="4960" w:type="dxa"/>
            <w:vAlign w:val="bottom"/>
          </w:tcPr>
          <w:p>
            <w:pPr>
              <w:spacing w:after="0"/>
              <w:rPr>
                <w:sz w:val="20"/>
                <w:szCs w:val="20"/>
                <w:color w:val="auto"/>
              </w:rPr>
            </w:pPr>
            <w:r>
              <w:rPr>
                <w:rFonts w:ascii="Times New Roman" w:cs="Times New Roman" w:eastAsia="Times New Roman" w:hAnsi="Times New Roman"/>
                <w:sz w:val="10"/>
                <w:szCs w:val="10"/>
                <w:color w:val="auto"/>
              </w:rPr>
              <w:t>Issued during the year 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Forfeited during the year December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4960" w:type="dxa"/>
            <w:vAlign w:val="bottom"/>
          </w:tcPr>
          <w:p>
            <w:pPr>
              <w:spacing w:after="0"/>
              <w:rPr>
                <w:sz w:val="20"/>
                <w:szCs w:val="20"/>
                <w:color w:val="auto"/>
              </w:rPr>
            </w:pPr>
            <w:r>
              <w:rPr>
                <w:rFonts w:ascii="Times New Roman" w:cs="Times New Roman" w:eastAsia="Times New Roman" w:hAnsi="Times New Roman"/>
                <w:sz w:val="10"/>
                <w:szCs w:val="10"/>
                <w:color w:val="auto"/>
              </w:rPr>
              <w:t>As at 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10,700,000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215,448</w:t>
            </w:r>
          </w:p>
        </w:tc>
        <w:tc>
          <w:tcPr>
            <w:tcW w:w="80" w:type="dxa"/>
            <w:vAlign w:val="bottom"/>
          </w:tcPr>
          <w:p>
            <w:pPr>
              <w:spacing w:after="0"/>
              <w:rPr>
                <w:sz w:val="11"/>
                <w:szCs w:val="11"/>
                <w:color w:val="auto"/>
              </w:rPr>
            </w:pPr>
          </w:p>
        </w:tc>
      </w:tr>
      <w:tr>
        <w:trPr>
          <w:trHeight w:val="12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Issued during the year December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4960" w:type="dxa"/>
            <w:vAlign w:val="bottom"/>
          </w:tcPr>
          <w:p>
            <w:pPr>
              <w:spacing w:after="0"/>
              <w:rPr>
                <w:sz w:val="20"/>
                <w:szCs w:val="20"/>
                <w:color w:val="auto"/>
              </w:rPr>
            </w:pPr>
            <w:r>
              <w:rPr>
                <w:rFonts w:ascii="Times New Roman" w:cs="Times New Roman" w:eastAsia="Times New Roman" w:hAnsi="Times New Roman"/>
                <w:sz w:val="10"/>
                <w:szCs w:val="10"/>
                <w:color w:val="auto"/>
              </w:rPr>
              <w:t>Forfeited during the year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31"/>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As at December 31, 2023</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58,315,800</w:t>
            </w:r>
          </w:p>
        </w:tc>
        <w:tc>
          <w:tcPr>
            <w:tcW w:w="16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10,700,000</w:t>
            </w:r>
          </w:p>
        </w:tc>
        <w:tc>
          <w:tcPr>
            <w:tcW w:w="16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215,448</w:t>
            </w:r>
          </w:p>
        </w:tc>
        <w:tc>
          <w:tcPr>
            <w:tcW w:w="80" w:type="dxa"/>
            <w:vAlign w:val="bottom"/>
            <w:tcBorders>
              <w:bottom w:val="single" w:sz="8" w:color="CFF0FC"/>
            </w:tcBorders>
            <w:shd w:val="clear" w:color="auto" w:fill="CFF0FC"/>
          </w:tcPr>
          <w:p>
            <w:pPr>
              <w:spacing w:after="0"/>
              <w:rPr>
                <w:sz w:val="11"/>
                <w:szCs w:val="11"/>
                <w:color w:val="auto"/>
              </w:rPr>
            </w:pPr>
          </w:p>
        </w:tc>
      </w:tr>
    </w:tbl>
    <w:p>
      <w:pPr>
        <w:spacing w:after="0" w:line="136"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2.20.Restatement of error in previously filed consolidated combined carve-out financial statements: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9"/>
          <w:szCs w:val="9"/>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12"/>
          <w:szCs w:val="12"/>
          <w:color w:val="auto"/>
          <w:vertAlign w:val="superscript"/>
        </w:rPr>
        <w:t>th</w:t>
      </w:r>
      <w:r>
        <w:rPr>
          <w:rFonts w:ascii="Times New Roman" w:cs="Times New Roman" w:eastAsia="Times New Roman" w:hAnsi="Times New Roman"/>
          <w:sz w:val="9"/>
          <w:szCs w:val="9"/>
          <w:color w:val="auto"/>
        </w:rPr>
        <w:t xml:space="preserve"> , 2022 at which point all of the outstanding shares of ANY were transferred from the Radio Group to the Company. On December 28, 2022 the legal ownership of ANY reverted back to the sellers of ANY, the consideration shares were reverted back</w:t>
      </w:r>
    </w:p>
    <w:p>
      <w:pPr>
        <w:spacing w:after="0" w:line="1" w:lineRule="exact"/>
        <w:rPr>
          <w:sz w:val="20"/>
          <w:szCs w:val="20"/>
          <w:color w:val="auto"/>
        </w:rPr>
      </w:pPr>
    </w:p>
    <w:p>
      <w:pPr>
        <w:ind w:right="200"/>
        <w:spacing w:after="0" w:line="216" w:lineRule="auto"/>
        <w:rPr>
          <w:sz w:val="20"/>
          <w:szCs w:val="20"/>
          <w:color w:val="auto"/>
        </w:rPr>
      </w:pPr>
      <w:r>
        <w:rPr>
          <w:rFonts w:ascii="Times New Roman" w:cs="Times New Roman" w:eastAsia="Times New Roman" w:hAnsi="Times New Roman"/>
          <w:sz w:val="10"/>
          <w:szCs w:val="10"/>
          <w:color w:val="auto"/>
        </w:rPr>
        <w:t>to Rezolve. On April 13</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investment in ANY of $14,600,000 plus loans to ANY of $222,022 was impaired as the Company abandoned its plans to complete the acquisition of ANY.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860" w:type="dxa"/>
            <w:vAlign w:val="bottom"/>
          </w:tcPr>
          <w:p>
            <w:pPr>
              <w:spacing w:after="0"/>
              <w:rPr>
                <w:sz w:val="8"/>
                <w:szCs w:val="8"/>
                <w:color w:val="auto"/>
              </w:rPr>
            </w:pPr>
          </w:p>
        </w:tc>
        <w:tc>
          <w:tcPr>
            <w:tcW w:w="1520" w:type="dxa"/>
            <w:vAlign w:val="bottom"/>
          </w:tcPr>
          <w:p>
            <w:pPr>
              <w:jc w:val="right"/>
              <w:ind w:right="51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1"/>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940" w:type="dxa"/>
            <w:vAlign w:val="bottom"/>
          </w:tcPr>
          <w:p>
            <w:pPr>
              <w:ind w:left="260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860" w:type="dxa"/>
            <w:vAlign w:val="bottom"/>
          </w:tcPr>
          <w:p>
            <w:pPr>
              <w:spacing w:after="0"/>
              <w:rPr>
                <w:sz w:val="9"/>
                <w:szCs w:val="9"/>
                <w:color w:val="auto"/>
              </w:rPr>
            </w:pPr>
          </w:p>
        </w:tc>
        <w:tc>
          <w:tcPr>
            <w:tcW w:w="152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2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8"/>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Cash</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41,709</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(2,329 )</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39,380</w:t>
            </w:r>
          </w:p>
        </w:tc>
      </w:tr>
      <w:tr>
        <w:trPr>
          <w:trHeight w:val="127"/>
        </w:trPr>
        <w:tc>
          <w:tcPr>
            <w:tcW w:w="3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Accounts receivable</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74,748</w:t>
            </w: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(65,893 )</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8,855</w:t>
            </w:r>
          </w:p>
        </w:tc>
      </w:tr>
      <w:tr>
        <w:trPr>
          <w:trHeight w:val="128"/>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Receivables from related party</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607,726</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(607,726 )</w:t>
            </w:r>
          </w:p>
        </w:tc>
        <w:tc>
          <w:tcPr>
            <w:tcW w:w="1520" w:type="dxa"/>
            <w:vAlign w:val="bottom"/>
            <w:shd w:val="clear" w:color="auto" w:fill="CFF0FC"/>
          </w:tcPr>
          <w:p>
            <w:pPr>
              <w:spacing w:after="0"/>
              <w:rPr>
                <w:sz w:val="11"/>
                <w:szCs w:val="11"/>
                <w:color w:val="auto"/>
              </w:rPr>
            </w:pPr>
          </w:p>
        </w:tc>
      </w:tr>
      <w:tr>
        <w:trPr>
          <w:trHeight w:val="127"/>
        </w:trPr>
        <w:tc>
          <w:tcPr>
            <w:tcW w:w="3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Prepayments and other current assets</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1,202,572</w:t>
            </w: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(163,312 )</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1,039,260</w:t>
            </w:r>
          </w:p>
        </w:tc>
      </w:tr>
      <w:tr>
        <w:trPr>
          <w:trHeight w:val="12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b w:val="1"/>
                <w:bCs w:val="1"/>
                <w:color w:val="auto"/>
              </w:rPr>
              <w:t>1,926,755</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(839,260 )</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1,087,495</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Non-current assets</w:t>
            </w:r>
          </w:p>
        </w:tc>
        <w:tc>
          <w:tcPr>
            <w:tcW w:w="2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8"/>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139,560</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(28,562 )</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110,998</w:t>
            </w:r>
          </w:p>
        </w:tc>
      </w:tr>
      <w:tr>
        <w:trPr>
          <w:trHeight w:val="127"/>
        </w:trPr>
        <w:tc>
          <w:tcPr>
            <w:tcW w:w="3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Goodwill</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1,061,763</w:t>
            </w: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(1,061,763 )</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Intangible assets</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6,237,443</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(5,786,997 )</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450,446</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b w:val="1"/>
                <w:bCs w:val="1"/>
                <w:color w:val="auto"/>
              </w:rPr>
              <w:t>7,738,766</w:t>
            </w: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(6,877,322 )</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561,444</w:t>
            </w:r>
          </w:p>
        </w:tc>
      </w:tr>
      <w:tr>
        <w:trPr>
          <w:trHeight w:val="12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b w:val="1"/>
                <w:bCs w:val="1"/>
                <w:color w:val="auto"/>
              </w:rPr>
              <w:t>9,365,521</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(7,716,582 )</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1,648,939</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2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r>
      <w:tr>
        <w:trPr>
          <w:trHeight w:val="127"/>
        </w:trPr>
        <w:tc>
          <w:tcPr>
            <w:tcW w:w="3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Short term debt to related party</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697,067</w:t>
            </w: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697,067</w:t>
            </w:r>
          </w:p>
        </w:tc>
      </w:tr>
      <w:tr>
        <w:trPr>
          <w:trHeight w:val="128"/>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Accounts payable</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4,262,476</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(533,502 )</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3,728,974</w:t>
            </w:r>
          </w:p>
        </w:tc>
      </w:tr>
      <w:tr>
        <w:trPr>
          <w:trHeight w:val="127"/>
        </w:trPr>
        <w:tc>
          <w:tcPr>
            <w:tcW w:w="3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Due to related party</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225,120</w:t>
            </w: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396,671</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621,791</w:t>
            </w:r>
          </w:p>
        </w:tc>
      </w:tr>
      <w:tr>
        <w:trPr>
          <w:trHeight w:val="128"/>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Accrued expenses and other payables</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3,488,909</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(848,525 )</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2,640,384</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b w:val="1"/>
                <w:bCs w:val="1"/>
                <w:color w:val="auto"/>
              </w:rPr>
              <w:t>8,673,572</w:t>
            </w: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(985,356 )</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(7,688,216 )</w:t>
            </w:r>
          </w:p>
        </w:tc>
      </w:tr>
      <w:tr>
        <w:trPr>
          <w:trHeight w:val="12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r>
      <w:tr>
        <w:trPr>
          <w:trHeight w:val="127"/>
        </w:trPr>
        <w:tc>
          <w:tcPr>
            <w:tcW w:w="3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Convertible debt</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25,302,709</w:t>
            </w: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25,302,709</w:t>
            </w:r>
          </w:p>
        </w:tc>
      </w:tr>
      <w:tr>
        <w:trPr>
          <w:trHeight w:val="128"/>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Share-based payment liability</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1,177,616</w:t>
            </w:r>
          </w:p>
        </w:tc>
        <w:tc>
          <w:tcPr>
            <w:tcW w:w="86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1,177,617</w:t>
            </w:r>
          </w:p>
        </w:tc>
      </w:tr>
      <w:tr>
        <w:trPr>
          <w:trHeight w:val="127"/>
        </w:trPr>
        <w:tc>
          <w:tcPr>
            <w:tcW w:w="3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Deferred tax liability</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1,526,622</w:t>
            </w: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(1,526,622 )</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b w:val="1"/>
                <w:bCs w:val="1"/>
                <w:color w:val="auto"/>
              </w:rPr>
              <w:t>28,006,947</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(1,526,622 )</w:t>
            </w:r>
          </w:p>
        </w:tc>
        <w:tc>
          <w:tcPr>
            <w:tcW w:w="15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26,480,326</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2940" w:type="dxa"/>
            <w:vAlign w:val="bottom"/>
          </w:tcPr>
          <w:p>
            <w:pPr>
              <w:spacing w:after="0"/>
              <w:rPr>
                <w:sz w:val="11"/>
                <w:szCs w:val="11"/>
                <w:color w:val="auto"/>
              </w:rPr>
            </w:pPr>
          </w:p>
        </w:tc>
        <w:tc>
          <w:tcPr>
            <w:tcW w:w="1860" w:type="dxa"/>
            <w:vAlign w:val="bottom"/>
          </w:tcPr>
          <w:p>
            <w:pPr>
              <w:jc w:val="right"/>
              <w:ind w:right="1192"/>
              <w:spacing w:after="0"/>
              <w:rPr>
                <w:sz w:val="20"/>
                <w:szCs w:val="20"/>
                <w:color w:val="auto"/>
              </w:rPr>
            </w:pPr>
            <w:r>
              <w:rPr>
                <w:rFonts w:ascii="Times New Roman" w:cs="Times New Roman" w:eastAsia="Times New Roman" w:hAnsi="Times New Roman"/>
                <w:sz w:val="10"/>
                <w:szCs w:val="10"/>
                <w:b w:val="1"/>
                <w:bCs w:val="1"/>
                <w:color w:val="auto"/>
              </w:rPr>
              <w:t>(36,680,519 )</w:t>
            </w: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(2,511,978 )</w:t>
            </w:r>
          </w:p>
        </w:tc>
        <w:tc>
          <w:tcPr>
            <w:tcW w:w="152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34,168,542</w:t>
            </w:r>
          </w:p>
        </w:tc>
      </w:tr>
      <w:tr>
        <w:trPr>
          <w:trHeight w:val="12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r>
      <w:tr>
        <w:trPr>
          <w:trHeight w:val="127"/>
        </w:trPr>
        <w:tc>
          <w:tcPr>
            <w:tcW w:w="3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Ordinary shares</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126,677</w:t>
            </w: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126,677</w:t>
            </w:r>
          </w:p>
        </w:tc>
      </w:tr>
      <w:tr>
        <w:trPr>
          <w:trHeight w:val="128"/>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Deferred shares</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1,993</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(1,993 )</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3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Series A shares</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3,868</w:t>
            </w: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3,868</w:t>
            </w:r>
          </w:p>
        </w:tc>
      </w:tr>
      <w:tr>
        <w:trPr>
          <w:trHeight w:val="128"/>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163,163,090</w:t>
            </w:r>
          </w:p>
        </w:tc>
        <w:tc>
          <w:tcPr>
            <w:tcW w:w="86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0"/>
                <w:szCs w:val="10"/>
                <w:color w:val="auto"/>
              </w:rPr>
              <w:t>1,993</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163,165,083</w:t>
            </w:r>
          </w:p>
        </w:tc>
      </w:tr>
      <w:tr>
        <w:trPr>
          <w:trHeight w:val="127"/>
        </w:trPr>
        <w:tc>
          <w:tcPr>
            <w:tcW w:w="34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Share subscription receivable</w:t>
            </w:r>
          </w:p>
        </w:tc>
        <w:tc>
          <w:tcPr>
            <w:tcW w:w="2940" w:type="dxa"/>
            <w:vAlign w:val="bottom"/>
          </w:tcPr>
          <w:p>
            <w:pPr>
              <w:spacing w:after="0"/>
              <w:rPr>
                <w:sz w:val="11"/>
                <w:szCs w:val="11"/>
                <w:color w:val="auto"/>
              </w:rPr>
            </w:pPr>
          </w:p>
        </w:tc>
        <w:tc>
          <w:tcPr>
            <w:tcW w:w="1860" w:type="dxa"/>
            <w:vAlign w:val="bottom"/>
          </w:tcPr>
          <w:p>
            <w:pPr>
              <w:jc w:val="right"/>
              <w:ind w:right="1192"/>
              <w:spacing w:after="0"/>
              <w:rPr>
                <w:sz w:val="20"/>
                <w:szCs w:val="20"/>
                <w:color w:val="auto"/>
              </w:rPr>
            </w:pPr>
            <w:r>
              <w:rPr>
                <w:rFonts w:ascii="Times New Roman" w:cs="Times New Roman" w:eastAsia="Times New Roman" w:hAnsi="Times New Roman"/>
                <w:sz w:val="10"/>
                <w:szCs w:val="10"/>
                <w:color w:val="auto"/>
              </w:rPr>
              <w:t>(178,720 )</w:t>
            </w: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(178,720 )</w:t>
            </w:r>
          </w:p>
        </w:tc>
      </w:tr>
      <w:tr>
        <w:trPr>
          <w:trHeight w:val="128"/>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Accumulated deficit</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192"/>
              <w:spacing w:after="0"/>
              <w:rPr>
                <w:sz w:val="20"/>
                <w:szCs w:val="20"/>
                <w:color w:val="auto"/>
              </w:rPr>
            </w:pPr>
            <w:r>
              <w:rPr>
                <w:rFonts w:ascii="Times New Roman" w:cs="Times New Roman" w:eastAsia="Times New Roman" w:hAnsi="Times New Roman"/>
                <w:sz w:val="10"/>
                <w:szCs w:val="10"/>
                <w:color w:val="auto"/>
              </w:rPr>
              <w:t>(189,171,542 )</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(6,383,790 )</w:t>
            </w:r>
          </w:p>
        </w:tc>
        <w:tc>
          <w:tcPr>
            <w:tcW w:w="15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(195,555,332 )</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2940" w:type="dxa"/>
            <w:vAlign w:val="bottom"/>
          </w:tcPr>
          <w:p>
            <w:pPr>
              <w:spacing w:after="0"/>
              <w:rPr>
                <w:sz w:val="11"/>
                <w:szCs w:val="11"/>
                <w:color w:val="auto"/>
              </w:rPr>
            </w:pPr>
          </w:p>
        </w:tc>
        <w:tc>
          <w:tcPr>
            <w:tcW w:w="1860" w:type="dxa"/>
            <w:vAlign w:val="bottom"/>
          </w:tcPr>
          <w:p>
            <w:pPr>
              <w:jc w:val="right"/>
              <w:ind w:right="1192"/>
              <w:spacing w:after="0"/>
              <w:rPr>
                <w:sz w:val="20"/>
                <w:szCs w:val="20"/>
                <w:color w:val="auto"/>
              </w:rPr>
            </w:pPr>
            <w:r>
              <w:rPr>
                <w:rFonts w:ascii="Times New Roman" w:cs="Times New Roman" w:eastAsia="Times New Roman" w:hAnsi="Times New Roman"/>
                <w:sz w:val="10"/>
                <w:szCs w:val="10"/>
                <w:color w:val="auto"/>
              </w:rPr>
              <w:t>(1,260,364 )</w:t>
            </w: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1,179,185</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(81,179 )</w:t>
            </w:r>
          </w:p>
        </w:tc>
      </w:tr>
      <w:tr>
        <w:trPr>
          <w:trHeight w:val="12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94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192"/>
              <w:spacing w:after="0"/>
              <w:rPr>
                <w:sz w:val="20"/>
                <w:szCs w:val="20"/>
                <w:color w:val="auto"/>
              </w:rPr>
            </w:pPr>
            <w:r>
              <w:rPr>
                <w:rFonts w:ascii="Times New Roman" w:cs="Times New Roman" w:eastAsia="Times New Roman" w:hAnsi="Times New Roman"/>
                <w:sz w:val="10"/>
                <w:szCs w:val="10"/>
                <w:b w:val="1"/>
                <w:bCs w:val="1"/>
                <w:color w:val="auto"/>
              </w:rPr>
              <w:t>(27,314,998 )</w:t>
            </w:r>
          </w:p>
        </w:tc>
        <w:tc>
          <w:tcPr>
            <w:tcW w:w="8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(5,204,605 )</w:t>
            </w:r>
          </w:p>
        </w:tc>
        <w:tc>
          <w:tcPr>
            <w:tcW w:w="15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(32,519,603 )</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b w:val="1"/>
                <w:bCs w:val="1"/>
                <w:color w:val="auto"/>
              </w:rPr>
              <w:t>9,365,521</w:t>
            </w: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(7,716,583 )</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1,648,939</w:t>
            </w:r>
          </w:p>
        </w:tc>
      </w:tr>
      <w:tr>
        <w:trPr>
          <w:trHeight w:val="291"/>
        </w:trPr>
        <w:tc>
          <w:tcPr>
            <w:tcW w:w="3440" w:type="dxa"/>
            <w:vAlign w:val="bottom"/>
          </w:tcPr>
          <w:p>
            <w:pPr>
              <w:spacing w:after="0"/>
              <w:rPr>
                <w:sz w:val="24"/>
                <w:szCs w:val="24"/>
                <w:color w:val="auto"/>
              </w:rPr>
            </w:pPr>
          </w:p>
        </w:tc>
        <w:tc>
          <w:tcPr>
            <w:tcW w:w="2940" w:type="dxa"/>
            <w:vAlign w:val="bottom"/>
          </w:tcPr>
          <w:p>
            <w:pPr>
              <w:ind w:left="1780"/>
              <w:spacing w:after="0"/>
              <w:rPr>
                <w:sz w:val="20"/>
                <w:szCs w:val="20"/>
                <w:color w:val="auto"/>
              </w:rPr>
            </w:pPr>
            <w:r>
              <w:rPr>
                <w:rFonts w:ascii="Times New Roman" w:cs="Times New Roman" w:eastAsia="Times New Roman" w:hAnsi="Times New Roman"/>
                <w:sz w:val="10"/>
                <w:szCs w:val="10"/>
                <w:color w:val="auto"/>
              </w:rPr>
              <w:t>F-40</w:t>
            </w: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294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108"/>
        </w:trPr>
        <w:tc>
          <w:tcPr>
            <w:tcW w:w="37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15"/>
        </w:trPr>
        <w:tc>
          <w:tcPr>
            <w:tcW w:w="37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740" w:type="dxa"/>
            <w:vAlign w:val="bottom"/>
          </w:tcPr>
          <w:p>
            <w:pPr>
              <w:spacing w:after="0"/>
              <w:rPr>
                <w:sz w:val="10"/>
                <w:szCs w:val="10"/>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268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11,879,343</w:t>
            </w: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w w:val="95"/>
              </w:rPr>
              <w:t>(11,764,184 )</w:t>
            </w:r>
          </w:p>
        </w:tc>
        <w:tc>
          <w:tcPr>
            <w:tcW w:w="38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115,159</w:t>
            </w:r>
          </w:p>
        </w:tc>
      </w:tr>
      <w:tr>
        <w:trPr>
          <w:trHeight w:val="127"/>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Operating expenses</w:t>
            </w:r>
          </w:p>
        </w:tc>
        <w:tc>
          <w:tcPr>
            <w:tcW w:w="2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8"/>
        </w:trPr>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Cost of revenue</w:t>
            </w:r>
          </w:p>
        </w:tc>
        <w:tc>
          <w:tcPr>
            <w:tcW w:w="26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5,604,129</w:t>
            </w: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(4,859,089 )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745,040</w:t>
            </w:r>
          </w:p>
        </w:tc>
      </w:tr>
      <w:tr>
        <w:trPr>
          <w:trHeight w:val="127"/>
        </w:trPr>
        <w:tc>
          <w:tcPr>
            <w:tcW w:w="37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2680" w:type="dxa"/>
            <w:vAlign w:val="bottom"/>
          </w:tcPr>
          <w:p>
            <w:pPr>
              <w:spacing w:after="0"/>
              <w:rPr>
                <w:sz w:val="11"/>
                <w:szCs w:val="11"/>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6,827,211</w:t>
            </w:r>
          </w:p>
        </w:tc>
        <w:tc>
          <w:tcPr>
            <w:tcW w:w="1120" w:type="dxa"/>
            <w:vAlign w:val="bottom"/>
          </w:tcPr>
          <w:p>
            <w:pPr>
              <w:spacing w:after="0"/>
              <w:rPr>
                <w:sz w:val="11"/>
                <w:szCs w:val="1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(2,488,654 )</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4,338,557</w:t>
            </w:r>
          </w:p>
        </w:tc>
      </w:tr>
      <w:tr>
        <w:trPr>
          <w:trHeight w:val="128"/>
        </w:trPr>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26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91,604,396</w:t>
            </w: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(4,963,896 )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86,640,500</w:t>
            </w:r>
          </w:p>
        </w:tc>
      </w:tr>
      <w:tr>
        <w:trPr>
          <w:trHeight w:val="127"/>
        </w:trPr>
        <w:tc>
          <w:tcPr>
            <w:tcW w:w="37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Other operating expenses</w:t>
            </w:r>
          </w:p>
        </w:tc>
        <w:tc>
          <w:tcPr>
            <w:tcW w:w="2680" w:type="dxa"/>
            <w:vAlign w:val="bottom"/>
          </w:tcPr>
          <w:p>
            <w:pPr>
              <w:spacing w:after="0"/>
              <w:rPr>
                <w:sz w:val="11"/>
                <w:szCs w:val="11"/>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334,952</w:t>
            </w:r>
          </w:p>
        </w:tc>
        <w:tc>
          <w:tcPr>
            <w:tcW w:w="1120" w:type="dxa"/>
            <w:vAlign w:val="bottom"/>
          </w:tcPr>
          <w:p>
            <w:pPr>
              <w:spacing w:after="0"/>
              <w:rPr>
                <w:sz w:val="11"/>
                <w:szCs w:val="11"/>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334,952</w:t>
            </w:r>
          </w:p>
        </w:tc>
      </w:tr>
      <w:tr>
        <w:trPr>
          <w:trHeight w:val="128"/>
        </w:trPr>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Depreciation and amortization expenses</w:t>
            </w:r>
          </w:p>
        </w:tc>
        <w:tc>
          <w:tcPr>
            <w:tcW w:w="26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742,113</w:t>
            </w: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(506,316 )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235,797</w:t>
            </w:r>
          </w:p>
        </w:tc>
      </w:tr>
      <w:tr>
        <w:trPr>
          <w:trHeight w:val="127"/>
        </w:trPr>
        <w:tc>
          <w:tcPr>
            <w:tcW w:w="37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Impairment of investment in ANY</w:t>
            </w:r>
          </w:p>
        </w:tc>
        <w:tc>
          <w:tcPr>
            <w:tcW w:w="2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14,822,022</w:t>
            </w:r>
          </w:p>
        </w:tc>
        <w:tc>
          <w:tcPr>
            <w:tcW w:w="38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14,822,022</w:t>
            </w:r>
          </w:p>
        </w:tc>
      </w:tr>
      <w:tr>
        <w:trPr>
          <w:trHeight w:val="128"/>
        </w:trPr>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Impairment of goodwill</w:t>
            </w:r>
          </w:p>
        </w:tc>
        <w:tc>
          <w:tcPr>
            <w:tcW w:w="26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7,418,302</w:t>
            </w: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(7,373,864 )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44,438</w:t>
            </w:r>
          </w:p>
        </w:tc>
      </w:tr>
      <w:tr>
        <w:trPr>
          <w:trHeight w:val="127"/>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680" w:type="dxa"/>
            <w:vAlign w:val="bottom"/>
          </w:tcPr>
          <w:p>
            <w:pPr>
              <w:spacing w:after="0"/>
              <w:rPr>
                <w:sz w:val="11"/>
                <w:szCs w:val="11"/>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112,531,103</w:t>
            </w:r>
          </w:p>
        </w:tc>
        <w:tc>
          <w:tcPr>
            <w:tcW w:w="1120" w:type="dxa"/>
            <w:vAlign w:val="bottom"/>
          </w:tcPr>
          <w:p>
            <w:pPr>
              <w:spacing w:after="0"/>
              <w:rPr>
                <w:sz w:val="11"/>
                <w:szCs w:val="1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(5,369,797 )</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107,161,306</w:t>
            </w:r>
          </w:p>
        </w:tc>
      </w:tr>
      <w:tr>
        <w:trPr>
          <w:trHeight w:val="128"/>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Operating loss</w:t>
            </w:r>
          </w:p>
        </w:tc>
        <w:tc>
          <w:tcPr>
            <w:tcW w:w="26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(100,651,760 )</w:t>
            </w: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(6,394,387 )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(107,046,147 )</w:t>
            </w:r>
          </w:p>
        </w:tc>
      </w:tr>
      <w:tr>
        <w:trPr>
          <w:trHeight w:val="127"/>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Other expenses</w:t>
            </w:r>
          </w:p>
        </w:tc>
        <w:tc>
          <w:tcPr>
            <w:tcW w:w="2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8"/>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26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(3,884,698 )</w:t>
            </w: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(3,884,695 )</w:t>
            </w:r>
          </w:p>
        </w:tc>
      </w:tr>
      <w:tr>
        <w:trPr>
          <w:trHeight w:val="127"/>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2680" w:type="dxa"/>
            <w:vAlign w:val="bottom"/>
          </w:tcPr>
          <w:p>
            <w:pPr>
              <w:spacing w:after="0"/>
              <w:rPr>
                <w:sz w:val="11"/>
                <w:szCs w:val="11"/>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315,574</w:t>
            </w:r>
          </w:p>
        </w:tc>
        <w:tc>
          <w:tcPr>
            <w:tcW w:w="1120" w:type="dxa"/>
            <w:vAlign w:val="bottom"/>
          </w:tcPr>
          <w:p>
            <w:pPr>
              <w:spacing w:after="0"/>
              <w:rPr>
                <w:sz w:val="11"/>
                <w:szCs w:val="1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(58,915 )</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256,659</w:t>
            </w:r>
          </w:p>
        </w:tc>
      </w:tr>
      <w:tr>
        <w:trPr>
          <w:trHeight w:val="128"/>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6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(3,569,124 )</w:t>
            </w: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(58,912 )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(3,628,036 )</w:t>
            </w:r>
          </w:p>
        </w:tc>
      </w:tr>
      <w:tr>
        <w:trPr>
          <w:trHeight w:val="127"/>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Loss before taxes</w:t>
            </w:r>
          </w:p>
        </w:tc>
        <w:tc>
          <w:tcPr>
            <w:tcW w:w="2680" w:type="dxa"/>
            <w:vAlign w:val="bottom"/>
          </w:tcPr>
          <w:p>
            <w:pPr>
              <w:spacing w:after="0"/>
              <w:rPr>
                <w:sz w:val="11"/>
                <w:szCs w:val="11"/>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(104,220,884 )</w:t>
            </w:r>
          </w:p>
        </w:tc>
        <w:tc>
          <w:tcPr>
            <w:tcW w:w="1120" w:type="dxa"/>
            <w:vAlign w:val="bottom"/>
          </w:tcPr>
          <w:p>
            <w:pPr>
              <w:spacing w:after="0"/>
              <w:rPr>
                <w:sz w:val="11"/>
                <w:szCs w:val="1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95"/>
              </w:rPr>
              <w:t>(31,521,733 )</w:t>
            </w:r>
          </w:p>
        </w:tc>
        <w:tc>
          <w:tcPr>
            <w:tcW w:w="380" w:type="dxa"/>
            <w:vAlign w:val="bottom"/>
          </w:tcPr>
          <w:p>
            <w:pPr>
              <w:spacing w:after="0"/>
              <w:rPr>
                <w:sz w:val="11"/>
                <w:szCs w:val="1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(110,674,183 )</w:t>
            </w:r>
          </w:p>
        </w:tc>
      </w:tr>
      <w:tr>
        <w:trPr>
          <w:trHeight w:val="128"/>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26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115,447</w:t>
            </w:r>
          </w:p>
        </w:tc>
        <w:tc>
          <w:tcPr>
            <w:tcW w:w="1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(63,408 )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(38,765 )</w:t>
            </w:r>
          </w:p>
        </w:tc>
      </w:tr>
      <w:tr>
        <w:trPr>
          <w:trHeight w:val="127"/>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loss for the year</w:t>
            </w:r>
          </w:p>
        </w:tc>
        <w:tc>
          <w:tcPr>
            <w:tcW w:w="2680" w:type="dxa"/>
            <w:vAlign w:val="bottom"/>
          </w:tcPr>
          <w:p>
            <w:pPr>
              <w:spacing w:after="0"/>
              <w:rPr>
                <w:sz w:val="11"/>
                <w:szCs w:val="11"/>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(104,105,437 )</w:t>
            </w:r>
          </w:p>
        </w:tc>
        <w:tc>
          <w:tcPr>
            <w:tcW w:w="1120" w:type="dxa"/>
            <w:vAlign w:val="bottom"/>
          </w:tcPr>
          <w:p>
            <w:pPr>
              <w:spacing w:after="0"/>
              <w:rPr>
                <w:sz w:val="11"/>
                <w:szCs w:val="1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95"/>
              </w:rPr>
              <w:t>(31,585,141 )</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(110,712,948 )</w:t>
            </w:r>
          </w:p>
        </w:tc>
      </w:tr>
      <w:tr>
        <w:trPr>
          <w:trHeight w:val="128"/>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68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(0.11 )</w:t>
            </w:r>
          </w:p>
        </w:tc>
        <w:tc>
          <w:tcPr>
            <w:tcW w:w="112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(0.01 )</w:t>
            </w:r>
          </w:p>
        </w:tc>
        <w:tc>
          <w:tcPr>
            <w:tcW w:w="38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(0.12 )</w:t>
            </w:r>
          </w:p>
        </w:tc>
      </w:tr>
      <w:tr>
        <w:trPr>
          <w:trHeight w:val="126"/>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680" w:type="dxa"/>
            <w:vAlign w:val="bottom"/>
          </w:tcPr>
          <w:p>
            <w:pPr>
              <w:spacing w:after="0"/>
              <w:rPr>
                <w:sz w:val="10"/>
                <w:szCs w:val="1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913,109,577</w:t>
            </w: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r>
        <w:trPr>
          <w:trHeight w:val="293"/>
        </w:trPr>
        <w:tc>
          <w:tcPr>
            <w:tcW w:w="3700" w:type="dxa"/>
            <w:vAlign w:val="bottom"/>
          </w:tcPr>
          <w:p>
            <w:pPr>
              <w:spacing w:after="0"/>
              <w:rPr>
                <w:sz w:val="24"/>
                <w:szCs w:val="24"/>
                <w:color w:val="auto"/>
              </w:rPr>
            </w:pPr>
          </w:p>
        </w:tc>
        <w:tc>
          <w:tcPr>
            <w:tcW w:w="2680" w:type="dxa"/>
            <w:vAlign w:val="bottom"/>
          </w:tcPr>
          <w:p>
            <w:pPr>
              <w:jc w:val="right"/>
              <w:ind w:right="933"/>
              <w:spacing w:after="0"/>
              <w:rPr>
                <w:sz w:val="20"/>
                <w:szCs w:val="20"/>
                <w:color w:val="auto"/>
              </w:rPr>
            </w:pPr>
            <w:r>
              <w:rPr>
                <w:rFonts w:ascii="Times New Roman" w:cs="Times New Roman" w:eastAsia="Times New Roman" w:hAnsi="Times New Roman"/>
                <w:sz w:val="10"/>
                <w:szCs w:val="10"/>
                <w:color w:val="auto"/>
              </w:rPr>
              <w:t>F-41</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2"/>
        </w:trPr>
        <w:tc>
          <w:tcPr>
            <w:tcW w:w="3700" w:type="dxa"/>
            <w:vAlign w:val="bottom"/>
            <w:tcBorders>
              <w:bottom w:val="single" w:sz="8" w:color="EEEEEE"/>
            </w:tcBorders>
          </w:tcPr>
          <w:p>
            <w:pPr>
              <w:spacing w:after="0"/>
              <w:rPr>
                <w:sz w:val="24"/>
                <w:szCs w:val="24"/>
                <w:color w:val="auto"/>
              </w:rPr>
            </w:pPr>
          </w:p>
        </w:tc>
        <w:tc>
          <w:tcPr>
            <w:tcW w:w="26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108"/>
        </w:trPr>
        <w:tc>
          <w:tcPr>
            <w:tcW w:w="4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15"/>
        </w:trPr>
        <w:tc>
          <w:tcPr>
            <w:tcW w:w="41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2260" w:type="dxa"/>
            <w:vAlign w:val="bottom"/>
          </w:tcPr>
          <w:p>
            <w:pPr>
              <w:ind w:left="192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2260" w:type="dxa"/>
            <w:vAlign w:val="bottom"/>
          </w:tcPr>
          <w:p>
            <w:pPr>
              <w:spacing w:after="0"/>
              <w:rPr>
                <w:sz w:val="11"/>
                <w:szCs w:val="11"/>
                <w:color w:val="auto"/>
              </w:rPr>
            </w:pPr>
          </w:p>
        </w:tc>
        <w:tc>
          <w:tcPr>
            <w:tcW w:w="1860" w:type="dxa"/>
            <w:vAlign w:val="bottom"/>
          </w:tcPr>
          <w:p>
            <w:pPr>
              <w:jc w:val="right"/>
              <w:ind w:right="1192"/>
              <w:spacing w:after="0"/>
              <w:rPr>
                <w:sz w:val="20"/>
                <w:szCs w:val="20"/>
                <w:color w:val="auto"/>
              </w:rPr>
            </w:pPr>
            <w:r>
              <w:rPr>
                <w:rFonts w:ascii="Times New Roman" w:cs="Times New Roman" w:eastAsia="Times New Roman" w:hAnsi="Times New Roman"/>
                <w:sz w:val="10"/>
                <w:szCs w:val="10"/>
                <w:color w:val="auto"/>
              </w:rPr>
              <w:t>(104,105,438 )</w:t>
            </w: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(6,607,510 )</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(110,712,948 )</w:t>
            </w:r>
          </w:p>
        </w:tc>
      </w:tr>
      <w:tr>
        <w:trPr>
          <w:trHeight w:val="112"/>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9"/>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226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742,113</w:t>
            </w: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(497,905 )</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244,208</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Unrealized foreign exchange (gain)/loss</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192"/>
              <w:spacing w:after="0"/>
              <w:rPr>
                <w:sz w:val="20"/>
                <w:szCs w:val="20"/>
                <w:color w:val="auto"/>
              </w:rPr>
            </w:pPr>
            <w:r>
              <w:rPr>
                <w:rFonts w:ascii="Times New Roman" w:cs="Times New Roman" w:eastAsia="Times New Roman" w:hAnsi="Times New Roman"/>
                <w:sz w:val="10"/>
                <w:szCs w:val="10"/>
                <w:color w:val="auto"/>
              </w:rPr>
              <w:t>(277,838 )</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(277,838 )</w:t>
            </w:r>
          </w:p>
        </w:tc>
      </w:tr>
      <w:tr>
        <w:trPr>
          <w:trHeight w:val="113"/>
        </w:trPr>
        <w:tc>
          <w:tcPr>
            <w:tcW w:w="41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26"/>
        </w:trPr>
        <w:tc>
          <w:tcPr>
            <w:tcW w:w="41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 consultancy services</w:t>
            </w:r>
          </w:p>
        </w:tc>
        <w:tc>
          <w:tcPr>
            <w:tcW w:w="2260" w:type="dxa"/>
            <w:vAlign w:val="bottom"/>
          </w:tcPr>
          <w:p>
            <w:pPr>
              <w:spacing w:after="0"/>
              <w:rPr>
                <w:sz w:val="10"/>
                <w:szCs w:val="10"/>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39,501,701</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39,501,701</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18,417,816</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18,417,816</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Employee share based compensation</w:t>
            </w:r>
          </w:p>
        </w:tc>
        <w:tc>
          <w:tcPr>
            <w:tcW w:w="226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2,115,015</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2,115,015</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46,236</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46,236</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226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731,940</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731,940</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Impairment of accounts receivable</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334,952</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334,952</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Impairment of goodwill</w:t>
            </w:r>
          </w:p>
        </w:tc>
        <w:tc>
          <w:tcPr>
            <w:tcW w:w="226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7,418,302</w:t>
            </w: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(7,373,864 )</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44,438</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Impairment of investment in ANY</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14,600,000</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14,600,000</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Deferred tax benefit</w:t>
            </w:r>
          </w:p>
        </w:tc>
        <w:tc>
          <w:tcPr>
            <w:tcW w:w="2260" w:type="dxa"/>
            <w:vAlign w:val="bottom"/>
          </w:tcPr>
          <w:p>
            <w:pPr>
              <w:spacing w:after="0"/>
              <w:rPr>
                <w:sz w:val="11"/>
                <w:szCs w:val="11"/>
                <w:color w:val="auto"/>
              </w:rPr>
            </w:pPr>
          </w:p>
        </w:tc>
        <w:tc>
          <w:tcPr>
            <w:tcW w:w="1860" w:type="dxa"/>
            <w:vAlign w:val="bottom"/>
          </w:tcPr>
          <w:p>
            <w:pPr>
              <w:jc w:val="right"/>
              <w:ind w:right="1192"/>
              <w:spacing w:after="0"/>
              <w:rPr>
                <w:sz w:val="20"/>
                <w:szCs w:val="20"/>
                <w:color w:val="auto"/>
              </w:rPr>
            </w:pPr>
            <w:r>
              <w:rPr>
                <w:rFonts w:ascii="Times New Roman" w:cs="Times New Roman" w:eastAsia="Times New Roman" w:hAnsi="Times New Roman"/>
                <w:sz w:val="10"/>
                <w:szCs w:val="10"/>
                <w:color w:val="auto"/>
              </w:rPr>
              <w:t>(243,835 )</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243,835</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3,884,695</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3,884,695</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Decrease/(increase) in accounts receivable</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646,661</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65,893</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712,554</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2260" w:type="dxa"/>
            <w:vAlign w:val="bottom"/>
          </w:tcPr>
          <w:p>
            <w:pPr>
              <w:spacing w:after="0"/>
              <w:rPr>
                <w:sz w:val="11"/>
                <w:szCs w:val="11"/>
                <w:color w:val="auto"/>
              </w:rPr>
            </w:pPr>
          </w:p>
        </w:tc>
        <w:tc>
          <w:tcPr>
            <w:tcW w:w="1860" w:type="dxa"/>
            <w:vAlign w:val="bottom"/>
          </w:tcPr>
          <w:p>
            <w:pPr>
              <w:jc w:val="right"/>
              <w:ind w:right="1192"/>
              <w:spacing w:after="0"/>
              <w:rPr>
                <w:sz w:val="20"/>
                <w:szCs w:val="20"/>
                <w:color w:val="auto"/>
              </w:rPr>
            </w:pPr>
            <w:r>
              <w:rPr>
                <w:rFonts w:ascii="Times New Roman" w:cs="Times New Roman" w:eastAsia="Times New Roman" w:hAnsi="Times New Roman"/>
                <w:sz w:val="10"/>
                <w:szCs w:val="10"/>
                <w:color w:val="auto"/>
              </w:rPr>
              <w:t>(215,468 )</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158,945</w:t>
            </w:r>
          </w:p>
        </w:tc>
        <w:tc>
          <w:tcPr>
            <w:tcW w:w="380" w:type="dxa"/>
            <w:vAlign w:val="bottom"/>
          </w:tcPr>
          <w:p>
            <w:pPr>
              <w:spacing w:after="0"/>
              <w:rPr>
                <w:sz w:val="11"/>
                <w:szCs w:val="1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(56,523 )</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(Decrease) in operating lease liability</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192"/>
              <w:spacing w:after="0"/>
              <w:rPr>
                <w:sz w:val="20"/>
                <w:szCs w:val="20"/>
                <w:color w:val="auto"/>
              </w:rPr>
            </w:pPr>
            <w:r>
              <w:rPr>
                <w:rFonts w:ascii="Times New Roman" w:cs="Times New Roman" w:eastAsia="Times New Roman" w:hAnsi="Times New Roman"/>
                <w:sz w:val="10"/>
                <w:szCs w:val="10"/>
                <w:color w:val="auto"/>
              </w:rPr>
              <w:t>(46,236 )</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(46,236 )</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2260" w:type="dxa"/>
            <w:vAlign w:val="bottom"/>
          </w:tcPr>
          <w:p>
            <w:pPr>
              <w:spacing w:after="0"/>
              <w:rPr>
                <w:sz w:val="11"/>
                <w:szCs w:val="11"/>
                <w:color w:val="auto"/>
              </w:rPr>
            </w:pPr>
          </w:p>
        </w:tc>
        <w:tc>
          <w:tcPr>
            <w:tcW w:w="1860" w:type="dxa"/>
            <w:vAlign w:val="bottom"/>
          </w:tcPr>
          <w:p>
            <w:pPr>
              <w:jc w:val="right"/>
              <w:ind w:right="1192"/>
              <w:spacing w:after="0"/>
              <w:rPr>
                <w:sz w:val="20"/>
                <w:szCs w:val="20"/>
                <w:color w:val="auto"/>
              </w:rPr>
            </w:pPr>
            <w:r>
              <w:rPr>
                <w:rFonts w:ascii="Times New Roman" w:cs="Times New Roman" w:eastAsia="Times New Roman" w:hAnsi="Times New Roman"/>
                <w:sz w:val="10"/>
                <w:szCs w:val="10"/>
                <w:color w:val="auto"/>
              </w:rPr>
              <w:t>(245,266 )</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414,020</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168,754</w:t>
            </w:r>
          </w:p>
        </w:tc>
      </w:tr>
      <w:tr>
        <w:trPr>
          <w:trHeight w:val="114"/>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Increase in accounts payable, accrued expenses and</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7"/>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other payables</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4,766,607</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(1,426,068 )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3,340,539</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2260" w:type="dxa"/>
            <w:vAlign w:val="bottom"/>
          </w:tcPr>
          <w:p>
            <w:pPr>
              <w:spacing w:after="0"/>
              <w:rPr>
                <w:sz w:val="11"/>
                <w:szCs w:val="11"/>
                <w:color w:val="auto"/>
              </w:rPr>
            </w:pPr>
          </w:p>
        </w:tc>
        <w:tc>
          <w:tcPr>
            <w:tcW w:w="1860" w:type="dxa"/>
            <w:vAlign w:val="bottom"/>
          </w:tcPr>
          <w:p>
            <w:pPr>
              <w:jc w:val="right"/>
              <w:ind w:right="1192"/>
              <w:spacing w:after="0"/>
              <w:rPr>
                <w:sz w:val="20"/>
                <w:szCs w:val="20"/>
                <w:color w:val="auto"/>
              </w:rPr>
            </w:pPr>
            <w:r>
              <w:rPr>
                <w:rFonts w:ascii="Times New Roman" w:cs="Times New Roman" w:eastAsia="Times New Roman" w:hAnsi="Times New Roman"/>
                <w:sz w:val="10"/>
                <w:szCs w:val="10"/>
                <w:color w:val="auto"/>
              </w:rPr>
              <w:t>(234,880 )</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396,671</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161,791</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192"/>
              <w:spacing w:after="0"/>
              <w:rPr>
                <w:sz w:val="20"/>
                <w:szCs w:val="20"/>
                <w:color w:val="auto"/>
              </w:rPr>
            </w:pPr>
            <w:r>
              <w:rPr>
                <w:rFonts w:ascii="Times New Roman" w:cs="Times New Roman" w:eastAsia="Times New Roman" w:hAnsi="Times New Roman"/>
                <w:sz w:val="10"/>
                <w:szCs w:val="10"/>
                <w:b w:val="1"/>
                <w:bCs w:val="1"/>
                <w:color w:val="auto"/>
              </w:rPr>
              <w:t>(26,762,923 )</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(25,983 )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(26,788,906 )</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Purchase of property and equipment</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192"/>
              <w:spacing w:after="0"/>
              <w:rPr>
                <w:sz w:val="20"/>
                <w:szCs w:val="20"/>
                <w:color w:val="auto"/>
              </w:rPr>
            </w:pPr>
            <w:r>
              <w:rPr>
                <w:rFonts w:ascii="Times New Roman" w:cs="Times New Roman" w:eastAsia="Times New Roman" w:hAnsi="Times New Roman"/>
                <w:sz w:val="10"/>
                <w:szCs w:val="10"/>
                <w:color w:val="auto"/>
              </w:rPr>
              <w:t>(25,973 )</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(36,854 )</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Development of intangible assets</w:t>
            </w:r>
          </w:p>
        </w:tc>
        <w:tc>
          <w:tcPr>
            <w:tcW w:w="226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192"/>
              <w:spacing w:after="0"/>
              <w:rPr>
                <w:sz w:val="20"/>
                <w:szCs w:val="20"/>
                <w:color w:val="auto"/>
              </w:rPr>
            </w:pPr>
            <w:r>
              <w:rPr>
                <w:rFonts w:ascii="Times New Roman" w:cs="Times New Roman" w:eastAsia="Times New Roman" w:hAnsi="Times New Roman"/>
                <w:sz w:val="10"/>
                <w:szCs w:val="10"/>
                <w:b w:val="1"/>
                <w:bCs w:val="1"/>
                <w:color w:val="auto"/>
              </w:rPr>
              <w:t>(25,973 )</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(36,854 )</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from issuance of ordinary shares</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2,499,920</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2,499,920</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long-term debt obligation</w:t>
            </w:r>
          </w:p>
        </w:tc>
        <w:tc>
          <w:tcPr>
            <w:tcW w:w="226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21,500,000</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21,500,000</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b w:val="1"/>
                <w:bCs w:val="1"/>
                <w:color w:val="auto"/>
              </w:rPr>
              <w:t>23,999,920</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23,999,920</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226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b w:val="1"/>
                <w:bCs w:val="1"/>
                <w:color w:val="auto"/>
              </w:rPr>
              <w:t>140,658</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36,639</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177,287</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change in cash</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192"/>
              <w:spacing w:after="0"/>
              <w:rPr>
                <w:sz w:val="20"/>
                <w:szCs w:val="20"/>
                <w:color w:val="auto"/>
              </w:rPr>
            </w:pPr>
            <w:r>
              <w:rPr>
                <w:rFonts w:ascii="Times New Roman" w:cs="Times New Roman" w:eastAsia="Times New Roman" w:hAnsi="Times New Roman"/>
                <w:sz w:val="10"/>
                <w:szCs w:val="10"/>
                <w:b w:val="1"/>
                <w:bCs w:val="1"/>
                <w:color w:val="auto"/>
              </w:rPr>
              <w:t>(2,648,318 )</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(235 )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(2,648,553 )</w:t>
            </w:r>
          </w:p>
        </w:tc>
      </w:tr>
      <w:tr>
        <w:trPr>
          <w:trHeight w:val="127"/>
        </w:trPr>
        <w:tc>
          <w:tcPr>
            <w:tcW w:w="4120" w:type="dxa"/>
            <w:vAlign w:val="bottom"/>
          </w:tcPr>
          <w:p>
            <w:pPr>
              <w:spacing w:after="0"/>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226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2,690,024</w:t>
            </w: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(2,091 )</w:t>
            </w:r>
          </w:p>
        </w:tc>
        <w:tc>
          <w:tcPr>
            <w:tcW w:w="3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2,687,933</w:t>
            </w:r>
          </w:p>
        </w:tc>
      </w:tr>
      <w:tr>
        <w:trPr>
          <w:trHeight w:val="12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2260" w:type="dxa"/>
            <w:vAlign w:val="bottom"/>
            <w:shd w:val="clear" w:color="auto" w:fill="CFF0FC"/>
          </w:tcPr>
          <w:p>
            <w:pPr>
              <w:spacing w:after="0"/>
              <w:rPr>
                <w:sz w:val="11"/>
                <w:szCs w:val="11"/>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b w:val="1"/>
                <w:bCs w:val="1"/>
                <w:color w:val="auto"/>
              </w:rPr>
              <w:t>41,709</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(2,329 )</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39,380</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Management also reclassified amounts Due to related party, previously disclosed in the related party note disclosure as at December 31, 2022. The amounts were reclassified from Accounts payable.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940" w:type="dxa"/>
            <w:vAlign w:val="bottom"/>
          </w:tcPr>
          <w:p>
            <w:pPr>
              <w:ind w:left="13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760" w:type="dxa"/>
            <w:vAlign w:val="bottom"/>
          </w:tcPr>
          <w:p>
            <w:pPr>
              <w:spacing w:after="0"/>
              <w:rPr>
                <w:sz w:val="8"/>
                <w:szCs w:val="8"/>
                <w:color w:val="auto"/>
              </w:rPr>
            </w:pP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1"/>
        </w:trPr>
        <w:tc>
          <w:tcPr>
            <w:tcW w:w="36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740" w:type="dxa"/>
            <w:vAlign w:val="bottom"/>
          </w:tcPr>
          <w:p>
            <w:pPr>
              <w:ind w:left="238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940" w:type="dxa"/>
            <w:vAlign w:val="bottom"/>
          </w:tcPr>
          <w:p>
            <w:pPr>
              <w:ind w:left="134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760" w:type="dxa"/>
            <w:vAlign w:val="bottom"/>
          </w:tcPr>
          <w:p>
            <w:pPr>
              <w:spacing w:after="0"/>
              <w:rPr>
                <w:sz w:val="9"/>
                <w:szCs w:val="9"/>
                <w:color w:val="auto"/>
              </w:rPr>
            </w:pPr>
          </w:p>
        </w:tc>
        <w:tc>
          <w:tcPr>
            <w:tcW w:w="1520" w:type="dxa"/>
            <w:vAlign w:val="bottom"/>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Deferred shares</w:t>
            </w:r>
          </w:p>
        </w:tc>
        <w:tc>
          <w:tcPr>
            <w:tcW w:w="2740" w:type="dxa"/>
            <w:vAlign w:val="bottom"/>
            <w:shd w:val="clear" w:color="auto" w:fill="CFF0FC"/>
          </w:tcPr>
          <w:p>
            <w:pPr>
              <w:spacing w:after="0"/>
              <w:rPr>
                <w:sz w:val="11"/>
                <w:szCs w:val="11"/>
                <w:color w:val="auto"/>
              </w:rPr>
            </w:pPr>
          </w:p>
        </w:tc>
        <w:tc>
          <w:tcPr>
            <w:tcW w:w="1940" w:type="dxa"/>
            <w:vAlign w:val="bottom"/>
            <w:shd w:val="clear" w:color="auto" w:fill="CFF0FC"/>
          </w:tcPr>
          <w:p>
            <w:pPr>
              <w:jc w:val="right"/>
              <w:ind w:right="1335"/>
              <w:spacing w:after="0"/>
              <w:rPr>
                <w:sz w:val="20"/>
                <w:szCs w:val="20"/>
                <w:color w:val="auto"/>
              </w:rPr>
            </w:pPr>
            <w:r>
              <w:rPr>
                <w:rFonts w:ascii="Times New Roman" w:cs="Times New Roman" w:eastAsia="Times New Roman" w:hAnsi="Times New Roman"/>
                <w:sz w:val="10"/>
                <w:szCs w:val="10"/>
                <w:color w:val="auto"/>
              </w:rPr>
              <w:t>1,993</w:t>
            </w:r>
          </w:p>
        </w:tc>
        <w:tc>
          <w:tcPr>
            <w:tcW w:w="7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0"/>
                <w:szCs w:val="10"/>
                <w:color w:val="auto"/>
              </w:rPr>
              <w:t>(1,993 )</w:t>
            </w:r>
          </w:p>
        </w:tc>
        <w:tc>
          <w:tcPr>
            <w:tcW w:w="15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0"/>
                <w:szCs w:val="10"/>
                <w:color w:val="auto"/>
              </w:rPr>
              <w:t>—</w:t>
            </w:r>
          </w:p>
        </w:tc>
      </w:tr>
      <w:tr>
        <w:trPr>
          <w:trHeight w:val="125"/>
        </w:trPr>
        <w:tc>
          <w:tcPr>
            <w:tcW w:w="3660" w:type="dxa"/>
            <w:vAlign w:val="bottom"/>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740" w:type="dxa"/>
            <w:vAlign w:val="bottom"/>
          </w:tcPr>
          <w:p>
            <w:pPr>
              <w:spacing w:after="0"/>
              <w:rPr>
                <w:sz w:val="10"/>
                <w:szCs w:val="10"/>
                <w:color w:val="auto"/>
              </w:rPr>
            </w:pPr>
          </w:p>
        </w:tc>
        <w:tc>
          <w:tcPr>
            <w:tcW w:w="1940" w:type="dxa"/>
            <w:vAlign w:val="bottom"/>
          </w:tcPr>
          <w:p>
            <w:pPr>
              <w:jc w:val="right"/>
              <w:ind w:right="1335"/>
              <w:spacing w:after="0"/>
              <w:rPr>
                <w:sz w:val="20"/>
                <w:szCs w:val="20"/>
                <w:color w:val="auto"/>
              </w:rPr>
            </w:pPr>
            <w:r>
              <w:rPr>
                <w:rFonts w:ascii="Times New Roman" w:cs="Times New Roman" w:eastAsia="Times New Roman" w:hAnsi="Times New Roman"/>
                <w:sz w:val="10"/>
                <w:szCs w:val="10"/>
                <w:color w:val="auto"/>
              </w:rPr>
              <w:t>172,202,839</w:t>
            </w: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1,993</w:t>
            </w:r>
          </w:p>
        </w:tc>
        <w:tc>
          <w:tcPr>
            <w:tcW w:w="15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172,204,832</w:t>
            </w:r>
          </w:p>
        </w:tc>
      </w:tr>
    </w:tbl>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balance sheet for December 31, 2023 was restated only to reflect the return of the deferred shares and the cancellation of the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amounts were restated in the following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4 – Prepayments and other current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6 – Property and equipment, net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7 – Intangible assets,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12 – Accrued expenses and other payables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13 – Expenses and other Non-operating (income) expense,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14 – Related party disclosures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16 –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2.21.Fair value measurement and concentration of 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61" w:lineRule="exact"/>
        <w:rPr>
          <w:sz w:val="20"/>
          <w:szCs w:val="20"/>
          <w:color w:val="auto"/>
        </w:rPr>
      </w:pPr>
    </w:p>
    <w:tbl>
      <w:tblPr>
        <w:tblLayout w:type="fixed"/>
        <w:tblInd w:w="1060" w:type="dxa"/>
        <w:tblCellMar>
          <w:top w:w="0" w:type="dxa"/>
          <w:left w:w="0" w:type="dxa"/>
          <w:bottom w:w="0" w:type="dxa"/>
          <w:right w:w="0" w:type="dxa"/>
        </w:tblCellMar>
      </w:tblPr>
      <w:tr>
        <w:trPr>
          <w:trHeight w:val="111"/>
        </w:trPr>
        <w:tc>
          <w:tcPr>
            <w:tcW w:w="32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20" w:type="dxa"/>
            <w:vAlign w:val="bottom"/>
          </w:tcPr>
          <w:p>
            <w:pPr>
              <w:ind w:left="19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100" w:type="dxa"/>
            <w:vAlign w:val="bottom"/>
          </w:tcPr>
          <w:p>
            <w:pPr>
              <w:ind w:left="30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40" w:type="dxa"/>
            <w:vAlign w:val="bottom"/>
          </w:tcPr>
          <w:p>
            <w:pPr>
              <w:spacing w:after="0"/>
              <w:rPr>
                <w:sz w:val="9"/>
                <w:szCs w:val="9"/>
                <w:color w:val="auto"/>
              </w:rPr>
            </w:pPr>
          </w:p>
        </w:tc>
        <w:tc>
          <w:tcPr>
            <w:tcW w:w="94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4"/>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27"/>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r>
        <w:trPr>
          <w:trHeight w:val="112"/>
        </w:trPr>
        <w:tc>
          <w:tcPr>
            <w:tcW w:w="3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26"/>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1,177,617</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 Please also refer to note 7.4.</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5840" w:type="dxa"/>
            <w:vAlign w:val="bottom"/>
          </w:tcPr>
          <w:p>
            <w:pPr>
              <w:ind w:left="51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440" w:type="dxa"/>
            <w:vAlign w:val="bottom"/>
          </w:tcPr>
          <w:p>
            <w:pPr>
              <w:spacing w:after="0"/>
              <w:rPr>
                <w:sz w:val="9"/>
                <w:szCs w:val="9"/>
                <w:color w:val="auto"/>
              </w:rPr>
            </w:pPr>
          </w:p>
        </w:tc>
        <w:tc>
          <w:tcPr>
            <w:tcW w:w="1180" w:type="dxa"/>
            <w:vAlign w:val="bottom"/>
          </w:tcPr>
          <w:p>
            <w:pPr>
              <w:jc w:val="right"/>
              <w:ind w:right="2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32"/>
        </w:trPr>
        <w:tc>
          <w:tcPr>
            <w:tcW w:w="5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KPMG LLP</w:t>
            </w:r>
          </w:p>
        </w:tc>
        <w:tc>
          <w:tcPr>
            <w:tcW w:w="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10 %</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r>
      <w:tr>
        <w:trPr>
          <w:trHeight w:val="128"/>
        </w:trPr>
        <w:tc>
          <w:tcPr>
            <w:tcW w:w="5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Taylor Wessing LLP</w:t>
            </w:r>
          </w:p>
        </w:tc>
        <w:tc>
          <w:tcPr>
            <w:tcW w:w="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13 %</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28"/>
        </w:trPr>
        <w:tc>
          <w:tcPr>
            <w:tcW w:w="5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Wilson Sonsini Goodrich &amp; Rosati</w:t>
            </w:r>
          </w:p>
        </w:tc>
        <w:tc>
          <w:tcPr>
            <w:tcW w:w="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14 %</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15 %</w:t>
            </w:r>
          </w:p>
        </w:tc>
      </w:tr>
      <w:tr>
        <w:trPr>
          <w:trHeight w:val="128"/>
        </w:trPr>
        <w:tc>
          <w:tcPr>
            <w:tcW w:w="5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SThree Partnership LLP</w:t>
            </w:r>
          </w:p>
        </w:tc>
        <w:tc>
          <w:tcPr>
            <w:tcW w:w="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-321945</wp:posOffset>
            </wp:positionV>
            <wp:extent cx="4724400" cy="812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24400" cy="8128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-160020</wp:posOffset>
            </wp:positionV>
            <wp:extent cx="4724400" cy="812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24400" cy="8128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46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Revenue risk</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2.22.Income taxes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2.23.Loss and earnings per share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4840" w:type="dxa"/>
            <w:vAlign w:val="bottom"/>
          </w:tcPr>
          <w:p>
            <w:pPr>
              <w:spacing w:after="0"/>
              <w:rPr>
                <w:sz w:val="9"/>
                <w:szCs w:val="9"/>
                <w:color w:val="auto"/>
              </w:rPr>
            </w:pP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60" w:type="dxa"/>
            <w:vAlign w:val="bottom"/>
          </w:tcPr>
          <w:p>
            <w:pPr>
              <w:spacing w:after="0"/>
              <w:rPr>
                <w:sz w:val="9"/>
                <w:szCs w:val="9"/>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4840" w:type="dxa"/>
            <w:vAlign w:val="bottom"/>
          </w:tcPr>
          <w:p>
            <w:pPr>
              <w:spacing w:after="0"/>
              <w:rPr>
                <w:sz w:val="10"/>
                <w:szCs w:val="10"/>
                <w:color w:val="auto"/>
              </w:rPr>
            </w:pPr>
          </w:p>
        </w:tc>
        <w:tc>
          <w:tcPr>
            <w:tcW w:w="1200" w:type="dxa"/>
            <w:vAlign w:val="bottom"/>
          </w:tcPr>
          <w:p>
            <w:pPr>
              <w:jc w:val="right"/>
              <w:ind w:right="35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 w:type="dxa"/>
            <w:vAlign w:val="bottom"/>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31"/>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Convertible debt (note 7.3)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3,929,566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3,428,571</w:t>
            </w:r>
          </w:p>
        </w:tc>
        <w:tc>
          <w:tcPr>
            <w:tcW w:w="60" w:type="dxa"/>
            <w:vAlign w:val="bottom"/>
            <w:shd w:val="clear" w:color="auto" w:fill="CFF0FC"/>
          </w:tcPr>
          <w:p>
            <w:pPr>
              <w:spacing w:after="0"/>
              <w:rPr>
                <w:sz w:val="11"/>
                <w:szCs w:val="11"/>
                <w:color w:val="auto"/>
              </w:rPr>
            </w:pPr>
          </w:p>
        </w:tc>
      </w:tr>
      <w:tr>
        <w:trPr>
          <w:trHeight w:val="127"/>
        </w:trPr>
        <w:tc>
          <w:tcPr>
            <w:tcW w:w="4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Shares payable (note 7.4)</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140,000</w:t>
            </w:r>
          </w:p>
        </w:tc>
        <w:tc>
          <w:tcPr>
            <w:tcW w:w="60" w:type="dxa"/>
            <w:vAlign w:val="bottom"/>
          </w:tcPr>
          <w:p>
            <w:pPr>
              <w:spacing w:after="0"/>
              <w:rPr>
                <w:sz w:val="11"/>
                <w:szCs w:val="11"/>
                <w:color w:val="auto"/>
              </w:rPr>
            </w:pPr>
          </w:p>
        </w:tc>
      </w:tr>
      <w:tr>
        <w:trPr>
          <w:trHeight w:val="12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5,200,000</w:t>
            </w:r>
          </w:p>
        </w:tc>
        <w:tc>
          <w:tcPr>
            <w:tcW w:w="60" w:type="dxa"/>
            <w:vAlign w:val="bottom"/>
            <w:shd w:val="clear" w:color="auto" w:fill="CFF0FC"/>
          </w:tcPr>
          <w:p>
            <w:pPr>
              <w:spacing w:after="0"/>
              <w:rPr>
                <w:sz w:val="11"/>
                <w:szCs w:val="11"/>
                <w:color w:val="auto"/>
              </w:rPr>
            </w:pPr>
          </w:p>
        </w:tc>
      </w:tr>
      <w:tr>
        <w:trPr>
          <w:trHeight w:val="127"/>
        </w:trPr>
        <w:tc>
          <w:tcPr>
            <w:tcW w:w="4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Series A preferred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28,039,517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28,039,517</w:t>
            </w:r>
          </w:p>
        </w:tc>
        <w:tc>
          <w:tcPr>
            <w:tcW w:w="60" w:type="dxa"/>
            <w:vAlign w:val="bottom"/>
          </w:tcPr>
          <w:p>
            <w:pPr>
              <w:spacing w:after="0"/>
              <w:rPr>
                <w:sz w:val="11"/>
                <w:szCs w:val="11"/>
                <w:color w:val="auto"/>
              </w:rPr>
            </w:pPr>
          </w:p>
        </w:tc>
      </w:tr>
      <w:tr>
        <w:trPr>
          <w:trHeight w:val="12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Short-term debt to related party (note 7.1)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1,037,575</w:t>
            </w:r>
          </w:p>
        </w:tc>
        <w:tc>
          <w:tcPr>
            <w:tcW w:w="16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4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33,146,658</w:t>
            </w:r>
          </w:p>
        </w:tc>
        <w:tc>
          <w:tcPr>
            <w:tcW w:w="16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36,808,088</w:t>
            </w:r>
          </w:p>
        </w:tc>
        <w:tc>
          <w:tcPr>
            <w:tcW w:w="60" w:type="dxa"/>
            <w:vAlign w:val="bottom"/>
          </w:tcPr>
          <w:p>
            <w:pPr>
              <w:spacing w:after="0"/>
              <w:rPr>
                <w:sz w:val="11"/>
                <w:szCs w:val="11"/>
                <w:color w:val="auto"/>
              </w:rPr>
            </w:pPr>
          </w:p>
        </w:tc>
      </w:tr>
    </w:tbl>
    <w:p>
      <w:pPr>
        <w:spacing w:after="0" w:line="136"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ASC 326 “Financial Instruments—Credit Losses”</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4.Prepayments and other current assets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158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1580" w:type="dxa"/>
            <w:vAlign w:val="bottom"/>
          </w:tcPr>
          <w:p>
            <w:pPr>
              <w:spacing w:after="0"/>
              <w:rPr>
                <w:sz w:val="11"/>
                <w:szCs w:val="11"/>
                <w:color w:val="auto"/>
              </w:rPr>
            </w:pPr>
          </w:p>
        </w:tc>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Prepaid expenses</w:t>
            </w: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130,309</w:t>
            </w:r>
          </w:p>
        </w:tc>
        <w:tc>
          <w:tcPr>
            <w:tcW w:w="3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214,514</w:t>
            </w:r>
          </w:p>
        </w:tc>
        <w:tc>
          <w:tcPr>
            <w:tcW w:w="6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Receivable from government authorities</w:t>
            </w: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4,155</w:t>
            </w:r>
          </w:p>
        </w:tc>
        <w:tc>
          <w:tcPr>
            <w:tcW w:w="6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Input tax credit</w:t>
            </w: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140,432</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219,421</w:t>
            </w:r>
          </w:p>
        </w:tc>
        <w:tc>
          <w:tcPr>
            <w:tcW w:w="6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receivables</w:t>
            </w: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2,756</w:t>
            </w:r>
          </w:p>
        </w:tc>
        <w:tc>
          <w:tcPr>
            <w:tcW w:w="60" w:type="dxa"/>
            <w:vAlign w:val="bottom"/>
          </w:tcPr>
          <w:p>
            <w:pPr>
              <w:spacing w:after="0"/>
              <w:rPr>
                <w:sz w:val="11"/>
                <w:szCs w:val="11"/>
                <w:color w:val="auto"/>
              </w:rPr>
            </w:pPr>
          </w:p>
        </w:tc>
      </w:tr>
      <w:tr>
        <w:trPr>
          <w:trHeight w:val="131"/>
        </w:trPr>
        <w:tc>
          <w:tcPr>
            <w:tcW w:w="1580" w:type="dxa"/>
            <w:vAlign w:val="bottom"/>
          </w:tcPr>
          <w:p>
            <w:pPr>
              <w:spacing w:after="0"/>
              <w:rPr>
                <w:sz w:val="11"/>
                <w:szCs w:val="11"/>
                <w:color w:val="auto"/>
              </w:rPr>
            </w:pPr>
          </w:p>
        </w:tc>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299,013</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440,846</w:t>
            </w:r>
          </w:p>
        </w:tc>
        <w:tc>
          <w:tcPr>
            <w:tcW w:w="60" w:type="dxa"/>
            <w:vAlign w:val="bottom"/>
            <w:tcBorders>
              <w:bottom w:val="single" w:sz="8" w:color="CFF0FC"/>
            </w:tcBorders>
            <w:shd w:val="clear" w:color="auto" w:fill="CFF0FC"/>
          </w:tcPr>
          <w:p>
            <w:pPr>
              <w:spacing w:after="0"/>
              <w:rPr>
                <w:sz w:val="11"/>
                <w:szCs w:val="11"/>
                <w:color w:val="auto"/>
              </w:rPr>
            </w:pPr>
          </w:p>
        </w:tc>
      </w:tr>
      <w:tr>
        <w:trPr>
          <w:trHeight w:val="321"/>
        </w:trPr>
        <w:tc>
          <w:tcPr>
            <w:tcW w:w="64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5.Loans Receivable</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15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158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1580" w:type="dxa"/>
            <w:vAlign w:val="bottom"/>
          </w:tcPr>
          <w:p>
            <w:pPr>
              <w:spacing w:after="0"/>
              <w:rPr>
                <w:sz w:val="11"/>
                <w:szCs w:val="11"/>
                <w:color w:val="auto"/>
              </w:rPr>
            </w:pPr>
          </w:p>
        </w:tc>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Loans receivable</w:t>
            </w: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598,414</w:t>
            </w:r>
          </w:p>
        </w:tc>
        <w:tc>
          <w:tcPr>
            <w:tcW w:w="60" w:type="dxa"/>
            <w:vAlign w:val="bottom"/>
            <w:shd w:val="clear" w:color="auto" w:fill="CFF0FC"/>
          </w:tcPr>
          <w:p>
            <w:pPr>
              <w:spacing w:after="0"/>
              <w:rPr>
                <w:sz w:val="11"/>
                <w:szCs w:val="11"/>
                <w:color w:val="auto"/>
              </w:rPr>
            </w:pPr>
          </w:p>
        </w:tc>
      </w:tr>
      <w:tr>
        <w:trPr>
          <w:trHeight w:val="130"/>
        </w:trPr>
        <w:tc>
          <w:tcPr>
            <w:tcW w:w="1580" w:type="dxa"/>
            <w:vAlign w:val="bottom"/>
          </w:tcPr>
          <w:p>
            <w:pPr>
              <w:spacing w:after="0"/>
              <w:rPr>
                <w:sz w:val="11"/>
                <w:szCs w:val="11"/>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598,414</w:t>
            </w:r>
          </w:p>
        </w:tc>
        <w:tc>
          <w:tcPr>
            <w:tcW w:w="60" w:type="dxa"/>
            <w:vAlign w:val="bottom"/>
          </w:tcPr>
          <w:p>
            <w:pPr>
              <w:spacing w:after="0"/>
              <w:rPr>
                <w:sz w:val="11"/>
                <w:szCs w:val="1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loans receivable consists of:</w:t>
      </w:r>
    </w:p>
    <w:p>
      <w:pPr>
        <w:spacing w:after="0" w:line="58"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0"/>
          <w:szCs w:val="10"/>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45" w:lineRule="exact"/>
        <w:rPr>
          <w:sz w:val="20"/>
          <w:szCs w:val="20"/>
          <w:color w:val="auto"/>
        </w:rPr>
      </w:pPr>
    </w:p>
    <w:p>
      <w:pPr>
        <w:ind w:left="480" w:right="100"/>
        <w:spacing w:after="0" w:line="241" w:lineRule="auto"/>
        <w:rPr>
          <w:sz w:val="20"/>
          <w:szCs w:val="20"/>
          <w:color w:val="auto"/>
        </w:rPr>
      </w:pPr>
      <w:r>
        <w:rPr>
          <w:rFonts w:ascii="Times New Roman" w:cs="Times New Roman" w:eastAsia="Times New Roman" w:hAnsi="Times New Roman"/>
          <w:sz w:val="10"/>
          <w:szCs w:val="10"/>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6.Property and equipment, net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1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1580" w:type="dxa"/>
            <w:vAlign w:val="bottom"/>
          </w:tcPr>
          <w:p>
            <w:pPr>
              <w:spacing w:after="0"/>
              <w:rPr>
                <w:sz w:val="11"/>
                <w:szCs w:val="11"/>
                <w:color w:val="auto"/>
              </w:rPr>
            </w:pPr>
          </w:p>
        </w:tc>
        <w:tc>
          <w:tcPr>
            <w:tcW w:w="3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Computers</w:t>
            </w:r>
          </w:p>
        </w:tc>
        <w:tc>
          <w:tcPr>
            <w:tcW w:w="130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195,140</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181,784</w:t>
            </w:r>
          </w:p>
        </w:tc>
        <w:tc>
          <w:tcPr>
            <w:tcW w:w="6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Office equipment</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3"/>
              </w:rPr>
              <w:t>290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6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3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Less—Accumulated depreciation</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(115,837 )</w:t>
            </w:r>
          </w:p>
        </w:tc>
        <w:tc>
          <w:tcPr>
            <w:tcW w:w="80" w:type="dxa"/>
            <w:vAlign w:val="bottom"/>
            <w:shd w:val="clear" w:color="auto" w:fill="CFF0FC"/>
          </w:tcPr>
          <w:p>
            <w:pPr>
              <w:spacing w:after="0"/>
              <w:rPr>
                <w:sz w:val="11"/>
                <w:szCs w:val="11"/>
                <w:color w:val="auto"/>
              </w:rPr>
            </w:pP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(71,281 )</w:t>
            </w:r>
          </w:p>
        </w:tc>
      </w:tr>
      <w:tr>
        <w:trPr>
          <w:trHeight w:val="130"/>
        </w:trPr>
        <w:tc>
          <w:tcPr>
            <w:tcW w:w="1580" w:type="dxa"/>
            <w:vAlign w:val="bottom"/>
          </w:tcPr>
          <w:p>
            <w:pPr>
              <w:spacing w:after="0"/>
              <w:rPr>
                <w:sz w:val="11"/>
                <w:szCs w:val="11"/>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Property and equipment, net</w:t>
            </w:r>
          </w:p>
        </w:tc>
        <w:tc>
          <w:tcPr>
            <w:tcW w:w="1300" w:type="dxa"/>
            <w:vAlign w:val="bottom"/>
            <w:gridSpan w:val="2"/>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79,593</w:t>
            </w:r>
          </w:p>
        </w:tc>
        <w:tc>
          <w:tcPr>
            <w:tcW w:w="200" w:type="dxa"/>
            <w:vAlign w:val="bottom"/>
          </w:tcPr>
          <w:p>
            <w:pPr>
              <w:spacing w:after="0"/>
              <w:rPr>
                <w:sz w:val="11"/>
                <w:szCs w:val="11"/>
                <w:color w:val="auto"/>
              </w:rPr>
            </w:pPr>
          </w:p>
        </w:tc>
        <w:tc>
          <w:tcPr>
            <w:tcW w:w="80" w:type="dxa"/>
            <w:vAlign w:val="bottom"/>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110,998</w:t>
            </w:r>
          </w:p>
        </w:tc>
        <w:tc>
          <w:tcPr>
            <w:tcW w:w="60" w:type="dxa"/>
            <w:vAlign w:val="bottom"/>
          </w:tcPr>
          <w:p>
            <w:pPr>
              <w:spacing w:after="0"/>
              <w:rPr>
                <w:sz w:val="11"/>
                <w:szCs w:val="1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Depreciation expense for the years ended December 31, 2023 and 2022 was $44,556 and $37,917 respectively.</w:t>
            </w:r>
          </w:p>
        </w:tc>
        <w:tc>
          <w:tcPr>
            <w:tcW w:w="1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93"/>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7.Intangible assets, net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1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1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1580" w:type="dxa"/>
            <w:vAlign w:val="bottom"/>
          </w:tcPr>
          <w:p>
            <w:pPr>
              <w:spacing w:after="0"/>
              <w:rPr>
                <w:sz w:val="11"/>
                <w:szCs w:val="11"/>
                <w:color w:val="auto"/>
              </w:rPr>
            </w:pPr>
          </w:p>
        </w:tc>
        <w:tc>
          <w:tcPr>
            <w:tcW w:w="3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Software</w:t>
            </w:r>
          </w:p>
        </w:tc>
        <w:tc>
          <w:tcPr>
            <w:tcW w:w="130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1,009,272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989,400</w:t>
            </w:r>
          </w:p>
        </w:tc>
        <w:tc>
          <w:tcPr>
            <w:tcW w:w="6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In development intangible asset</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1,862,465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1580" w:type="dxa"/>
            <w:vAlign w:val="bottom"/>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4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2,871,737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989,400</w:t>
            </w:r>
          </w:p>
        </w:tc>
        <w:tc>
          <w:tcPr>
            <w:tcW w:w="6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Less—Accumulated amortization</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(736,834 )</w:t>
            </w:r>
          </w:p>
        </w:tc>
        <w:tc>
          <w:tcPr>
            <w:tcW w:w="80" w:type="dxa"/>
            <w:vAlign w:val="bottom"/>
          </w:tcPr>
          <w:p>
            <w:pPr>
              <w:spacing w:after="0"/>
              <w:rPr>
                <w:sz w:val="11"/>
                <w:szCs w:val="11"/>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(538,954 )</w:t>
            </w:r>
          </w:p>
        </w:tc>
      </w:tr>
      <w:tr>
        <w:trPr>
          <w:trHeight w:val="131"/>
        </w:trPr>
        <w:tc>
          <w:tcPr>
            <w:tcW w:w="1580" w:type="dxa"/>
            <w:vAlign w:val="bottom"/>
          </w:tcPr>
          <w:p>
            <w:pPr>
              <w:spacing w:after="0"/>
              <w:rPr>
                <w:sz w:val="11"/>
                <w:szCs w:val="11"/>
                <w:color w:val="auto"/>
              </w:rPr>
            </w:pPr>
          </w:p>
        </w:tc>
        <w:tc>
          <w:tcPr>
            <w:tcW w:w="3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Intangible assets, net</w:t>
            </w:r>
          </w:p>
        </w:tc>
        <w:tc>
          <w:tcPr>
            <w:tcW w:w="1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2,134,903</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450,446</w:t>
            </w:r>
          </w:p>
        </w:tc>
        <w:tc>
          <w:tcPr>
            <w:tcW w:w="60" w:type="dxa"/>
            <w:vAlign w:val="bottom"/>
            <w:tcBorders>
              <w:bottom w:val="single" w:sz="8" w:color="CFF0FC"/>
            </w:tcBorders>
            <w:shd w:val="clear" w:color="auto" w:fill="CFF0FC"/>
          </w:tcPr>
          <w:p>
            <w:pPr>
              <w:spacing w:after="0"/>
              <w:rPr>
                <w:sz w:val="11"/>
                <w:szCs w:val="1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Amortization expense for each of the years ended December 31, 2023 and 2022 was $197,800.</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3"/>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As of December 31, 2023, expected amortization expense over the remaining intangible asset lives is as follows: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52"/>
        </w:trPr>
        <w:tc>
          <w:tcPr>
            <w:tcW w:w="552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28"/>
        </w:trPr>
        <w:tc>
          <w:tcPr>
            <w:tcW w:w="2120" w:type="dxa"/>
            <w:vAlign w:val="bottom"/>
            <w:gridSpan w:val="2"/>
          </w:tcPr>
          <w:p>
            <w:pPr>
              <w:spacing w:after="0"/>
              <w:rPr>
                <w:sz w:val="11"/>
                <w:szCs w:val="11"/>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2024</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183,578</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7"/>
        </w:trPr>
        <w:tc>
          <w:tcPr>
            <w:tcW w:w="5520" w:type="dxa"/>
            <w:vAlign w:val="bottom"/>
            <w:gridSpan w:val="3"/>
          </w:tcPr>
          <w:p>
            <w:pPr>
              <w:ind w:left="2120"/>
              <w:spacing w:after="0"/>
              <w:rPr>
                <w:sz w:val="20"/>
                <w:szCs w:val="20"/>
                <w:color w:val="auto"/>
              </w:rPr>
            </w:pPr>
            <w:r>
              <w:rPr>
                <w:rFonts w:ascii="Times New Roman" w:cs="Times New Roman" w:eastAsia="Times New Roman" w:hAnsi="Times New Roman"/>
                <w:sz w:val="10"/>
                <w:szCs w:val="10"/>
                <w:color w:val="auto"/>
              </w:rPr>
              <w:t>2025</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445,453</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8"/>
        </w:trPr>
        <w:tc>
          <w:tcPr>
            <w:tcW w:w="2120" w:type="dxa"/>
            <w:vAlign w:val="bottom"/>
            <w:gridSpan w:val="2"/>
          </w:tcPr>
          <w:p>
            <w:pPr>
              <w:spacing w:after="0"/>
              <w:rPr>
                <w:sz w:val="11"/>
                <w:szCs w:val="11"/>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2026</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7"/>
        </w:trPr>
        <w:tc>
          <w:tcPr>
            <w:tcW w:w="5520" w:type="dxa"/>
            <w:vAlign w:val="bottom"/>
            <w:gridSpan w:val="3"/>
          </w:tcPr>
          <w:p>
            <w:pPr>
              <w:ind w:left="2120"/>
              <w:spacing w:after="0"/>
              <w:rPr>
                <w:sz w:val="20"/>
                <w:szCs w:val="20"/>
                <w:color w:val="auto"/>
              </w:rPr>
            </w:pPr>
            <w:r>
              <w:rPr>
                <w:rFonts w:ascii="Times New Roman" w:cs="Times New Roman" w:eastAsia="Times New Roman" w:hAnsi="Times New Roman"/>
                <w:sz w:val="10"/>
                <w:szCs w:val="10"/>
                <w:color w:val="auto"/>
              </w:rPr>
              <w:t>2027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8"/>
        </w:trPr>
        <w:tc>
          <w:tcPr>
            <w:tcW w:w="2120" w:type="dxa"/>
            <w:vAlign w:val="bottom"/>
            <w:gridSpan w:val="2"/>
          </w:tcPr>
          <w:p>
            <w:pPr>
              <w:spacing w:after="0"/>
              <w:rPr>
                <w:sz w:val="11"/>
                <w:szCs w:val="11"/>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2028</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Thereafter</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1"/>
        </w:trPr>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b w:val="1"/>
                <w:bCs w:val="1"/>
                <w:color w:val="auto"/>
                <w:w w:val="94"/>
              </w:rPr>
              <w:t>2,134,903</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321"/>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8.Debt and other liabilities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1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40" w:type="dxa"/>
            <w:vAlign w:val="bottom"/>
            <w:gridSpan w:val="4"/>
          </w:tcPr>
          <w:p>
            <w:pPr>
              <w:jc w:val="right"/>
              <w:ind w:right="35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jc w:val="right"/>
              <w:ind w:right="36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1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040" w:type="dxa"/>
            <w:vAlign w:val="bottom"/>
            <w:gridSpan w:val="4"/>
          </w:tcPr>
          <w:p>
            <w:pPr>
              <w:jc w:val="right"/>
              <w:ind w:right="471"/>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1580" w:type="dxa"/>
            <w:vAlign w:val="bottom"/>
          </w:tcPr>
          <w:p>
            <w:pPr>
              <w:spacing w:after="0"/>
              <w:rPr>
                <w:sz w:val="11"/>
                <w:szCs w:val="11"/>
                <w:color w:val="auto"/>
              </w:rPr>
            </w:pPr>
          </w:p>
        </w:tc>
        <w:tc>
          <w:tcPr>
            <w:tcW w:w="3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Short-term debt and other liabilities</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Short-term debt to related parties (8.1)</w:t>
            </w: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51"/>
              <w:spacing w:after="0"/>
              <w:rPr>
                <w:sz w:val="20"/>
                <w:szCs w:val="20"/>
                <w:color w:val="auto"/>
              </w:rPr>
            </w:pPr>
            <w:r>
              <w:rPr>
                <w:rFonts w:ascii="Times New Roman" w:cs="Times New Roman" w:eastAsia="Times New Roman" w:hAnsi="Times New Roman"/>
                <w:sz w:val="10"/>
                <w:szCs w:val="10"/>
                <w:color w:val="auto"/>
              </w:rPr>
              <w:t>6,225,815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697,067</w:t>
            </w:r>
          </w:p>
        </w:tc>
        <w:tc>
          <w:tcPr>
            <w:tcW w:w="6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3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Short term convertible debt to related party (8.4)</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132,269</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Ordinary shares payable (8.2)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51"/>
              <w:spacing w:after="0"/>
              <w:rPr>
                <w:sz w:val="20"/>
                <w:szCs w:val="20"/>
                <w:color w:val="auto"/>
              </w:rPr>
            </w:pPr>
            <w:r>
              <w:rPr>
                <w:rFonts w:ascii="Times New Roman" w:cs="Times New Roman" w:eastAsia="Times New Roman" w:hAnsi="Times New Roman"/>
                <w:sz w:val="10"/>
                <w:szCs w:val="10"/>
                <w:color w:val="auto"/>
              </w:rPr>
              <w:t>8,223,928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1580" w:type="dxa"/>
            <w:vAlign w:val="bottom"/>
          </w:tcPr>
          <w:p>
            <w:pPr>
              <w:spacing w:after="0"/>
              <w:rPr>
                <w:sz w:val="11"/>
                <w:szCs w:val="11"/>
                <w:color w:val="auto"/>
              </w:rPr>
            </w:pPr>
          </w:p>
        </w:tc>
        <w:tc>
          <w:tcPr>
            <w:tcW w:w="3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Share-based payment liability (8.5)</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1,311,028</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spacing w:after="0"/>
              <w:rPr>
                <w:sz w:val="11"/>
                <w:szCs w:val="11"/>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1580" w:type="dxa"/>
            <w:vAlign w:val="bottom"/>
          </w:tcPr>
          <w:p>
            <w:pPr>
              <w:spacing w:after="0"/>
              <w:rPr>
                <w:sz w:val="11"/>
                <w:szCs w:val="11"/>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51"/>
              <w:spacing w:after="0"/>
              <w:rPr>
                <w:sz w:val="20"/>
                <w:szCs w:val="20"/>
                <w:color w:val="auto"/>
              </w:rPr>
            </w:pPr>
            <w:r>
              <w:rPr>
                <w:rFonts w:ascii="Times New Roman" w:cs="Times New Roman" w:eastAsia="Times New Roman" w:hAnsi="Times New Roman"/>
                <w:sz w:val="10"/>
                <w:szCs w:val="10"/>
                <w:color w:val="auto"/>
              </w:rPr>
              <w:t>31,088,259</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1580" w:type="dxa"/>
            <w:vAlign w:val="bottom"/>
          </w:tcPr>
          <w:p>
            <w:pPr>
              <w:spacing w:after="0"/>
              <w:rPr>
                <w:sz w:val="11"/>
                <w:szCs w:val="11"/>
                <w:color w:val="auto"/>
              </w:rPr>
            </w:pPr>
          </w:p>
        </w:tc>
        <w:tc>
          <w:tcPr>
            <w:tcW w:w="3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Non-current debt and other liabilities</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Share-based payment liability (8.4)</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1,177,617</w:t>
            </w:r>
          </w:p>
        </w:tc>
        <w:tc>
          <w:tcPr>
            <w:tcW w:w="6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3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25,302,709</w:t>
            </w:r>
          </w:p>
        </w:tc>
        <w:tc>
          <w:tcPr>
            <w:tcW w:w="60" w:type="dxa"/>
            <w:vAlign w:val="bottom"/>
            <w:shd w:val="clear" w:color="auto" w:fill="CFF0FC"/>
          </w:tcPr>
          <w:p>
            <w:pPr>
              <w:spacing w:after="0"/>
              <w:rPr>
                <w:sz w:val="11"/>
                <w:szCs w:val="11"/>
                <w:color w:val="auto"/>
              </w:rPr>
            </w:pPr>
          </w:p>
        </w:tc>
      </w:tr>
    </w:tbl>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8.1.</w:t>
      </w:r>
      <w:r>
        <w:rPr>
          <w:rFonts w:ascii="Times New Roman" w:cs="Times New Roman" w:eastAsia="Times New Roman" w:hAnsi="Times New Roman"/>
          <w:sz w:val="10"/>
          <w:szCs w:val="10"/>
          <w:color w:val="auto"/>
        </w:rPr>
        <w:t>Unsecured interest free loan taken from related party (DBLP Sea Cow Ltd) of $447,067 is repayable on demand. During the year ended December 31, 2023, the Company repaid $250,000 to DBLP Sea Cow Ltd. Additionally, DBLP Sea Cow Ltd is owed $191,405 for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amounts to be re-imbursed for expenses incurred on behalf of Rezolve at December 31, 2023, nil for 2022.</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180" w:firstLine="480"/>
        <w:spacing w:after="0" w:line="272" w:lineRule="auto"/>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w:t>
      </w:r>
    </w:p>
    <w:p>
      <w:pPr>
        <w:spacing w:after="0" w:line="236" w:lineRule="auto"/>
        <w:rPr>
          <w:sz w:val="20"/>
          <w:szCs w:val="20"/>
          <w:color w:val="auto"/>
        </w:rPr>
      </w:pPr>
      <w:r>
        <w:rPr>
          <w:rFonts w:ascii="Times New Roman" w:cs="Times New Roman" w:eastAsia="Times New Roman" w:hAnsi="Times New Roman"/>
          <w:sz w:val="10"/>
          <w:szCs w:val="10"/>
          <w:color w:val="auto"/>
        </w:rPr>
        <w:t>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2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0"/>
          <w:szCs w:val="10"/>
          <w:b w:val="1"/>
          <w:bCs w:val="1"/>
          <w:color w:val="auto"/>
        </w:rPr>
        <w:t>8.2.</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 -organization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4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0"/>
          <w:szCs w:val="10"/>
          <w:b w:val="1"/>
          <w:bCs w:val="1"/>
          <w:color w:val="auto"/>
        </w:rPr>
        <w:t>8.3.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104"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 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significant debt issuance costs and has expensed them as incurred.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6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0"/>
          <w:szCs w:val="10"/>
          <w:color w:val="auto"/>
        </w:rPr>
        <w:t>(1)Under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41" w:lineRule="exact"/>
        <w:rPr>
          <w:sz w:val="20"/>
          <w:szCs w:val="20"/>
          <w:color w:val="auto"/>
        </w:rPr>
      </w:pPr>
    </w:p>
    <w:p>
      <w:pPr>
        <w:ind w:left="700" w:right="32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May 23, 2023, and extension to the maturity date to at least December 31, 2024, the Company classified the Convertible debt as non-current as at December 31, 2022 under the guidance in ASC 470-10-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45-14.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108"/>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9"/>
                <w:szCs w:val="9"/>
                <w:color w:val="auto"/>
              </w:rPr>
            </w:pPr>
          </w:p>
        </w:tc>
        <w:tc>
          <w:tcPr>
            <w:tcW w:w="116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11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10"/>
                <w:szCs w:val="10"/>
                <w:color w:val="auto"/>
              </w:rPr>
            </w:pPr>
          </w:p>
        </w:tc>
        <w:tc>
          <w:tcPr>
            <w:tcW w:w="116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1100" w:type="dxa"/>
            <w:vAlign w:val="bottom"/>
          </w:tcPr>
          <w:p>
            <w:pPr>
              <w:spacing w:after="0"/>
              <w:rPr>
                <w:sz w:val="11"/>
                <w:szCs w:val="11"/>
                <w:color w:val="auto"/>
              </w:rPr>
            </w:pPr>
          </w:p>
        </w:tc>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r>
      <w:tr>
        <w:trPr>
          <w:trHeight w:val="127"/>
        </w:trPr>
        <w:tc>
          <w:tcPr>
            <w:tcW w:w="1100" w:type="dxa"/>
            <w:vAlign w:val="bottom"/>
          </w:tcPr>
          <w:p>
            <w:pPr>
              <w:spacing w:after="0"/>
              <w:rPr>
                <w:sz w:val="11"/>
                <w:szCs w:val="1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Principal amount of notes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0"/>
                <w:szCs w:val="10"/>
                <w:color w:val="auto"/>
              </w:rPr>
              <w:t>24,000,000</w:t>
            </w:r>
          </w:p>
        </w:tc>
      </w:tr>
      <w:tr>
        <w:trPr>
          <w:trHeight w:val="128"/>
        </w:trPr>
        <w:tc>
          <w:tcPr>
            <w:tcW w:w="1100" w:type="dxa"/>
            <w:vAlign w:val="bottom"/>
          </w:tcPr>
          <w:p>
            <w:pPr>
              <w:spacing w:after="0"/>
              <w:rPr>
                <w:sz w:val="11"/>
                <w:szCs w:val="11"/>
                <w:color w:val="auto"/>
              </w:rPr>
            </w:pPr>
          </w:p>
        </w:tc>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color w:val="auto"/>
              </w:rPr>
              <w:t>3,221,233</w:t>
            </w:r>
          </w:p>
        </w:tc>
      </w:tr>
      <w:tr>
        <w:trPr>
          <w:trHeight w:val="127"/>
        </w:trPr>
        <w:tc>
          <w:tcPr>
            <w:tcW w:w="1100" w:type="dxa"/>
            <w:vAlign w:val="bottom"/>
          </w:tcPr>
          <w:p>
            <w:pPr>
              <w:spacing w:after="0"/>
              <w:rPr>
                <w:sz w:val="11"/>
                <w:szCs w:val="1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Discount on convertible debt</w:t>
            </w:r>
          </w:p>
        </w:tc>
        <w:tc>
          <w:tcPr>
            <w:tcW w:w="280" w:type="dxa"/>
            <w:vAlign w:val="bottom"/>
          </w:tcPr>
          <w:p>
            <w:pPr>
              <w:spacing w:after="0"/>
              <w:rPr>
                <w:sz w:val="11"/>
                <w:szCs w:val="1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(1,918,524 )</w:t>
            </w:r>
          </w:p>
        </w:tc>
      </w:tr>
      <w:tr>
        <w:trPr>
          <w:trHeight w:val="128"/>
        </w:trPr>
        <w:tc>
          <w:tcPr>
            <w:tcW w:w="1100" w:type="dxa"/>
            <w:vAlign w:val="bottom"/>
          </w:tcPr>
          <w:p>
            <w:pPr>
              <w:spacing w:after="0"/>
              <w:rPr>
                <w:sz w:val="11"/>
                <w:szCs w:val="11"/>
                <w:color w:val="auto"/>
              </w:rPr>
            </w:pPr>
          </w:p>
        </w:tc>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r>
      <w:tr>
        <w:trPr>
          <w:trHeight w:val="127"/>
        </w:trPr>
        <w:tc>
          <w:tcPr>
            <w:tcW w:w="1100" w:type="dxa"/>
            <w:vAlign w:val="bottom"/>
          </w:tcPr>
          <w:p>
            <w:pPr>
              <w:spacing w:after="0"/>
              <w:rPr>
                <w:sz w:val="11"/>
                <w:szCs w:val="1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debt under troubled debt restructuring</w:t>
            </w:r>
          </w:p>
        </w:tc>
        <w:tc>
          <w:tcPr>
            <w:tcW w:w="280" w:type="dxa"/>
            <w:vAlign w:val="bottom"/>
          </w:tcPr>
          <w:p>
            <w:pPr>
              <w:spacing w:after="0"/>
              <w:rPr>
                <w:sz w:val="11"/>
                <w:szCs w:val="1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11"/>
                <w:szCs w:val="1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1100" w:type="dxa"/>
            <w:vAlign w:val="bottom"/>
          </w:tcPr>
          <w:p>
            <w:pPr>
              <w:spacing w:after="0"/>
              <w:rPr>
                <w:sz w:val="11"/>
                <w:szCs w:val="11"/>
                <w:color w:val="auto"/>
              </w:rPr>
            </w:pPr>
          </w:p>
        </w:tc>
        <w:tc>
          <w:tcPr>
            <w:tcW w:w="4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0"/>
                <w:szCs w:val="10"/>
                <w:b w:val="1"/>
                <w:bCs w:val="1"/>
                <w:color w:val="auto"/>
              </w:rPr>
              <w:t>31,220,528</w:t>
            </w:r>
          </w:p>
        </w:tc>
        <w:tc>
          <w:tcPr>
            <w:tcW w:w="2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25,302,709</w:t>
            </w:r>
          </w:p>
        </w:tc>
      </w:tr>
      <w:tr>
        <w:trPr>
          <w:trHeight w:val="261"/>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3"/>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8"/>
              </w:rPr>
              <w:t>The following table sets forth the interest expense recognized related to the senior secured convertible notes and unsecured convertible loans: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8"/>
        </w:trPr>
        <w:tc>
          <w:tcPr>
            <w:tcW w:w="11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22"/>
                <w:szCs w:val="22"/>
                <w:color w:val="auto"/>
              </w:rPr>
            </w:pPr>
          </w:p>
        </w:tc>
        <w:tc>
          <w:tcPr>
            <w:tcW w:w="116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11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10"/>
                <w:szCs w:val="10"/>
                <w:color w:val="auto"/>
              </w:rPr>
            </w:pPr>
          </w:p>
        </w:tc>
        <w:tc>
          <w:tcPr>
            <w:tcW w:w="116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1100" w:type="dxa"/>
            <w:vAlign w:val="bottom"/>
          </w:tcPr>
          <w:p>
            <w:pPr>
              <w:spacing w:after="0"/>
              <w:rPr>
                <w:sz w:val="11"/>
                <w:szCs w:val="11"/>
                <w:color w:val="auto"/>
              </w:rPr>
            </w:pPr>
          </w:p>
        </w:tc>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r>
      <w:tr>
        <w:trPr>
          <w:trHeight w:val="127"/>
        </w:trPr>
        <w:tc>
          <w:tcPr>
            <w:tcW w:w="1100" w:type="dxa"/>
            <w:vAlign w:val="bottom"/>
          </w:tcPr>
          <w:p>
            <w:pPr>
              <w:spacing w:after="0"/>
              <w:rPr>
                <w:sz w:val="11"/>
                <w:szCs w:val="1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7,269</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3,221,233</w:t>
            </w:r>
          </w:p>
        </w:tc>
      </w:tr>
      <w:tr>
        <w:trPr>
          <w:trHeight w:val="128"/>
        </w:trPr>
        <w:tc>
          <w:tcPr>
            <w:tcW w:w="1100" w:type="dxa"/>
            <w:vAlign w:val="bottom"/>
          </w:tcPr>
          <w:p>
            <w:pPr>
              <w:spacing w:after="0"/>
              <w:rPr>
                <w:sz w:val="11"/>
                <w:szCs w:val="11"/>
                <w:color w:val="auto"/>
              </w:rPr>
            </w:pPr>
          </w:p>
        </w:tc>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Amortization of debt discount</w:t>
            </w:r>
          </w:p>
        </w:tc>
        <w:tc>
          <w:tcPr>
            <w:tcW w:w="2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color w:val="auto"/>
              </w:rPr>
              <w:t>163,976</w:t>
            </w:r>
          </w:p>
        </w:tc>
      </w:tr>
      <w:tr>
        <w:trPr>
          <w:trHeight w:val="127"/>
        </w:trPr>
        <w:tc>
          <w:tcPr>
            <w:tcW w:w="11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b w:val="1"/>
                <w:bCs w:val="1"/>
                <w:color w:val="auto"/>
              </w:rPr>
              <w:t>7,269</w:t>
            </w:r>
          </w:p>
        </w:tc>
        <w:tc>
          <w:tcPr>
            <w:tcW w:w="280" w:type="dxa"/>
            <w:vAlign w:val="bottom"/>
          </w:tcPr>
          <w:p>
            <w:pPr>
              <w:spacing w:after="0"/>
              <w:rPr>
                <w:sz w:val="11"/>
                <w:szCs w:val="1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0"/>
                <w:szCs w:val="10"/>
                <w:b w:val="1"/>
                <w:bCs w:val="1"/>
                <w:color w:val="auto"/>
              </w:rPr>
              <w:t>3,385,209</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8.4.</w:t>
      </w:r>
      <w:r>
        <w:rPr>
          <w:rFonts w:ascii="Times New Roman" w:cs="Times New Roman" w:eastAsia="Times New Roman" w:hAnsi="Times New Roman"/>
          <w:sz w:val="10"/>
          <w:szCs w:val="10"/>
          <w:color w:val="auto"/>
        </w:rPr>
        <w:t>A Short term convertible debt to a related party of $132,269 was also added to the Company’s senior secured convertible note. Including $125,000 of convertible debt and $7,269 of interest.</w:t>
      </w:r>
    </w:p>
    <w:p>
      <w:pPr>
        <w:spacing w:after="0" w:line="6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0"/>
          <w:szCs w:val="10"/>
          <w:b w:val="1"/>
          <w:bCs w:val="1"/>
          <w:color w:val="auto"/>
        </w:rPr>
        <w:t>8.5.</w:t>
      </w:r>
      <w:r>
        <w:rPr>
          <w:rFonts w:ascii="Times New Roman" w:cs="Times New Roman" w:eastAsia="Times New Roman" w:hAnsi="Times New Roman"/>
          <w:sz w:val="10"/>
          <w:szCs w:val="10"/>
          <w:color w:val="auto"/>
        </w:rPr>
        <w:t>On October 7, 2021, the Group acquired Jaymax International Service Inc. (“Jaymax”) (later renamed to “Rezolve Taiwan Limited”). As part of the acquisition of Jaymax, the Company agreed to issue $1,400,000 in Rezolve ordinary share to Jaymax’s former owner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9.Warrants</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 -Scholes Merton option pricing model and determined the fair value of the Warrants to be $ 1.20 per unit. The key inputs to the valuation model included an average volatility of 61.9% based on a group of similar companies, a risk- 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10.Ordinary shares issued at nominal value in lieu of services</w:t>
      </w:r>
    </w:p>
    <w:p>
      <w:pPr>
        <w:spacing w:after="0" w:line="60"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9"/>
          <w:szCs w:val="9"/>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92" w:lineRule="exact"/>
        <w:rPr>
          <w:sz w:val="20"/>
          <w:szCs w:val="20"/>
          <w:color w:val="auto"/>
        </w:rPr>
      </w:pPr>
    </w:p>
    <w:p>
      <w:pPr>
        <w:ind w:firstLine="480"/>
        <w:spacing w:after="0" w:line="272" w:lineRule="auto"/>
        <w:rPr>
          <w:sz w:val="20"/>
          <w:szCs w:val="20"/>
          <w:color w:val="auto"/>
        </w:rPr>
      </w:pPr>
      <w:r>
        <w:rPr>
          <w:rFonts w:ascii="Times New Roman" w:cs="Times New Roman" w:eastAsia="Times New Roman" w:hAnsi="Times New Roman"/>
          <w:sz w:val="9"/>
          <w:szCs w:val="9"/>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w:t>
      </w:r>
    </w:p>
    <w:p>
      <w:pPr>
        <w:spacing w:after="0" w:line="237" w:lineRule="auto"/>
        <w:rPr>
          <w:sz w:val="20"/>
          <w:szCs w:val="20"/>
          <w:color w:val="auto"/>
        </w:rPr>
      </w:pPr>
      <w:r>
        <w:rPr>
          <w:rFonts w:ascii="Times New Roman" w:cs="Times New Roman" w:eastAsia="Times New Roman" w:hAnsi="Times New Roman"/>
          <w:sz w:val="10"/>
          <w:szCs w:val="10"/>
          <w:color w:val="auto"/>
        </w:rPr>
        <w:t>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11.Share-based Compensation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11.1 2022 LTIP Plan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In November 2022, the Company’s Board approved the 2022 Long-Term Incentive Plan (the “2022 LTIP”) .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31" w:lineRule="exact"/>
        <w:rPr>
          <w:sz w:val="20"/>
          <w:szCs w:val="20"/>
          <w:color w:val="auto"/>
        </w:rPr>
      </w:pPr>
    </w:p>
    <w:tbl>
      <w:tblPr>
        <w:tblLayout w:type="fixed"/>
        <w:tblInd w:w="2120" w:type="dxa"/>
        <w:tblCellMar>
          <w:top w:w="0" w:type="dxa"/>
          <w:left w:w="0" w:type="dxa"/>
          <w:bottom w:w="0" w:type="dxa"/>
          <w:right w:w="0" w:type="dxa"/>
        </w:tblCellMar>
      </w:tblPr>
      <w:tr>
        <w:trPr>
          <w:trHeight w:val="111"/>
        </w:trPr>
        <w:tc>
          <w:tcPr>
            <w:tcW w:w="3260" w:type="dxa"/>
            <w:vAlign w:val="bottom"/>
          </w:tcPr>
          <w:p>
            <w:pPr>
              <w:spacing w:after="0"/>
              <w:rPr>
                <w:sz w:val="9"/>
                <w:szCs w:val="9"/>
                <w:color w:val="auto"/>
              </w:rPr>
            </w:pPr>
          </w:p>
        </w:tc>
        <w:tc>
          <w:tcPr>
            <w:tcW w:w="3120" w:type="dxa"/>
            <w:vAlign w:val="bottom"/>
          </w:tcPr>
          <w:p>
            <w:pPr>
              <w:jc w:val="right"/>
              <w:ind w:right="653"/>
              <w:spacing w:after="0"/>
              <w:rPr>
                <w:sz w:val="20"/>
                <w:szCs w:val="20"/>
                <w:color w:val="auto"/>
              </w:rPr>
            </w:pPr>
            <w:r>
              <w:rPr>
                <w:rFonts w:ascii="Times New Roman" w:cs="Times New Roman" w:eastAsia="Times New Roman" w:hAnsi="Times New Roman"/>
                <w:sz w:val="8"/>
                <w:szCs w:val="8"/>
                <w:b w:val="1"/>
                <w:bCs w:val="1"/>
                <w:color w:val="auto"/>
              </w:rPr>
              <w:t>2022</w:t>
            </w:r>
          </w:p>
        </w:tc>
        <w:tc>
          <w:tcPr>
            <w:tcW w:w="20" w:type="dxa"/>
            <w:vAlign w:val="bottom"/>
          </w:tcPr>
          <w:p>
            <w:pPr>
              <w:spacing w:after="0"/>
              <w:rPr>
                <w:sz w:val="9"/>
                <w:szCs w:val="9"/>
                <w:color w:val="auto"/>
              </w:rPr>
            </w:pPr>
          </w:p>
        </w:tc>
      </w:tr>
      <w:tr>
        <w:trPr>
          <w:trHeight w:val="131"/>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Expected term—years (1)</w:t>
            </w:r>
          </w:p>
        </w:tc>
        <w:tc>
          <w:tcPr>
            <w:tcW w:w="3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2.5 – 5.1</w:t>
            </w:r>
          </w:p>
        </w:tc>
        <w:tc>
          <w:tcPr>
            <w:tcW w:w="20" w:type="dxa"/>
            <w:vAlign w:val="bottom"/>
          </w:tcPr>
          <w:p>
            <w:pPr>
              <w:spacing w:after="0"/>
              <w:rPr>
                <w:sz w:val="11"/>
                <w:szCs w:val="11"/>
                <w:color w:val="auto"/>
              </w:rPr>
            </w:pPr>
          </w:p>
        </w:tc>
      </w:tr>
      <w:tr>
        <w:trPr>
          <w:trHeight w:val="127"/>
        </w:trPr>
        <w:tc>
          <w:tcPr>
            <w:tcW w:w="3260" w:type="dxa"/>
            <w:vAlign w:val="bottom"/>
          </w:tcPr>
          <w:p>
            <w:pPr>
              <w:spacing w:after="0"/>
              <w:rPr>
                <w:sz w:val="20"/>
                <w:szCs w:val="20"/>
                <w:color w:val="auto"/>
              </w:rPr>
            </w:pPr>
            <w:r>
              <w:rPr>
                <w:rFonts w:ascii="Times New Roman" w:cs="Times New Roman" w:eastAsia="Times New Roman" w:hAnsi="Times New Roman"/>
                <w:sz w:val="10"/>
                <w:szCs w:val="10"/>
                <w:color w:val="auto"/>
              </w:rPr>
              <w:t>Current share value</w:t>
            </w:r>
          </w:p>
        </w:tc>
        <w:tc>
          <w:tcPr>
            <w:tcW w:w="312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1.23</w:t>
            </w:r>
          </w:p>
        </w:tc>
        <w:tc>
          <w:tcPr>
            <w:tcW w:w="20" w:type="dxa"/>
            <w:vAlign w:val="bottom"/>
          </w:tcPr>
          <w:p>
            <w:pPr>
              <w:spacing w:after="0"/>
              <w:rPr>
                <w:sz w:val="11"/>
                <w:szCs w:val="11"/>
                <w:color w:val="auto"/>
              </w:rPr>
            </w:pPr>
          </w:p>
        </w:tc>
      </w:tr>
      <w:tr>
        <w:trPr>
          <w:trHeight w:val="128"/>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Expected volatility (2)</w:t>
            </w:r>
          </w:p>
        </w:tc>
        <w:tc>
          <w:tcPr>
            <w:tcW w:w="3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59.6% - 63.5%</w:t>
            </w:r>
          </w:p>
        </w:tc>
        <w:tc>
          <w:tcPr>
            <w:tcW w:w="20" w:type="dxa"/>
            <w:vAlign w:val="bottom"/>
          </w:tcPr>
          <w:p>
            <w:pPr>
              <w:spacing w:after="0"/>
              <w:rPr>
                <w:sz w:val="11"/>
                <w:szCs w:val="11"/>
                <w:color w:val="auto"/>
              </w:rPr>
            </w:pPr>
          </w:p>
        </w:tc>
      </w:tr>
      <w:tr>
        <w:trPr>
          <w:trHeight w:val="126"/>
        </w:trPr>
        <w:tc>
          <w:tcPr>
            <w:tcW w:w="3260" w:type="dxa"/>
            <w:vAlign w:val="bottom"/>
          </w:tcPr>
          <w:p>
            <w:pPr>
              <w:spacing w:after="0"/>
              <w:rPr>
                <w:sz w:val="20"/>
                <w:szCs w:val="20"/>
                <w:color w:val="auto"/>
              </w:rPr>
            </w:pPr>
            <w:r>
              <w:rPr>
                <w:rFonts w:ascii="Times New Roman" w:cs="Times New Roman" w:eastAsia="Times New Roman" w:hAnsi="Times New Roman"/>
                <w:sz w:val="10"/>
                <w:szCs w:val="10"/>
                <w:color w:val="auto"/>
              </w:rPr>
              <w:t>Risk-free interest rate (3)</w:t>
            </w:r>
          </w:p>
        </w:tc>
        <w:tc>
          <w:tcPr>
            <w:tcW w:w="312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3.8% - 4.2%</w:t>
            </w:r>
          </w:p>
        </w:tc>
        <w:tc>
          <w:tcPr>
            <w:tcW w:w="20" w:type="dxa"/>
            <w:vAlign w:val="bottom"/>
          </w:tcPr>
          <w:p>
            <w:pPr>
              <w:spacing w:after="0"/>
              <w:rPr>
                <w:sz w:val="10"/>
                <w:szCs w:val="10"/>
                <w:color w:val="auto"/>
              </w:rPr>
            </w:pPr>
          </w:p>
        </w:tc>
      </w:tr>
      <w:tr>
        <w:trPr>
          <w:trHeight w:val="128"/>
        </w:trPr>
        <w:tc>
          <w:tcPr>
            <w:tcW w:w="3260" w:type="dxa"/>
            <w:vAlign w:val="bottom"/>
          </w:tcPr>
          <w:p>
            <w:pPr>
              <w:spacing w:after="0"/>
              <w:rPr>
                <w:sz w:val="20"/>
                <w:szCs w:val="20"/>
                <w:color w:val="auto"/>
              </w:rPr>
            </w:pPr>
            <w:r>
              <w:rPr>
                <w:rFonts w:ascii="Times New Roman" w:cs="Times New Roman" w:eastAsia="Times New Roman" w:hAnsi="Times New Roman"/>
                <w:sz w:val="10"/>
                <w:szCs w:val="10"/>
                <w:color w:val="auto"/>
              </w:rPr>
              <w:t>Dividend yield (4)</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-79375</wp:posOffset>
            </wp:positionV>
            <wp:extent cx="4048125" cy="812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048125" cy="81280"/>
                    </a:xfrm>
                    <a:prstGeom prst="rect">
                      <a:avLst/>
                    </a:prstGeom>
                    <a:noFill/>
                  </pic:spPr>
                </pic:pic>
              </a:graphicData>
            </a:graphic>
          </wp:anchor>
        </w:drawing>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2022 was as follows:</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4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20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4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20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Value (In</w:t>
            </w:r>
          </w:p>
        </w:tc>
      </w:tr>
      <w:tr>
        <w:trPr>
          <w:trHeight w:val="111"/>
        </w:trPr>
        <w:tc>
          <w:tcPr>
            <w:tcW w:w="484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6"/>
              </w:rPr>
              <w:t>options</w:t>
            </w:r>
          </w:p>
        </w:tc>
        <w:tc>
          <w:tcPr>
            <w:tcW w:w="20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31"/>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Outstanding as of December 31, 2021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ind w:right="959"/>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4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15,750,000</w:t>
            </w:r>
          </w:p>
        </w:tc>
        <w:tc>
          <w:tcPr>
            <w:tcW w:w="960" w:type="dxa"/>
            <w:vAlign w:val="bottom"/>
            <w:gridSpan w:val="2"/>
          </w:tcPr>
          <w:p>
            <w:pPr>
              <w:jc w:val="right"/>
              <w:ind w:right="656"/>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0.0001</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ind w:right="959"/>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4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jc w:val="right"/>
              <w:ind w:right="959"/>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15,750,000</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0.0001</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shd w:val="clear" w:color="auto" w:fill="CFF0FC"/>
          </w:tcPr>
          <w:p>
            <w:pPr>
              <w:spacing w:after="0"/>
              <w:rPr>
                <w:sz w:val="11"/>
                <w:szCs w:val="11"/>
                <w:color w:val="auto"/>
              </w:rPr>
            </w:pPr>
          </w:p>
        </w:tc>
      </w:tr>
      <w:tr>
        <w:trPr>
          <w:trHeight w:val="23"/>
        </w:trPr>
        <w:tc>
          <w:tcPr>
            <w:tcW w:w="48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7"/>
        </w:trPr>
        <w:tc>
          <w:tcPr>
            <w:tcW w:w="4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5,700,000</w:t>
            </w:r>
          </w:p>
        </w:tc>
        <w:tc>
          <w:tcPr>
            <w:tcW w:w="200" w:type="dxa"/>
            <w:vAlign w:val="bottom"/>
          </w:tcPr>
          <w:p>
            <w:pPr>
              <w:spacing w:after="0"/>
              <w:rPr>
                <w:sz w:val="11"/>
                <w:szCs w:val="11"/>
                <w:color w:val="auto"/>
              </w:rPr>
            </w:pPr>
          </w:p>
        </w:tc>
        <w:tc>
          <w:tcPr>
            <w:tcW w:w="760" w:type="dxa"/>
            <w:vAlign w:val="bottom"/>
          </w:tcPr>
          <w:p>
            <w:pPr>
              <w:jc w:val="right"/>
              <w:ind w:right="656"/>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0.0001</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7.0</w:t>
            </w:r>
          </w:p>
        </w:tc>
        <w:tc>
          <w:tcPr>
            <w:tcW w:w="100" w:type="dxa"/>
            <w:vAlign w:val="bottom"/>
          </w:tcPr>
          <w:p>
            <w:pPr>
              <w:spacing w:after="0"/>
              <w:rPr>
                <w:sz w:val="11"/>
                <w:szCs w:val="11"/>
                <w:color w:val="auto"/>
              </w:rPr>
            </w:pPr>
          </w:p>
        </w:tc>
      </w:tr>
      <w:tr>
        <w:trPr>
          <w:trHeight w:val="12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15,750,000</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0.0001</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shd w:val="clear" w:color="auto" w:fill="CFF0FC"/>
          </w:tcPr>
          <w:p>
            <w:pPr>
              <w:spacing w:after="0"/>
              <w:rPr>
                <w:sz w:val="11"/>
                <w:szCs w:val="11"/>
                <w:color w:val="auto"/>
              </w:rPr>
            </w:pPr>
          </w:p>
        </w:tc>
      </w:tr>
      <w:tr>
        <w:trPr>
          <w:trHeight w:val="23"/>
        </w:trPr>
        <w:tc>
          <w:tcPr>
            <w:tcW w:w="48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2022 was $1.20. The total fair value of the options that vested during the year ended December 31, 2022 was $6,982,500.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the Company had $11.6 million of unrecognized share-based compensation expense related to share options. This cost is expected to be recognized over a weighted-average period of 15 months.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11.3 2023 LTIP Plan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2023 LTIP also amends the 2022 LTIP (issued in November 2022) to:</w:t>
      </w:r>
    </w:p>
    <w:p>
      <w:pPr>
        <w:spacing w:after="0" w:line="58" w:lineRule="exact"/>
        <w:rPr>
          <w:sz w:val="20"/>
          <w:szCs w:val="20"/>
          <w:color w:val="auto"/>
        </w:rPr>
      </w:pPr>
    </w:p>
    <w:p>
      <w:pPr>
        <w:ind w:left="5220" w:right="1920" w:hanging="4743"/>
        <w:spacing w:after="0" w:line="380" w:lineRule="auto"/>
        <w:rPr>
          <w:sz w:val="20"/>
          <w:szCs w:val="20"/>
          <w:color w:val="auto"/>
        </w:rPr>
      </w:pPr>
      <w:r>
        <w:rPr>
          <w:rFonts w:ascii="Times New Roman" w:cs="Times New Roman" w:eastAsia="Times New Roman" w:hAnsi="Times New Roman"/>
          <w:sz w:val="10"/>
          <w:szCs w:val="10"/>
          <w:color w:val="auto"/>
        </w:rPr>
        <w:t>•Amend any who grantees whose requisite service period completes in the year 2024 to complete in the month of September 2024, and therefore consolidate the end vesting date to the month of September, and 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right="4660"/>
        <w:spacing w:after="0" w:line="380" w:lineRule="auto"/>
        <w:rPr>
          <w:sz w:val="20"/>
          <w:szCs w:val="20"/>
          <w:color w:val="auto"/>
        </w:rPr>
      </w:pPr>
      <w:r>
        <w:rPr>
          <w:rFonts w:ascii="Times New Roman" w:cs="Times New Roman" w:eastAsia="Times New Roman" w:hAnsi="Times New Roman"/>
          <w:sz w:val="10"/>
          <w:szCs w:val="10"/>
          <w:color w:val="auto"/>
        </w:rPr>
        <w:t>•Those whose share options whose requisite service period was meant to complete in 2025 and 2026, vest in September of those years, and •Amend the vesting profile from a cliff vesting to a graded vesting.</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2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44" w:lineRule="exact"/>
        <w:rPr>
          <w:sz w:val="20"/>
          <w:szCs w:val="20"/>
          <w:color w:val="auto"/>
        </w:rPr>
      </w:pPr>
    </w:p>
    <w:tbl>
      <w:tblPr>
        <w:tblLayout w:type="fixed"/>
        <w:tblInd w:w="2120" w:type="dxa"/>
        <w:tblCellMar>
          <w:top w:w="0" w:type="dxa"/>
          <w:left w:w="0" w:type="dxa"/>
          <w:bottom w:w="0" w:type="dxa"/>
          <w:right w:w="0" w:type="dxa"/>
        </w:tblCellMar>
      </w:tblPr>
      <w:tr>
        <w:trPr>
          <w:trHeight w:val="111"/>
        </w:trPr>
        <w:tc>
          <w:tcPr>
            <w:tcW w:w="2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60" w:type="dxa"/>
            <w:vAlign w:val="bottom"/>
          </w:tcPr>
          <w:p>
            <w:pPr>
              <w:jc w:val="right"/>
              <w:ind w:right="653"/>
              <w:spacing w:after="0"/>
              <w:rPr>
                <w:sz w:val="20"/>
                <w:szCs w:val="20"/>
                <w:color w:val="auto"/>
              </w:rPr>
            </w:pPr>
            <w:r>
              <w:rPr>
                <w:rFonts w:ascii="Times New Roman" w:cs="Times New Roman" w:eastAsia="Times New Roman" w:hAnsi="Times New Roman"/>
                <w:sz w:val="8"/>
                <w:szCs w:val="8"/>
                <w:b w:val="1"/>
                <w:bCs w:val="1"/>
                <w:color w:val="auto"/>
              </w:rPr>
              <w:t>2023</w:t>
            </w:r>
          </w:p>
        </w:tc>
        <w:tc>
          <w:tcPr>
            <w:tcW w:w="20" w:type="dxa"/>
            <w:vAlign w:val="bottom"/>
          </w:tcPr>
          <w:p>
            <w:pPr>
              <w:spacing w:after="0"/>
              <w:rPr>
                <w:sz w:val="9"/>
                <w:szCs w:val="9"/>
                <w:color w:val="auto"/>
              </w:rPr>
            </w:pPr>
          </w:p>
        </w:tc>
      </w:tr>
      <w:tr>
        <w:trPr>
          <w:trHeight w:val="13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Expected term—years (1)</w:t>
            </w:r>
          </w:p>
        </w:tc>
        <w:tc>
          <w:tcPr>
            <w:tcW w:w="22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1 – 5.1</w:t>
            </w:r>
          </w:p>
        </w:tc>
        <w:tc>
          <w:tcPr>
            <w:tcW w:w="20" w:type="dxa"/>
            <w:vAlign w:val="bottom"/>
          </w:tcPr>
          <w:p>
            <w:pPr>
              <w:spacing w:after="0"/>
              <w:rPr>
                <w:sz w:val="11"/>
                <w:szCs w:val="11"/>
                <w:color w:val="auto"/>
              </w:rPr>
            </w:pPr>
          </w:p>
        </w:tc>
      </w:tr>
      <w:tr>
        <w:trPr>
          <w:trHeight w:val="127"/>
        </w:trPr>
        <w:tc>
          <w:tcPr>
            <w:tcW w:w="2940" w:type="dxa"/>
            <w:vAlign w:val="bottom"/>
          </w:tcPr>
          <w:p>
            <w:pPr>
              <w:spacing w:after="0"/>
              <w:rPr>
                <w:sz w:val="20"/>
                <w:szCs w:val="20"/>
                <w:color w:val="auto"/>
              </w:rPr>
            </w:pPr>
            <w:r>
              <w:rPr>
                <w:rFonts w:ascii="Times New Roman" w:cs="Times New Roman" w:eastAsia="Times New Roman" w:hAnsi="Times New Roman"/>
                <w:sz w:val="10"/>
                <w:szCs w:val="10"/>
                <w:color w:val="auto"/>
              </w:rPr>
              <w:t>Current share value</w:t>
            </w:r>
          </w:p>
        </w:tc>
        <w:tc>
          <w:tcPr>
            <w:tcW w:w="228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0.10</w:t>
            </w:r>
          </w:p>
        </w:tc>
        <w:tc>
          <w:tcPr>
            <w:tcW w:w="20" w:type="dxa"/>
            <w:vAlign w:val="bottom"/>
          </w:tcPr>
          <w:p>
            <w:pPr>
              <w:spacing w:after="0"/>
              <w:rPr>
                <w:sz w:val="11"/>
                <w:szCs w:val="11"/>
                <w:color w:val="auto"/>
              </w:rPr>
            </w:pPr>
          </w:p>
        </w:tc>
      </w:tr>
      <w:tr>
        <w:trPr>
          <w:trHeight w:val="128"/>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Expected volatility (2)</w:t>
            </w:r>
          </w:p>
        </w:tc>
        <w:tc>
          <w:tcPr>
            <w:tcW w:w="22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59.6% - 63.5%</w:t>
            </w:r>
          </w:p>
        </w:tc>
        <w:tc>
          <w:tcPr>
            <w:tcW w:w="20" w:type="dxa"/>
            <w:vAlign w:val="bottom"/>
          </w:tcPr>
          <w:p>
            <w:pPr>
              <w:spacing w:after="0"/>
              <w:rPr>
                <w:sz w:val="11"/>
                <w:szCs w:val="11"/>
                <w:color w:val="auto"/>
              </w:rPr>
            </w:pPr>
          </w:p>
        </w:tc>
      </w:tr>
      <w:tr>
        <w:trPr>
          <w:trHeight w:val="126"/>
        </w:trPr>
        <w:tc>
          <w:tcPr>
            <w:tcW w:w="2940" w:type="dxa"/>
            <w:vAlign w:val="bottom"/>
          </w:tcPr>
          <w:p>
            <w:pPr>
              <w:spacing w:after="0"/>
              <w:rPr>
                <w:sz w:val="20"/>
                <w:szCs w:val="20"/>
                <w:color w:val="auto"/>
              </w:rPr>
            </w:pPr>
            <w:r>
              <w:rPr>
                <w:rFonts w:ascii="Times New Roman" w:cs="Times New Roman" w:eastAsia="Times New Roman" w:hAnsi="Times New Roman"/>
                <w:sz w:val="10"/>
                <w:szCs w:val="10"/>
                <w:color w:val="auto"/>
              </w:rPr>
              <w:t>Risk-free interest rate (3)</w:t>
            </w:r>
          </w:p>
        </w:tc>
        <w:tc>
          <w:tcPr>
            <w:tcW w:w="2280" w:type="dxa"/>
            <w:vAlign w:val="bottom"/>
          </w:tcPr>
          <w:p>
            <w:pPr>
              <w:spacing w:after="0"/>
              <w:rPr>
                <w:sz w:val="10"/>
                <w:szCs w:val="1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3.8% - 4.2%</w:t>
            </w:r>
          </w:p>
        </w:tc>
        <w:tc>
          <w:tcPr>
            <w:tcW w:w="20" w:type="dxa"/>
            <w:vAlign w:val="bottom"/>
          </w:tcPr>
          <w:p>
            <w:pPr>
              <w:spacing w:after="0"/>
              <w:rPr>
                <w:sz w:val="10"/>
                <w:szCs w:val="10"/>
                <w:color w:val="auto"/>
              </w:rPr>
            </w:pPr>
          </w:p>
        </w:tc>
      </w:tr>
      <w:tr>
        <w:trPr>
          <w:trHeight w:val="128"/>
        </w:trPr>
        <w:tc>
          <w:tcPr>
            <w:tcW w:w="2940" w:type="dxa"/>
            <w:vAlign w:val="bottom"/>
          </w:tcPr>
          <w:p>
            <w:pPr>
              <w:spacing w:after="0"/>
              <w:rPr>
                <w:sz w:val="20"/>
                <w:szCs w:val="20"/>
                <w:color w:val="auto"/>
              </w:rPr>
            </w:pPr>
            <w:r>
              <w:rPr>
                <w:rFonts w:ascii="Times New Roman" w:cs="Times New Roman" w:eastAsia="Times New Roman" w:hAnsi="Times New Roman"/>
                <w:sz w:val="10"/>
                <w:szCs w:val="10"/>
                <w:color w:val="auto"/>
              </w:rPr>
              <w:t>Dividend yield (4)</w:t>
            </w:r>
          </w:p>
        </w:tc>
        <w:tc>
          <w:tcPr>
            <w:tcW w:w="228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-79375</wp:posOffset>
            </wp:positionV>
            <wp:extent cx="4048125" cy="812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048125" cy="81280"/>
                    </a:xfrm>
                    <a:prstGeom prst="rect">
                      <a:avLst/>
                    </a:prstGeom>
                    <a:noFill/>
                  </pic:spPr>
                </pic:pic>
              </a:graphicData>
            </a:graphic>
          </wp:anchor>
        </w:drawing>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2023 was as follows:</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4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20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4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20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Value (In</w:t>
            </w:r>
          </w:p>
        </w:tc>
      </w:tr>
      <w:tr>
        <w:trPr>
          <w:trHeight w:val="111"/>
        </w:trPr>
        <w:tc>
          <w:tcPr>
            <w:tcW w:w="484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6"/>
              </w:rPr>
              <w:t>options</w:t>
            </w:r>
          </w:p>
        </w:tc>
        <w:tc>
          <w:tcPr>
            <w:tcW w:w="20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31"/>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15,750,000</w:t>
            </w:r>
          </w:p>
        </w:tc>
        <w:tc>
          <w:tcPr>
            <w:tcW w:w="960" w:type="dxa"/>
            <w:vAlign w:val="bottom"/>
            <w:gridSpan w:val="2"/>
            <w:shd w:val="clear" w:color="auto" w:fill="CFF0FC"/>
          </w:tcPr>
          <w:p>
            <w:pPr>
              <w:jc w:val="right"/>
              <w:ind w:right="656"/>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0.0001</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shd w:val="clear" w:color="auto" w:fill="CFF0FC"/>
          </w:tcPr>
          <w:p>
            <w:pPr>
              <w:spacing w:after="0"/>
              <w:rPr>
                <w:sz w:val="11"/>
                <w:szCs w:val="11"/>
                <w:color w:val="auto"/>
              </w:rPr>
            </w:pPr>
          </w:p>
        </w:tc>
      </w:tr>
      <w:tr>
        <w:trPr>
          <w:trHeight w:val="127"/>
        </w:trPr>
        <w:tc>
          <w:tcPr>
            <w:tcW w:w="4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49,305,537</w:t>
            </w:r>
          </w:p>
        </w:tc>
        <w:tc>
          <w:tcPr>
            <w:tcW w:w="960" w:type="dxa"/>
            <w:vAlign w:val="bottom"/>
            <w:gridSpan w:val="2"/>
          </w:tcPr>
          <w:p>
            <w:pPr>
              <w:jc w:val="right"/>
              <w:ind w:right="656"/>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0.0001</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w:t>
            </w:r>
          </w:p>
        </w:tc>
        <w:tc>
          <w:tcPr>
            <w:tcW w:w="100" w:type="dxa"/>
            <w:vAlign w:val="bottom"/>
          </w:tcPr>
          <w:p>
            <w:pPr>
              <w:spacing w:after="0"/>
              <w:rPr>
                <w:sz w:val="11"/>
                <w:szCs w:val="11"/>
                <w:color w:val="auto"/>
              </w:rPr>
            </w:pPr>
          </w:p>
        </w:tc>
      </w:tr>
      <w:tr>
        <w:trPr>
          <w:trHeight w:val="12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ind w:right="959"/>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4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jc w:val="right"/>
              <w:ind w:right="959"/>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Outstanding as of December 31,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65,055,537</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0.0001</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shd w:val="clear" w:color="auto" w:fill="CFF0FC"/>
          </w:tcPr>
          <w:p>
            <w:pPr>
              <w:spacing w:after="0"/>
              <w:rPr>
                <w:sz w:val="11"/>
                <w:szCs w:val="11"/>
                <w:color w:val="auto"/>
              </w:rPr>
            </w:pPr>
          </w:p>
        </w:tc>
      </w:tr>
      <w:tr>
        <w:trPr>
          <w:trHeight w:val="23"/>
        </w:trPr>
        <w:tc>
          <w:tcPr>
            <w:tcW w:w="48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7"/>
        </w:trPr>
        <w:tc>
          <w:tcPr>
            <w:tcW w:w="4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11,600,000</w:t>
            </w:r>
          </w:p>
        </w:tc>
        <w:tc>
          <w:tcPr>
            <w:tcW w:w="200" w:type="dxa"/>
            <w:vAlign w:val="bottom"/>
          </w:tcPr>
          <w:p>
            <w:pPr>
              <w:spacing w:after="0"/>
              <w:rPr>
                <w:sz w:val="11"/>
                <w:szCs w:val="11"/>
                <w:color w:val="auto"/>
              </w:rPr>
            </w:pPr>
          </w:p>
        </w:tc>
        <w:tc>
          <w:tcPr>
            <w:tcW w:w="760" w:type="dxa"/>
            <w:vAlign w:val="bottom"/>
          </w:tcPr>
          <w:p>
            <w:pPr>
              <w:jc w:val="right"/>
              <w:ind w:right="656"/>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0.0001</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13.9</w:t>
            </w:r>
          </w:p>
        </w:tc>
        <w:tc>
          <w:tcPr>
            <w:tcW w:w="100" w:type="dxa"/>
            <w:vAlign w:val="bottom"/>
          </w:tcPr>
          <w:p>
            <w:pPr>
              <w:spacing w:after="0"/>
              <w:rPr>
                <w:sz w:val="11"/>
                <w:szCs w:val="11"/>
                <w:color w:val="auto"/>
              </w:rPr>
            </w:pPr>
          </w:p>
        </w:tc>
      </w:tr>
      <w:tr>
        <w:trPr>
          <w:trHeight w:val="12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65,055,537</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0.0001</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shd w:val="clear" w:color="auto" w:fill="CFF0FC"/>
          </w:tcPr>
          <w:p>
            <w:pPr>
              <w:spacing w:after="0"/>
              <w:rPr>
                <w:sz w:val="11"/>
                <w:szCs w:val="11"/>
                <w:color w:val="auto"/>
              </w:rPr>
            </w:pPr>
          </w:p>
        </w:tc>
      </w:tr>
      <w:tr>
        <w:trPr>
          <w:trHeight w:val="23"/>
        </w:trPr>
        <w:tc>
          <w:tcPr>
            <w:tcW w:w="48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2023 was $.10. The total fair value of the options that vested during the year ended December 31, 2022 was $8,725,218.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2023.</w:t>
      </w:r>
    </w:p>
    <w:p>
      <w:pPr>
        <w:spacing w:after="0" w:line="118" w:lineRule="exact"/>
        <w:rPr>
          <w:sz w:val="20"/>
          <w:szCs w:val="20"/>
          <w:color w:val="auto"/>
        </w:rPr>
      </w:pPr>
    </w:p>
    <w:p>
      <w:pPr>
        <w:ind w:left="5220" w:right="1520" w:hanging="4743"/>
        <w:spacing w:after="0" w:line="380" w:lineRule="auto"/>
        <w:rPr>
          <w:sz w:val="20"/>
          <w:szCs w:val="20"/>
          <w:color w:val="auto"/>
        </w:rPr>
      </w:pPr>
      <w:r>
        <w:rPr>
          <w:rFonts w:ascii="Times New Roman" w:cs="Times New Roman" w:eastAsia="Times New Roman" w:hAnsi="Times New Roman"/>
          <w:sz w:val="10"/>
          <w:szCs w:val="10"/>
          <w:color w:val="auto"/>
        </w:rPr>
        <w:t>As of December 31, 2023, the Company had $7.0 million of unrecognized share-based compensation expense related to share options. This cost is expected to be recognized over a weighted-average period of 19 months. 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12.Accrued expenses and other payables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9"/>
                <w:szCs w:val="9"/>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10"/>
                <w:szCs w:val="10"/>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10"/>
                <w:szCs w:val="10"/>
                <w:color w:val="auto"/>
              </w:rPr>
            </w:pPr>
          </w:p>
        </w:tc>
      </w:tr>
      <w:tr>
        <w:trPr>
          <w:trHeight w:val="131"/>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Employee related payables</w:t>
            </w:r>
          </w:p>
        </w:tc>
        <w:tc>
          <w:tcPr>
            <w:tcW w:w="2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2,632,334</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763,181</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Accrued expenses</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1,323,842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1,686,609</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VAT, duty and tax liability</w:t>
            </w:r>
          </w:p>
        </w:tc>
        <w:tc>
          <w:tcPr>
            <w:tcW w:w="2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188,766</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11,515</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347,848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179,079</w:t>
            </w:r>
          </w:p>
        </w:tc>
        <w:tc>
          <w:tcPr>
            <w:tcW w:w="1600" w:type="dxa"/>
            <w:vAlign w:val="bottom"/>
          </w:tcPr>
          <w:p>
            <w:pPr>
              <w:spacing w:after="0"/>
              <w:rPr>
                <w:sz w:val="11"/>
                <w:szCs w:val="11"/>
                <w:color w:val="auto"/>
              </w:rPr>
            </w:pPr>
          </w:p>
        </w:tc>
      </w:tr>
      <w:tr>
        <w:trPr>
          <w:trHeight w:val="131"/>
        </w:trPr>
        <w:tc>
          <w:tcPr>
            <w:tcW w:w="1580" w:type="dxa"/>
            <w:vAlign w:val="bottom"/>
          </w:tcPr>
          <w:p>
            <w:pPr>
              <w:spacing w:after="0"/>
              <w:rPr>
                <w:sz w:val="11"/>
                <w:szCs w:val="11"/>
                <w:color w:val="auto"/>
              </w:rPr>
            </w:pPr>
          </w:p>
        </w:tc>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4,492,790</w:t>
            </w:r>
          </w:p>
        </w:tc>
        <w:tc>
          <w:tcPr>
            <w:tcW w:w="16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2,640,384</w:t>
            </w:r>
          </w:p>
        </w:tc>
        <w:tc>
          <w:tcPr>
            <w:tcW w:w="1600" w:type="dxa"/>
            <w:vAlign w:val="bottom"/>
          </w:tcPr>
          <w:p>
            <w:pPr>
              <w:spacing w:after="0"/>
              <w:rPr>
                <w:sz w:val="11"/>
                <w:szCs w:val="11"/>
                <w:color w:val="auto"/>
              </w:rPr>
            </w:pPr>
          </w:p>
        </w:tc>
      </w:tr>
      <w:tr>
        <w:trPr>
          <w:trHeight w:val="321"/>
        </w:trPr>
        <w:tc>
          <w:tcPr>
            <w:tcW w:w="4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13.Expenses and other Non-operating (income) expense, net</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3"/>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58"/>
        </w:trPr>
        <w:tc>
          <w:tcPr>
            <w:tcW w:w="15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2"/>
                <w:szCs w:val="2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2"/>
                <w:szCs w:val="22"/>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10"/>
                <w:szCs w:val="10"/>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10"/>
                <w:szCs w:val="10"/>
                <w:color w:val="auto"/>
              </w:rPr>
            </w:pPr>
          </w:p>
        </w:tc>
      </w:tr>
      <w:tr>
        <w:trPr>
          <w:trHeight w:val="131"/>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Advertisement and publicity expenses</w:t>
            </w:r>
          </w:p>
        </w:tc>
        <w:tc>
          <w:tcPr>
            <w:tcW w:w="2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144,584</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635,166</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1,371,468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1,788,941</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1,602,332</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1,538,729</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2,649,012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375,721</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963,858</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30"/>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6,731,254</w:t>
            </w: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4,338,557</w:t>
            </w:r>
          </w:p>
        </w:tc>
        <w:tc>
          <w:tcPr>
            <w:tcW w:w="1600" w:type="dxa"/>
            <w:vAlign w:val="bottom"/>
          </w:tcPr>
          <w:p>
            <w:pPr>
              <w:spacing w:after="0"/>
              <w:rPr>
                <w:sz w:val="11"/>
                <w:szCs w:val="11"/>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8"/>
        </w:trPr>
        <w:tc>
          <w:tcPr>
            <w:tcW w:w="15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2"/>
                <w:szCs w:val="2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2"/>
                <w:szCs w:val="22"/>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10"/>
                <w:szCs w:val="10"/>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10"/>
                <w:szCs w:val="10"/>
                <w:color w:val="auto"/>
              </w:rPr>
            </w:pPr>
          </w:p>
        </w:tc>
      </w:tr>
      <w:tr>
        <w:trPr>
          <w:trHeight w:val="131"/>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IT expenses</w:t>
            </w:r>
          </w:p>
        </w:tc>
        <w:tc>
          <w:tcPr>
            <w:tcW w:w="2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1,135,355</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1,066,708</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Legal and professional expenses</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2,274,891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5,569,989</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Business development expenses</w:t>
            </w:r>
          </w:p>
        </w:tc>
        <w:tc>
          <w:tcPr>
            <w:tcW w:w="2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777,161</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7,136,168</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4,340,558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3,506,501</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3,472,170</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8,223,297</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2,543,621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1,739,294</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2,083,647</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Share-based payments for consultancy</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485,080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18,417,816</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Other</w:t>
            </w:r>
          </w:p>
        </w:tc>
        <w:tc>
          <w:tcPr>
            <w:tcW w:w="2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874,045</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1,479,026</w:t>
            </w:r>
          </w:p>
        </w:tc>
        <w:tc>
          <w:tcPr>
            <w:tcW w:w="1600" w:type="dxa"/>
            <w:vAlign w:val="bottom"/>
          </w:tcPr>
          <w:p>
            <w:pPr>
              <w:spacing w:after="0"/>
              <w:rPr>
                <w:sz w:val="11"/>
                <w:szCs w:val="11"/>
                <w:color w:val="auto"/>
              </w:rPr>
            </w:pPr>
          </w:p>
        </w:tc>
      </w:tr>
      <w:tr>
        <w:trPr>
          <w:trHeight w:val="130"/>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17,986,528</w:t>
            </w: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0"/>
                <w:szCs w:val="10"/>
                <w:b w:val="1"/>
                <w:bCs w:val="1"/>
                <w:color w:val="auto"/>
              </w:rPr>
              <w:t>86,640,500</w:t>
            </w:r>
          </w:p>
        </w:tc>
        <w:tc>
          <w:tcPr>
            <w:tcW w:w="1600" w:type="dxa"/>
            <w:vAlign w:val="bottom"/>
          </w:tcPr>
          <w:p>
            <w:pPr>
              <w:spacing w:after="0"/>
              <w:rPr>
                <w:sz w:val="11"/>
                <w:szCs w:val="11"/>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8"/>
        </w:trPr>
        <w:tc>
          <w:tcPr>
            <w:tcW w:w="15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2"/>
                <w:szCs w:val="2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2"/>
                <w:szCs w:val="22"/>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10"/>
                <w:szCs w:val="10"/>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10"/>
                <w:szCs w:val="10"/>
                <w:color w:val="auto"/>
              </w:rPr>
            </w:pPr>
          </w:p>
        </w:tc>
      </w:tr>
      <w:tr>
        <w:trPr>
          <w:trHeight w:val="130"/>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Foreign exchange loss</w:t>
            </w:r>
          </w:p>
        </w:tc>
        <w:tc>
          <w:tcPr>
            <w:tcW w:w="2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375,298</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194,524</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R&amp;D credits</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(497,978 )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(467,563 )</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Other, net</w:t>
            </w:r>
          </w:p>
        </w:tc>
        <w:tc>
          <w:tcPr>
            <w:tcW w:w="2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(2,686 )</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16,380</w:t>
            </w:r>
          </w:p>
        </w:tc>
        <w:tc>
          <w:tcPr>
            <w:tcW w:w="1600" w:type="dxa"/>
            <w:vAlign w:val="bottom"/>
          </w:tcPr>
          <w:p>
            <w:pPr>
              <w:spacing w:after="0"/>
              <w:rPr>
                <w:sz w:val="11"/>
                <w:szCs w:val="11"/>
                <w:color w:val="auto"/>
              </w:rPr>
            </w:pPr>
          </w:p>
        </w:tc>
      </w:tr>
      <w:tr>
        <w:trPr>
          <w:trHeight w:val="130"/>
        </w:trPr>
        <w:tc>
          <w:tcPr>
            <w:tcW w:w="1580" w:type="dxa"/>
            <w:vAlign w:val="bottom"/>
          </w:tcPr>
          <w:p>
            <w:pPr>
              <w:spacing w:after="0"/>
              <w:rPr>
                <w:sz w:val="11"/>
                <w:szCs w:val="11"/>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125,366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(256,659 </w:t>
            </w:r>
            <w:r>
              <w:rPr>
                <w:rFonts w:ascii="Times New Roman" w:cs="Times New Roman" w:eastAsia="Times New Roman" w:hAnsi="Times New Roman"/>
                <w:sz w:val="14"/>
                <w:szCs w:val="14"/>
                <w:b w:val="1"/>
                <w:bCs w:val="1"/>
                <w:color w:val="auto"/>
                <w:vertAlign w:val="subscript"/>
              </w:rPr>
              <w:t>)</w:t>
            </w:r>
          </w:p>
        </w:tc>
        <w:tc>
          <w:tcPr>
            <w:tcW w:w="1600" w:type="dxa"/>
            <w:vAlign w:val="bottom"/>
          </w:tcPr>
          <w:p>
            <w:pPr>
              <w:spacing w:after="0"/>
              <w:rPr>
                <w:sz w:val="11"/>
                <w:szCs w:val="11"/>
                <w:color w:val="auto"/>
              </w:rPr>
            </w:pPr>
          </w:p>
        </w:tc>
      </w:tr>
      <w:tr>
        <w:trPr>
          <w:trHeight w:val="29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ind w:left="1040"/>
              <w:spacing w:after="0"/>
              <w:rPr>
                <w:sz w:val="20"/>
                <w:szCs w:val="20"/>
                <w:color w:val="auto"/>
              </w:rPr>
            </w:pPr>
            <w:r>
              <w:rPr>
                <w:rFonts w:ascii="Times New Roman" w:cs="Times New Roman" w:eastAsia="Times New Roman" w:hAnsi="Times New Roman"/>
                <w:sz w:val="10"/>
                <w:szCs w:val="10"/>
                <w:color w:val="auto"/>
              </w:rPr>
              <w:t>F-54</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14.Related party disclosures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 w:type="dxa"/>
            <w:vAlign w:val="bottom"/>
          </w:tcPr>
          <w:p>
            <w:pPr>
              <w:spacing w:after="0"/>
              <w:rPr>
                <w:sz w:val="10"/>
                <w:szCs w:val="1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3180" w:type="dxa"/>
            <w:vAlign w:val="bottom"/>
          </w:tcPr>
          <w:p>
            <w:pPr>
              <w:spacing w:after="0"/>
              <w:rPr>
                <w:sz w:val="10"/>
                <w:szCs w:val="10"/>
                <w:color w:val="auto"/>
              </w:rPr>
            </w:pPr>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7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Director and chief executive officer</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Richard Burchill</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Chief financial officer</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Sauvik Banerjjee</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w w:val="96"/>
              </w:rPr>
              <w:t>Chief executive officer, products, technology and digital services</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Salman Ahmad</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Chief technical officer</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Peter Vesco</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Chief commercial officer</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Arthur Yao (1)</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Chief executive officer, Rezolve China</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Anthony Sharp</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Non-executive deputy chairman</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Sir David Wright</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Non-executive director</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Steve Perry</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Non-executive director</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Derek Smith</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Non-executive director</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Igor Lychagov</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Non-Executive director (resigned May 19, 2023)</w:t>
            </w:r>
          </w:p>
        </w:tc>
      </w:tr>
      <w:tr>
        <w:trPr>
          <w:trHeight w:val="12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Susan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Member</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2.1—Basis of presentation).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Transactions and outstanding balances of related parties were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year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9"/>
                <w:szCs w:val="9"/>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10"/>
                <w:szCs w:val="10"/>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10"/>
                <w:szCs w:val="10"/>
                <w:color w:val="auto"/>
              </w:rPr>
            </w:pPr>
          </w:p>
        </w:tc>
      </w:tr>
      <w:tr>
        <w:trPr>
          <w:trHeight w:val="131"/>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0" w:type="dxa"/>
            <w:vAlign w:val="bottom"/>
          </w:tcPr>
          <w:p>
            <w:pPr>
              <w:spacing w:after="0"/>
              <w:rPr>
                <w:sz w:val="11"/>
                <w:szCs w:val="11"/>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DBLP Sea Cow (2) (number of ordinary shares issued</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26"/>
        </w:trPr>
        <w:tc>
          <w:tcPr>
            <w:tcW w:w="1580" w:type="dxa"/>
            <w:vAlign w:val="bottom"/>
          </w:tcPr>
          <w:p>
            <w:pPr>
              <w:spacing w:after="0"/>
              <w:rPr>
                <w:sz w:val="10"/>
                <w:szCs w:val="10"/>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 2–23 – Nil and 2–22 – 27,246,461)</w:t>
            </w:r>
          </w:p>
        </w:tc>
        <w:tc>
          <w:tcPr>
            <w:tcW w:w="18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3,225</w:t>
            </w:r>
          </w:p>
        </w:tc>
        <w:tc>
          <w:tcPr>
            <w:tcW w:w="1600" w:type="dxa"/>
            <w:vAlign w:val="bottom"/>
          </w:tcPr>
          <w:p>
            <w:pPr>
              <w:spacing w:after="0"/>
              <w:rPr>
                <w:sz w:val="10"/>
                <w:szCs w:val="10"/>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Loans Repaid</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250,000</w:t>
            </w:r>
          </w:p>
        </w:tc>
        <w:tc>
          <w:tcPr>
            <w:tcW w:w="2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Convertible Loans taken</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132,269</w:t>
            </w:r>
          </w:p>
        </w:tc>
        <w:tc>
          <w:tcPr>
            <w:tcW w:w="2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Loans Taken</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191,405</w:t>
            </w:r>
          </w:p>
        </w:tc>
        <w:tc>
          <w:tcPr>
            <w:tcW w:w="2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Igor Lychagov</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5,587,343</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1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296,067</w:t>
            </w:r>
          </w:p>
        </w:tc>
        <w:tc>
          <w:tcPr>
            <w:tcW w:w="2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298,654</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Salman Ahmad</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222,535</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207,395</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271,395</w:t>
            </w:r>
          </w:p>
        </w:tc>
        <w:tc>
          <w:tcPr>
            <w:tcW w:w="2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273,761</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1,183,437</w:t>
            </w:r>
          </w:p>
        </w:tc>
        <w:tc>
          <w:tcPr>
            <w:tcW w:w="2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789,997</w:t>
            </w:r>
          </w:p>
        </w:tc>
        <w:tc>
          <w:tcPr>
            <w:tcW w:w="2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779,810</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1,183,437</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1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756,944</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33,374,018</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1,326,703</w:t>
            </w:r>
          </w:p>
        </w:tc>
        <w:tc>
          <w:tcPr>
            <w:tcW w:w="2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2,449,787</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Peter Vesco</w:t>
            </w: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60,556</w:t>
            </w:r>
          </w:p>
        </w:tc>
        <w:tc>
          <w:tcPr>
            <w:tcW w:w="2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Arthur Yao (1)</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60,556</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842,746</w:t>
            </w:r>
          </w:p>
        </w:tc>
        <w:tc>
          <w:tcPr>
            <w:tcW w:w="28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Derek Smith</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3,677,896</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3,047,505</w:t>
            </w:r>
          </w:p>
        </w:tc>
        <w:tc>
          <w:tcPr>
            <w:tcW w:w="280" w:type="dxa"/>
            <w:vAlign w:val="bottom"/>
          </w:tcPr>
          <w:p>
            <w:pPr>
              <w:spacing w:after="0"/>
              <w:rPr>
                <w:sz w:val="11"/>
                <w:szCs w:val="1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963,858</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2,083,647</w:t>
            </w:r>
          </w:p>
        </w:tc>
        <w:tc>
          <w:tcPr>
            <w:tcW w:w="280" w:type="dxa"/>
            <w:vAlign w:val="bottom"/>
          </w:tcPr>
          <w:p>
            <w:pPr>
              <w:spacing w:after="0"/>
              <w:rPr>
                <w:sz w:val="11"/>
                <w:szCs w:val="1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3,047,505</w:t>
            </w: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11"/>
                <w:szCs w:val="11"/>
                <w:color w:val="auto"/>
              </w:rPr>
            </w:pPr>
          </w:p>
        </w:tc>
      </w:tr>
      <w:tr>
        <w:trPr>
          <w:trHeight w:val="290"/>
        </w:trPr>
        <w:tc>
          <w:tcPr>
            <w:tcW w:w="1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80" w:type="dxa"/>
            <w:vAlign w:val="bottom"/>
          </w:tcPr>
          <w:p>
            <w:pPr>
              <w:jc w:val="right"/>
              <w:ind w:right="891"/>
              <w:spacing w:after="0"/>
              <w:rPr>
                <w:sz w:val="20"/>
                <w:szCs w:val="20"/>
                <w:color w:val="auto"/>
              </w:rPr>
            </w:pPr>
            <w:r>
              <w:rPr>
                <w:rFonts w:ascii="Times New Roman" w:cs="Times New Roman" w:eastAsia="Times New Roman" w:hAnsi="Times New Roman"/>
                <w:sz w:val="10"/>
                <w:szCs w:val="10"/>
                <w:color w:val="auto"/>
              </w:rPr>
              <w:t>F-55</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88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1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00" w:type="dxa"/>
            <w:vAlign w:val="bottom"/>
          </w:tcPr>
          <w:p>
            <w:pPr>
              <w:spacing w:after="0"/>
              <w:rPr>
                <w:sz w:val="9"/>
                <w:szCs w:val="9"/>
                <w:color w:val="auto"/>
              </w:rPr>
            </w:pP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3100" w:type="dxa"/>
            <w:vAlign w:val="bottom"/>
          </w:tcPr>
          <w:p>
            <w:pPr>
              <w:spacing w:after="0"/>
              <w:rPr>
                <w:sz w:val="10"/>
                <w:szCs w:val="10"/>
                <w:color w:val="auto"/>
              </w:rPr>
            </w:pPr>
          </w:p>
        </w:tc>
        <w:tc>
          <w:tcPr>
            <w:tcW w:w="3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Consulting fees</w:t>
            </w:r>
          </w:p>
        </w:tc>
        <w:tc>
          <w:tcPr>
            <w:tcW w:w="30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300,000</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414,926</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380,805</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Arthur Yao (1)</w:t>
            </w:r>
          </w:p>
        </w:tc>
        <w:tc>
          <w:tcPr>
            <w:tcW w:w="30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300,000</w:t>
            </w:r>
          </w:p>
        </w:tc>
      </w:tr>
      <w:tr>
        <w:trPr>
          <w:trHeight w:val="128"/>
        </w:trPr>
        <w:tc>
          <w:tcPr>
            <w:tcW w:w="3100" w:type="dxa"/>
            <w:vAlign w:val="bottom"/>
            <w:shd w:val="clear" w:color="auto" w:fill="CFF0FC"/>
          </w:tcPr>
          <w:p>
            <w:pPr>
              <w:spacing w:after="0"/>
              <w:rPr>
                <w:sz w:val="11"/>
                <w:szCs w:val="11"/>
                <w:color w:val="auto"/>
              </w:rPr>
            </w:pPr>
          </w:p>
        </w:tc>
        <w:tc>
          <w:tcPr>
            <w:tcW w:w="304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1,014,926</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980,805</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714,926</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680,805</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300,000</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300,000</w:t>
            </w:r>
          </w:p>
        </w:tc>
      </w:tr>
      <w:tr>
        <w:trPr>
          <w:trHeight w:val="127"/>
        </w:trPr>
        <w:tc>
          <w:tcPr>
            <w:tcW w:w="3100" w:type="dxa"/>
            <w:vAlign w:val="bottom"/>
          </w:tcPr>
          <w:p>
            <w:pPr>
              <w:spacing w:after="0"/>
              <w:rPr>
                <w:sz w:val="11"/>
                <w:szCs w:val="11"/>
                <w:color w:val="auto"/>
              </w:rPr>
            </w:pPr>
          </w:p>
        </w:tc>
        <w:tc>
          <w:tcPr>
            <w:tcW w:w="30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1,014,926</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980,805</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Director remuneration</w:t>
            </w:r>
          </w:p>
        </w:tc>
        <w:tc>
          <w:tcPr>
            <w:tcW w:w="30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Sir David Wright</w:t>
            </w:r>
          </w:p>
        </w:tc>
        <w:tc>
          <w:tcPr>
            <w:tcW w:w="30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87,107</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380,084</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376,428</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93,329</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Derek Smith</w:t>
            </w:r>
          </w:p>
        </w:tc>
        <w:tc>
          <w:tcPr>
            <w:tcW w:w="304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92,521</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93,329</w:t>
            </w:r>
          </w:p>
        </w:tc>
      </w:tr>
      <w:tr>
        <w:trPr>
          <w:trHeight w:val="127"/>
        </w:trPr>
        <w:tc>
          <w:tcPr>
            <w:tcW w:w="3100" w:type="dxa"/>
            <w:vAlign w:val="bottom"/>
          </w:tcPr>
          <w:p>
            <w:pPr>
              <w:spacing w:after="0"/>
              <w:rPr>
                <w:sz w:val="11"/>
                <w:szCs w:val="11"/>
                <w:color w:val="auto"/>
              </w:rPr>
            </w:pPr>
          </w:p>
        </w:tc>
        <w:tc>
          <w:tcPr>
            <w:tcW w:w="30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650,193</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650,193</w:t>
            </w:r>
          </w:p>
        </w:tc>
      </w:tr>
      <w:tr>
        <w:trPr>
          <w:trHeight w:val="128"/>
        </w:trPr>
        <w:tc>
          <w:tcPr>
            <w:tcW w:w="3100" w:type="dxa"/>
            <w:vAlign w:val="bottom"/>
            <w:shd w:val="clear" w:color="auto" w:fill="CFF0FC"/>
          </w:tcPr>
          <w:p>
            <w:pPr>
              <w:spacing w:after="0"/>
              <w:rPr>
                <w:sz w:val="11"/>
                <w:szCs w:val="11"/>
                <w:color w:val="auto"/>
              </w:rPr>
            </w:pPr>
          </w:p>
        </w:tc>
        <w:tc>
          <w:tcPr>
            <w:tcW w:w="304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657,647</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650,193</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Management remuneration</w:t>
            </w:r>
          </w:p>
        </w:tc>
        <w:tc>
          <w:tcPr>
            <w:tcW w:w="30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2,072,224</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869,777</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3,831,291</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41,231,704</w:t>
            </w:r>
          </w:p>
        </w:tc>
      </w:tr>
      <w:tr>
        <w:trPr>
          <w:trHeight w:val="128"/>
        </w:trPr>
        <w:tc>
          <w:tcPr>
            <w:tcW w:w="3100" w:type="dxa"/>
            <w:vAlign w:val="bottom"/>
            <w:shd w:val="clear" w:color="auto" w:fill="CFF0FC"/>
          </w:tcPr>
          <w:p>
            <w:pPr>
              <w:spacing w:after="0"/>
              <w:rPr>
                <w:sz w:val="11"/>
                <w:szCs w:val="11"/>
                <w:color w:val="auto"/>
              </w:rPr>
            </w:pPr>
          </w:p>
        </w:tc>
        <w:tc>
          <w:tcPr>
            <w:tcW w:w="304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5,903,515</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42,101,481</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30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Rezolve China (3)</w:t>
            </w:r>
          </w:p>
        </w:tc>
        <w:tc>
          <w:tcPr>
            <w:tcW w:w="304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777,161</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7,136,168</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(3)The Company has expensed all cash transferred to its subsidiary Rezolve China. Please refer to the basis of presentation discussed in note 2.1.</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9"/>
                <w:szCs w:val="9"/>
                <w:color w:val="auto"/>
              </w:rPr>
            </w:pPr>
          </w:p>
        </w:tc>
      </w:tr>
      <w:tr>
        <w:trPr>
          <w:trHeight w:val="102"/>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600" w:type="dxa"/>
            <w:vAlign w:val="bottom"/>
          </w:tcPr>
          <w:p>
            <w:pPr>
              <w:spacing w:after="0"/>
              <w:rPr>
                <w:sz w:val="8"/>
                <w:szCs w:val="8"/>
                <w:color w:val="auto"/>
              </w:rPr>
            </w:pPr>
          </w:p>
        </w:tc>
      </w:tr>
      <w:tr>
        <w:trPr>
          <w:trHeight w:val="111"/>
        </w:trPr>
        <w:tc>
          <w:tcPr>
            <w:tcW w:w="1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31"/>
        </w:trPr>
        <w:tc>
          <w:tcPr>
            <w:tcW w:w="1580" w:type="dxa"/>
            <w:vAlign w:val="bottom"/>
          </w:tcPr>
          <w:p>
            <w:pPr>
              <w:spacing w:after="0"/>
              <w:rPr>
                <w:sz w:val="11"/>
                <w:szCs w:val="11"/>
                <w:color w:val="auto"/>
              </w:rPr>
            </w:pPr>
          </w:p>
        </w:tc>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Short term debt to related party</w:t>
            </w:r>
          </w:p>
        </w:tc>
        <w:tc>
          <w:tcPr>
            <w:tcW w:w="36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DBLP Sea Cow (2)</w:t>
            </w:r>
          </w:p>
        </w:tc>
        <w:tc>
          <w:tcPr>
            <w:tcW w:w="3640" w:type="dxa"/>
            <w:vAlign w:val="bottom"/>
          </w:tcPr>
          <w:p>
            <w:pPr>
              <w:jc w:val="right"/>
              <w:ind w:right="214"/>
              <w:spacing w:after="0"/>
              <w:rPr>
                <w:sz w:val="20"/>
                <w:szCs w:val="20"/>
                <w:color w:val="auto"/>
              </w:rPr>
            </w:pPr>
            <w:r>
              <w:rPr>
                <w:rFonts w:ascii="Times New Roman" w:cs="Times New Roman" w:eastAsia="Times New Roman" w:hAnsi="Times New Roman"/>
                <w:sz w:val="10"/>
                <w:szCs w:val="10"/>
                <w:color w:val="auto"/>
              </w:rPr>
              <w:t>447,067</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Dan Wagner</w:t>
            </w:r>
          </w:p>
        </w:tc>
        <w:tc>
          <w:tcPr>
            <w:tcW w:w="36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0"/>
                <w:szCs w:val="10"/>
                <w:color w:val="auto"/>
              </w:rPr>
              <w:t>191,405</w:t>
            </w: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Igor Lychagov</w:t>
            </w:r>
          </w:p>
        </w:tc>
        <w:tc>
          <w:tcPr>
            <w:tcW w:w="3640" w:type="dxa"/>
            <w:vAlign w:val="bottom"/>
          </w:tcPr>
          <w:p>
            <w:pPr>
              <w:jc w:val="right"/>
              <w:ind w:right="214"/>
              <w:spacing w:after="0"/>
              <w:rPr>
                <w:sz w:val="20"/>
                <w:szCs w:val="20"/>
                <w:color w:val="auto"/>
              </w:rPr>
            </w:pPr>
            <w:r>
              <w:rPr>
                <w:rFonts w:ascii="Times New Roman" w:cs="Times New Roman" w:eastAsia="Times New Roman" w:hAnsi="Times New Roman"/>
                <w:sz w:val="10"/>
                <w:szCs w:val="10"/>
                <w:color w:val="auto"/>
              </w:rPr>
              <w:t>5,587,343</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36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0"/>
                <w:szCs w:val="10"/>
                <w:color w:val="auto"/>
              </w:rPr>
              <w:t>6,225,815</w:t>
            </w: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11"/>
                <w:szCs w:val="11"/>
                <w:color w:val="auto"/>
              </w:rPr>
            </w:pPr>
          </w:p>
        </w:tc>
      </w:tr>
      <w:tr>
        <w:trPr>
          <w:trHeight w:val="290"/>
        </w:trPr>
        <w:tc>
          <w:tcPr>
            <w:tcW w:w="1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40" w:type="dxa"/>
            <w:vAlign w:val="bottom"/>
          </w:tcPr>
          <w:p>
            <w:pPr>
              <w:jc w:val="right"/>
              <w:ind w:right="2274"/>
              <w:spacing w:after="0"/>
              <w:rPr>
                <w:sz w:val="20"/>
                <w:szCs w:val="20"/>
                <w:color w:val="auto"/>
              </w:rPr>
            </w:pPr>
            <w:r>
              <w:rPr>
                <w:rFonts w:ascii="Times New Roman" w:cs="Times New Roman" w:eastAsia="Times New Roman" w:hAnsi="Times New Roman"/>
                <w:sz w:val="10"/>
                <w:szCs w:val="10"/>
                <w:color w:val="auto"/>
              </w:rPr>
              <w:t>F-56</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36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1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00" w:type="dxa"/>
            <w:vAlign w:val="bottom"/>
          </w:tcPr>
          <w:p>
            <w:pPr>
              <w:spacing w:after="0"/>
              <w:rPr>
                <w:sz w:val="9"/>
                <w:szCs w:val="9"/>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2"/>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1"/>
        </w:trPr>
        <w:tc>
          <w:tcPr>
            <w:tcW w:w="3100" w:type="dxa"/>
            <w:vAlign w:val="bottom"/>
          </w:tcPr>
          <w:p>
            <w:pPr>
              <w:spacing w:after="0"/>
              <w:rPr>
                <w:sz w:val="9"/>
                <w:szCs w:val="9"/>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Due to related party</w:t>
            </w:r>
          </w:p>
        </w:tc>
        <w:tc>
          <w:tcPr>
            <w:tcW w:w="30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350,000</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225,000</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0"/>
                <w:szCs w:val="10"/>
                <w:color w:val="auto"/>
              </w:rPr>
              <w:t>147,605</w:t>
            </w: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172,476</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Richard Burchill</w:t>
            </w: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535</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Arthur Yao</w:t>
            </w:r>
          </w:p>
        </w:tc>
        <w:tc>
          <w:tcPr>
            <w:tcW w:w="30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0"/>
                <w:szCs w:val="10"/>
                <w:color w:val="auto"/>
              </w:rPr>
              <w:t>61,945</w:t>
            </w: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51,414</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31,248</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42,906</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0"/>
                <w:szCs w:val="10"/>
                <w:color w:val="auto"/>
              </w:rPr>
              <w:t>1,133</w:t>
            </w: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Sauvik Banerjjee</w:t>
            </w: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58,320</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0"/>
                <w:szCs w:val="10"/>
                <w:color w:val="auto"/>
              </w:rPr>
              <w:t>127,325</w:t>
            </w: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129,460</w:t>
            </w:r>
          </w:p>
        </w:tc>
      </w:tr>
      <w:tr>
        <w:trPr>
          <w:trHeight w:val="127"/>
        </w:trPr>
        <w:tc>
          <w:tcPr>
            <w:tcW w:w="3100" w:type="dxa"/>
            <w:vAlign w:val="bottom"/>
          </w:tcPr>
          <w:p>
            <w:pPr>
              <w:spacing w:after="0"/>
              <w:rPr>
                <w:sz w:val="11"/>
                <w:szCs w:val="11"/>
                <w:color w:val="auto"/>
              </w:rPr>
            </w:pP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777,576</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621,791</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Short term convertible debt</w:t>
            </w:r>
          </w:p>
        </w:tc>
        <w:tc>
          <w:tcPr>
            <w:tcW w:w="30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132,269</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30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111,845</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111,845</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0"/>
                <w:szCs w:val="10"/>
                <w:color w:val="auto"/>
              </w:rPr>
              <w:t>7,999</w:t>
            </w: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7,999</w:t>
            </w:r>
          </w:p>
        </w:tc>
      </w:tr>
      <w:tr>
        <w:trPr>
          <w:trHeight w:val="126"/>
        </w:trPr>
        <w:tc>
          <w:tcPr>
            <w:tcW w:w="3100" w:type="dxa"/>
            <w:vAlign w:val="bottom"/>
          </w:tcPr>
          <w:p>
            <w:pPr>
              <w:spacing w:after="0"/>
              <w:rPr>
                <w:sz w:val="10"/>
                <w:szCs w:val="10"/>
                <w:color w:val="auto"/>
              </w:rPr>
            </w:pP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119,844</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119,844</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15.Operating leases as lessee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16.Income taxes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components of our loss (income) before income taxes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9"/>
                <w:szCs w:val="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40" w:type="dxa"/>
            <w:vAlign w:val="bottom"/>
          </w:tcPr>
          <w:p>
            <w:pPr>
              <w:spacing w:after="0"/>
              <w:rPr>
                <w:sz w:val="10"/>
                <w:szCs w:val="10"/>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10"/>
                <w:szCs w:val="10"/>
                <w:color w:val="auto"/>
              </w:rPr>
            </w:pPr>
          </w:p>
        </w:tc>
      </w:tr>
      <w:tr>
        <w:trPr>
          <w:trHeight w:val="131"/>
        </w:trPr>
        <w:tc>
          <w:tcPr>
            <w:tcW w:w="1580" w:type="dxa"/>
            <w:vAlign w:val="bottom"/>
          </w:tcPr>
          <w:p>
            <w:pPr>
              <w:spacing w:after="0"/>
              <w:rPr>
                <w:sz w:val="11"/>
                <w:szCs w:val="11"/>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UK</w:t>
            </w:r>
          </w:p>
        </w:tc>
        <w:tc>
          <w:tcPr>
            <w:tcW w:w="27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29,427,631</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color w:val="auto"/>
              </w:rPr>
              <w:t>107,945,740</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w:t>
            </w: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994,933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634,526</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Spain</w:t>
            </w:r>
          </w:p>
        </w:tc>
        <w:tc>
          <w:tcPr>
            <w:tcW w:w="2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298,927</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color w:val="auto"/>
              </w:rPr>
              <w:t>381,321</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India</w:t>
            </w: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(92,982 )</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(300,433 )</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Taiwan</w:t>
            </w:r>
          </w:p>
        </w:tc>
        <w:tc>
          <w:tcPr>
            <w:tcW w:w="2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44,181</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color w:val="auto"/>
              </w:rPr>
              <w:t>2,051,794</w:t>
            </w:r>
          </w:p>
        </w:tc>
        <w:tc>
          <w:tcPr>
            <w:tcW w:w="1600" w:type="dxa"/>
            <w:vAlign w:val="bottom"/>
          </w:tcPr>
          <w:p>
            <w:pPr>
              <w:spacing w:after="0"/>
              <w:rPr>
                <w:sz w:val="11"/>
                <w:szCs w:val="11"/>
                <w:color w:val="auto"/>
              </w:rPr>
            </w:pPr>
          </w:p>
        </w:tc>
      </w:tr>
      <w:tr>
        <w:trPr>
          <w:trHeight w:val="130"/>
        </w:trPr>
        <w:tc>
          <w:tcPr>
            <w:tcW w:w="1580" w:type="dxa"/>
            <w:vAlign w:val="bottom"/>
          </w:tcPr>
          <w:p>
            <w:pPr>
              <w:spacing w:after="0"/>
              <w:rPr>
                <w:sz w:val="11"/>
                <w:szCs w:val="11"/>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30,672,980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0"/>
                <w:szCs w:val="10"/>
                <w:b w:val="1"/>
                <w:bCs w:val="1"/>
                <w:color w:val="auto"/>
              </w:rPr>
              <w:t>110,712,948</w:t>
            </w:r>
          </w:p>
        </w:tc>
        <w:tc>
          <w:tcPr>
            <w:tcW w:w="1600" w:type="dxa"/>
            <w:vAlign w:val="bottom"/>
          </w:tcPr>
          <w:p>
            <w:pPr>
              <w:spacing w:after="0"/>
              <w:rPr>
                <w:sz w:val="11"/>
                <w:szCs w:val="11"/>
                <w:color w:val="auto"/>
              </w:rPr>
            </w:pPr>
          </w:p>
        </w:tc>
      </w:tr>
      <w:tr>
        <w:trPr>
          <w:trHeight w:val="260"/>
        </w:trPr>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Current Income tax expense (benefit) consists of:</w:t>
            </w:r>
          </w:p>
        </w:tc>
        <w:tc>
          <w:tcPr>
            <w:tcW w:w="2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9"/>
        </w:trPr>
        <w:tc>
          <w:tcPr>
            <w:tcW w:w="15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22"/>
                <w:szCs w:val="22"/>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2"/>
                <w:szCs w:val="22"/>
                <w:color w:val="auto"/>
              </w:rPr>
            </w:pPr>
          </w:p>
        </w:tc>
      </w:tr>
      <w:tr>
        <w:trPr>
          <w:trHeight w:val="115"/>
        </w:trPr>
        <w:tc>
          <w:tcPr>
            <w:tcW w:w="15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40" w:type="dxa"/>
            <w:vAlign w:val="bottom"/>
          </w:tcPr>
          <w:p>
            <w:pPr>
              <w:spacing w:after="0"/>
              <w:rPr>
                <w:sz w:val="10"/>
                <w:szCs w:val="10"/>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10"/>
                <w:szCs w:val="10"/>
                <w:color w:val="auto"/>
              </w:rPr>
            </w:pPr>
          </w:p>
        </w:tc>
      </w:tr>
      <w:tr>
        <w:trPr>
          <w:trHeight w:val="130"/>
        </w:trPr>
        <w:tc>
          <w:tcPr>
            <w:tcW w:w="1580" w:type="dxa"/>
            <w:vAlign w:val="bottom"/>
          </w:tcPr>
          <w:p>
            <w:pPr>
              <w:spacing w:after="0"/>
              <w:rPr>
                <w:sz w:val="11"/>
                <w:szCs w:val="11"/>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Taiwan</w:t>
            </w:r>
          </w:p>
        </w:tc>
        <w:tc>
          <w:tcPr>
            <w:tcW w:w="2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11"/>
                <w:szCs w:val="11"/>
                <w:color w:val="auto"/>
              </w:rPr>
            </w:pPr>
          </w:p>
        </w:tc>
        <w:tc>
          <w:tcPr>
            <w:tcW w:w="108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color w:val="auto"/>
              </w:rPr>
              <w:t>10,639</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India</w:t>
            </w: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63,408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28,126</w:t>
            </w:r>
          </w:p>
        </w:tc>
        <w:tc>
          <w:tcPr>
            <w:tcW w:w="1600" w:type="dxa"/>
            <w:vAlign w:val="bottom"/>
          </w:tcPr>
          <w:p>
            <w:pPr>
              <w:spacing w:after="0"/>
              <w:rPr>
                <w:sz w:val="11"/>
                <w:szCs w:val="11"/>
                <w:color w:val="auto"/>
              </w:rPr>
            </w:pPr>
          </w:p>
        </w:tc>
      </w:tr>
      <w:tr>
        <w:trPr>
          <w:trHeight w:val="131"/>
        </w:trPr>
        <w:tc>
          <w:tcPr>
            <w:tcW w:w="1580" w:type="dxa"/>
            <w:vAlign w:val="bottom"/>
          </w:tcPr>
          <w:p>
            <w:pPr>
              <w:spacing w:after="0"/>
              <w:rPr>
                <w:sz w:val="11"/>
                <w:szCs w:val="11"/>
                <w:color w:val="auto"/>
              </w:rPr>
            </w:pPr>
          </w:p>
        </w:tc>
        <w:tc>
          <w:tcPr>
            <w:tcW w:w="2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5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63,408</w:t>
            </w:r>
          </w:p>
        </w:tc>
        <w:tc>
          <w:tcPr>
            <w:tcW w:w="16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b w:val="1"/>
                <w:bCs w:val="1"/>
                <w:color w:val="auto"/>
              </w:rPr>
              <w:t>38,765</w:t>
            </w:r>
          </w:p>
        </w:tc>
        <w:tc>
          <w:tcPr>
            <w:tcW w:w="1600" w:type="dxa"/>
            <w:vAlign w:val="bottom"/>
          </w:tcPr>
          <w:p>
            <w:pPr>
              <w:spacing w:after="0"/>
              <w:rPr>
                <w:sz w:val="11"/>
                <w:szCs w:val="11"/>
                <w:color w:val="auto"/>
              </w:rPr>
            </w:pPr>
          </w:p>
        </w:tc>
      </w:tr>
      <w:tr>
        <w:trPr>
          <w:trHeight w:val="290"/>
        </w:trPr>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80" w:type="dxa"/>
            <w:vAlign w:val="bottom"/>
            <w:gridSpan w:val="3"/>
          </w:tcPr>
          <w:p>
            <w:pPr>
              <w:jc w:val="right"/>
              <w:ind w:right="1180"/>
              <w:spacing w:after="0"/>
              <w:rPr>
                <w:sz w:val="20"/>
                <w:szCs w:val="20"/>
                <w:color w:val="auto"/>
              </w:rPr>
            </w:pPr>
            <w:r>
              <w:rPr>
                <w:rFonts w:ascii="Times New Roman" w:cs="Times New Roman" w:eastAsia="Times New Roman" w:hAnsi="Times New Roman"/>
                <w:sz w:val="10"/>
                <w:szCs w:val="10"/>
                <w:color w:val="auto"/>
              </w:rPr>
              <w:t>F-57</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220" w:type="dxa"/>
            <w:vAlign w:val="bottom"/>
            <w:tcBorders>
              <w:bottom w:val="single" w:sz="8" w:color="EEEEEE"/>
            </w:tcBorders>
          </w:tcPr>
          <w:p>
            <w:pPr>
              <w:spacing w:after="0"/>
              <w:rPr>
                <w:sz w:val="24"/>
                <w:szCs w:val="24"/>
                <w:color w:val="auto"/>
              </w:rPr>
            </w:pPr>
          </w:p>
        </w:tc>
        <w:tc>
          <w:tcPr>
            <w:tcW w:w="25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Income tax benefit attributable to our loss before income taxes differs from the amounts computed using the applicable income tax rate as a result of the following factors:</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9"/>
                <w:szCs w:val="9"/>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140" w:type="dxa"/>
            <w:vAlign w:val="bottom"/>
          </w:tcPr>
          <w:p>
            <w:pPr>
              <w:jc w:val="right"/>
              <w:ind w:right="45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10"/>
                <w:szCs w:val="10"/>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Loss before income taxes</w:t>
            </w: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(30,672,690 )</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(110,712,948 )</w:t>
            </w:r>
          </w:p>
        </w:tc>
      </w:tr>
      <w:tr>
        <w:trPr>
          <w:trHeight w:val="127"/>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Income tax benefit at statutory tax rates (a)</w:t>
            </w:r>
          </w:p>
        </w:tc>
        <w:tc>
          <w:tcPr>
            <w:tcW w:w="1440" w:type="dxa"/>
            <w:vAlign w:val="bottom"/>
          </w:tcPr>
          <w:p>
            <w:pPr>
              <w:spacing w:after="0"/>
              <w:rPr>
                <w:sz w:val="11"/>
                <w:szCs w:val="11"/>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7,208,082</w:t>
            </w:r>
          </w:p>
        </w:tc>
        <w:tc>
          <w:tcPr>
            <w:tcW w:w="220" w:type="dxa"/>
            <w:vAlign w:val="bottom"/>
          </w:tcPr>
          <w:p>
            <w:pPr>
              <w:spacing w:after="0"/>
              <w:rPr>
                <w:sz w:val="11"/>
                <w:szCs w:val="1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21,035,460</w:t>
            </w:r>
          </w:p>
        </w:tc>
      </w:tr>
      <w:tr>
        <w:trPr>
          <w:trHeight w:val="128"/>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Effect of:</w:t>
            </w:r>
          </w:p>
        </w:tc>
        <w:tc>
          <w:tcPr>
            <w:tcW w:w="1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r>
      <w:tr>
        <w:trPr>
          <w:trHeight w:val="113"/>
        </w:trPr>
        <w:tc>
          <w:tcPr>
            <w:tcW w:w="356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Non-deductible or non-taxable foreign currency exchange</w:t>
            </w:r>
          </w:p>
        </w:tc>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26"/>
        </w:trPr>
        <w:tc>
          <w:tcPr>
            <w:tcW w:w="35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results</w:t>
            </w:r>
          </w:p>
        </w:tc>
        <w:tc>
          <w:tcPr>
            <w:tcW w:w="1440" w:type="dxa"/>
            <w:vAlign w:val="bottom"/>
          </w:tcPr>
          <w:p>
            <w:pPr>
              <w:spacing w:after="0"/>
              <w:rPr>
                <w:sz w:val="10"/>
                <w:szCs w:val="1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(88,195 )</w:t>
            </w:r>
          </w:p>
        </w:tc>
        <w:tc>
          <w:tcPr>
            <w:tcW w:w="2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(214,299 )</w:t>
            </w:r>
          </w:p>
        </w:tc>
      </w:tr>
      <w:tr>
        <w:trPr>
          <w:trHeight w:val="128"/>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International rate differences (b)</w:t>
            </w:r>
          </w:p>
        </w:tc>
        <w:tc>
          <w:tcPr>
            <w:tcW w:w="144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(9,845 )</w:t>
            </w: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282,884</w:t>
            </w:r>
          </w:p>
        </w:tc>
      </w:tr>
      <w:tr>
        <w:trPr>
          <w:trHeight w:val="127"/>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Non-deductible expenses</w:t>
            </w:r>
          </w:p>
        </w:tc>
        <w:tc>
          <w:tcPr>
            <w:tcW w:w="1440" w:type="dxa"/>
            <w:vAlign w:val="bottom"/>
          </w:tcPr>
          <w:p>
            <w:pPr>
              <w:spacing w:after="0"/>
              <w:rPr>
                <w:sz w:val="11"/>
                <w:szCs w:val="1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(2,050,426 )</w:t>
            </w:r>
          </w:p>
        </w:tc>
        <w:tc>
          <w:tcPr>
            <w:tcW w:w="2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(14,818,455 )</w:t>
            </w:r>
          </w:p>
        </w:tc>
      </w:tr>
      <w:tr>
        <w:trPr>
          <w:trHeight w:val="128"/>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Change in valuation allowance</w:t>
            </w:r>
          </w:p>
        </w:tc>
        <w:tc>
          <w:tcPr>
            <w:tcW w:w="144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(4,996,208 )</w:t>
            </w: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(6,246,825 )</w:t>
            </w:r>
          </w:p>
        </w:tc>
      </w:tr>
      <w:tr>
        <w:trPr>
          <w:trHeight w:val="126"/>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Income tax expense</w:t>
            </w:r>
          </w:p>
        </w:tc>
        <w:tc>
          <w:tcPr>
            <w:tcW w:w="1440" w:type="dxa"/>
            <w:vAlign w:val="bottom"/>
          </w:tcPr>
          <w:p>
            <w:pPr>
              <w:spacing w:after="0"/>
              <w:rPr>
                <w:sz w:val="10"/>
                <w:szCs w:val="10"/>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63,408</w:t>
            </w:r>
          </w:p>
        </w:tc>
        <w:tc>
          <w:tcPr>
            <w:tcW w:w="220" w:type="dxa"/>
            <w:vAlign w:val="bottom"/>
          </w:tcPr>
          <w:p>
            <w:pPr>
              <w:spacing w:after="0"/>
              <w:rPr>
                <w:sz w:val="10"/>
                <w:szCs w:val="1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38,765</w:t>
            </w:r>
          </w:p>
        </w:tc>
      </w:tr>
    </w:tbl>
    <w:p>
      <w:pPr>
        <w:spacing w:after="0" w:line="138"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(a)The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(b)Amounts reflect adjustments (either a benefit or expense) to the “expected” tax expense for statutory rates in jurisdictions in which we operate outside of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and its subsidiaries are liable to income taxes in their respective jurisdiction. The Company has unused tax losses as follows as at December 31, 2023:</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11"/>
        </w:trPr>
        <w:tc>
          <w:tcPr>
            <w:tcW w:w="31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Subsidiaries in Jurisdiction</w:t>
            </w:r>
          </w:p>
        </w:tc>
        <w:tc>
          <w:tcPr>
            <w:tcW w:w="326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Tax loss carryforward</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Expiration date</w:t>
            </w:r>
          </w:p>
        </w:tc>
      </w:tr>
      <w:tr>
        <w:trPr>
          <w:trHeight w:val="131"/>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UK (1)</w:t>
            </w:r>
          </w:p>
        </w:tc>
        <w:tc>
          <w:tcPr>
            <w:tcW w:w="32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0"/>
                <w:szCs w:val="10"/>
                <w:color w:val="auto"/>
              </w:rPr>
              <w:t>191,771,010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w:t>
            </w:r>
          </w:p>
        </w:tc>
        <w:tc>
          <w:tcPr>
            <w:tcW w:w="3260" w:type="dxa"/>
            <w:vAlign w:val="bottom"/>
          </w:tcPr>
          <w:p>
            <w:pPr>
              <w:jc w:val="right"/>
              <w:ind w:right="173"/>
              <w:spacing w:after="0"/>
              <w:rPr>
                <w:sz w:val="20"/>
                <w:szCs w:val="20"/>
                <w:color w:val="auto"/>
              </w:rPr>
            </w:pPr>
            <w:r>
              <w:rPr>
                <w:rFonts w:ascii="Times New Roman" w:cs="Times New Roman" w:eastAsia="Times New Roman" w:hAnsi="Times New Roman"/>
                <w:sz w:val="10"/>
                <w:szCs w:val="10"/>
                <w:color w:val="auto"/>
              </w:rPr>
              <w:t>5,542,459</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Indefinite</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Spain</w:t>
            </w:r>
          </w:p>
        </w:tc>
        <w:tc>
          <w:tcPr>
            <w:tcW w:w="32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0"/>
                <w:szCs w:val="10"/>
                <w:color w:val="auto"/>
              </w:rPr>
              <w:t>844,411</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Indefinite</w:t>
            </w:r>
          </w:p>
        </w:tc>
      </w:tr>
      <w:tr>
        <w:trPr>
          <w:trHeight w:val="127"/>
        </w:trPr>
        <w:tc>
          <w:tcPr>
            <w:tcW w:w="3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India</w:t>
            </w:r>
          </w:p>
        </w:tc>
        <w:tc>
          <w:tcPr>
            <w:tcW w:w="3260" w:type="dxa"/>
            <w:vAlign w:val="bottom"/>
          </w:tcPr>
          <w:p>
            <w:pPr>
              <w:jc w:val="right"/>
              <w:ind w:right="173"/>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N/A</w:t>
            </w:r>
          </w:p>
        </w:tc>
      </w:tr>
      <w:tr>
        <w:trPr>
          <w:trHeight w:val="12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Taiwan</w:t>
            </w:r>
          </w:p>
        </w:tc>
        <w:tc>
          <w:tcPr>
            <w:tcW w:w="32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0"/>
                <w:szCs w:val="10"/>
                <w:color w:val="auto"/>
              </w:rPr>
              <w:t>2,359,658</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10 years</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(1)Tax losses carried forward in Rezolve Limited will not be transferred to Rezolve AI Limited in the Demerger. As a result, all tax losses previously created in the UK will be lost upon completion of the Demerger.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(2)The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changes in our unrecognized tax benefits for the indicated periods are summarized below:</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2023</w:t>
            </w:r>
          </w:p>
        </w:tc>
        <w:tc>
          <w:tcPr>
            <w:tcW w:w="260" w:type="dxa"/>
            <w:vAlign w:val="bottom"/>
          </w:tcPr>
          <w:p>
            <w:pPr>
              <w:spacing w:after="0"/>
              <w:rPr>
                <w:sz w:val="9"/>
                <w:szCs w:val="9"/>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15"/>
        </w:trPr>
        <w:tc>
          <w:tcPr>
            <w:tcW w:w="36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60" w:type="dxa"/>
            <w:vAlign w:val="bottom"/>
          </w:tcPr>
          <w:p>
            <w:pPr>
              <w:spacing w:after="0"/>
              <w:rPr>
                <w:sz w:val="10"/>
                <w:szCs w:val="10"/>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Balance at January 1</w:t>
            </w:r>
          </w:p>
        </w:tc>
        <w:tc>
          <w:tcPr>
            <w:tcW w:w="1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0"/>
                <w:szCs w:val="10"/>
                <w:color w:val="auto"/>
              </w:rPr>
              <w:t>24,388,433</w:t>
            </w: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11,811,695</w:t>
            </w:r>
          </w:p>
        </w:tc>
      </w:tr>
      <w:tr>
        <w:trPr>
          <w:trHeight w:val="127"/>
        </w:trPr>
        <w:tc>
          <w:tcPr>
            <w:tcW w:w="3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Effect of rate changes</w:t>
            </w:r>
          </w:p>
        </w:tc>
        <w:tc>
          <w:tcPr>
            <w:tcW w:w="1660" w:type="dxa"/>
            <w:vAlign w:val="bottom"/>
          </w:tcPr>
          <w:p>
            <w:pPr>
              <w:spacing w:after="0"/>
              <w:rPr>
                <w:sz w:val="11"/>
                <w:szCs w:val="11"/>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Additions based on tax positions related to current year</w:t>
            </w:r>
          </w:p>
        </w:tc>
        <w:tc>
          <w:tcPr>
            <w:tcW w:w="166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0"/>
                <w:szCs w:val="10"/>
                <w:color w:val="auto"/>
              </w:rPr>
              <w:t>6,882,336</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13,857,760</w:t>
            </w:r>
          </w:p>
        </w:tc>
      </w:tr>
      <w:tr>
        <w:trPr>
          <w:trHeight w:val="127"/>
        </w:trPr>
        <w:tc>
          <w:tcPr>
            <w:tcW w:w="3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Foreign currency translation</w:t>
            </w:r>
          </w:p>
        </w:tc>
        <w:tc>
          <w:tcPr>
            <w:tcW w:w="1660" w:type="dxa"/>
            <w:vAlign w:val="bottom"/>
          </w:tcPr>
          <w:p>
            <w:pPr>
              <w:spacing w:after="0"/>
              <w:rPr>
                <w:sz w:val="11"/>
                <w:szCs w:val="11"/>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2,483,300</w:t>
            </w:r>
          </w:p>
        </w:tc>
        <w:tc>
          <w:tcPr>
            <w:tcW w:w="2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(1,281,022 )</w:t>
            </w:r>
          </w:p>
        </w:tc>
      </w:tr>
      <w:tr>
        <w:trPr>
          <w:trHeight w:val="128"/>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Balance at December 31</w:t>
            </w:r>
          </w:p>
        </w:tc>
        <w:tc>
          <w:tcPr>
            <w:tcW w:w="166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0"/>
                <w:szCs w:val="10"/>
                <w:color w:val="auto"/>
              </w:rPr>
              <w:t>33,754,069</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24,388,433</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assurance can be given that any of these tax benefits will be recognized or realized.</w:t>
      </w:r>
    </w:p>
    <w:p>
      <w:pPr>
        <w:spacing w:after="0" w:line="118" w:lineRule="exact"/>
        <w:rPr>
          <w:sz w:val="20"/>
          <w:szCs w:val="20"/>
          <w:color w:val="auto"/>
        </w:rPr>
      </w:pPr>
    </w:p>
    <w:p>
      <w:pPr>
        <w:jc w:val="center"/>
        <w:ind w:left="1120"/>
        <w:spacing w:after="0" w:line="380" w:lineRule="auto"/>
        <w:rPr>
          <w:sz w:val="20"/>
          <w:szCs w:val="20"/>
          <w:color w:val="auto"/>
        </w:rPr>
      </w:pPr>
      <w:r>
        <w:rPr>
          <w:rFonts w:ascii="Times New Roman" w:cs="Times New Roman" w:eastAsia="Times New Roman" w:hAnsi="Times New Roman"/>
          <w:sz w:val="10"/>
          <w:szCs w:val="10"/>
          <w:color w:val="auto"/>
        </w:rPr>
        <w:t>During 2024, we do not expect any material reductions to our unrecognized tax benefits related to tax positions taken as of December 31, 2023. No assurance can be given as to the nature or impact of any changes in our unrecognized tax positions during 2023. 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tax effects of temporary differences that give rise to the significant portions of our deferred tax assets and liabilities are presented below:</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00" w:type="dxa"/>
            <w:vAlign w:val="bottom"/>
          </w:tcPr>
          <w:p>
            <w:pPr>
              <w:spacing w:after="0"/>
              <w:rPr>
                <w:sz w:val="9"/>
                <w:szCs w:val="9"/>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5"/>
        </w:trPr>
        <w:tc>
          <w:tcPr>
            <w:tcW w:w="34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00" w:type="dxa"/>
            <w:vAlign w:val="bottom"/>
          </w:tcPr>
          <w:p>
            <w:pPr>
              <w:spacing w:after="0"/>
              <w:rPr>
                <w:sz w:val="10"/>
                <w:szCs w:val="10"/>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31"/>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27"/>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operating loss and other carryforwards</w:t>
            </w: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33,754,069</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24,388,433</w:t>
            </w:r>
          </w:p>
        </w:tc>
      </w:tr>
      <w:tr>
        <w:trPr>
          <w:trHeight w:val="128"/>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PP&amp;E</w:t>
            </w:r>
          </w:p>
        </w:tc>
        <w:tc>
          <w:tcPr>
            <w:tcW w:w="176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2,661</w:t>
            </w:r>
          </w:p>
        </w:tc>
      </w:tr>
      <w:tr>
        <w:trPr>
          <w:trHeight w:val="127"/>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Short-term debt</w:t>
            </w:r>
          </w:p>
        </w:tc>
        <w:tc>
          <w:tcPr>
            <w:tcW w:w="1760" w:type="dxa"/>
            <w:vAlign w:val="bottom"/>
          </w:tcPr>
          <w:p>
            <w:pPr>
              <w:spacing w:after="0"/>
              <w:rPr>
                <w:sz w:val="11"/>
                <w:szCs w:val="11"/>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1,556,454</w:t>
            </w:r>
          </w:p>
        </w:tc>
        <w:tc>
          <w:tcPr>
            <w:tcW w:w="200" w:type="dxa"/>
            <w:vAlign w:val="bottom"/>
          </w:tcPr>
          <w:p>
            <w:pPr>
              <w:spacing w:after="0"/>
              <w:rPr>
                <w:sz w:val="11"/>
                <w:szCs w:val="1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174,267</w:t>
            </w:r>
          </w:p>
        </w:tc>
      </w:tr>
      <w:tr>
        <w:trPr>
          <w:trHeight w:val="128"/>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Share-based payment liability</w:t>
            </w:r>
          </w:p>
        </w:tc>
        <w:tc>
          <w:tcPr>
            <w:tcW w:w="176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327,757</w:t>
            </w: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294,404</w:t>
            </w:r>
          </w:p>
        </w:tc>
      </w:tr>
      <w:tr>
        <w:trPr>
          <w:trHeight w:val="127"/>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debt</w:t>
            </w:r>
          </w:p>
        </w:tc>
        <w:tc>
          <w:tcPr>
            <w:tcW w:w="1760" w:type="dxa"/>
            <w:vAlign w:val="bottom"/>
          </w:tcPr>
          <w:p>
            <w:pPr>
              <w:spacing w:after="0"/>
              <w:rPr>
                <w:sz w:val="11"/>
                <w:szCs w:val="11"/>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8,110,222</w:t>
            </w:r>
          </w:p>
        </w:tc>
        <w:tc>
          <w:tcPr>
            <w:tcW w:w="200" w:type="dxa"/>
            <w:vAlign w:val="bottom"/>
          </w:tcPr>
          <w:p>
            <w:pPr>
              <w:spacing w:after="0"/>
              <w:rPr>
                <w:sz w:val="11"/>
                <w:szCs w:val="1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6,325,677</w:t>
            </w:r>
          </w:p>
        </w:tc>
      </w:tr>
      <w:tr>
        <w:trPr>
          <w:trHeight w:val="128"/>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43,748,501</w:t>
            </w: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0"/>
                <w:szCs w:val="10"/>
                <w:color w:val="auto"/>
              </w:rPr>
              <w:t>31,185,442</w:t>
            </w:r>
          </w:p>
        </w:tc>
      </w:tr>
      <w:tr>
        <w:trPr>
          <w:trHeight w:val="127"/>
        </w:trPr>
        <w:tc>
          <w:tcPr>
            <w:tcW w:w="3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Valuation allowance</w:t>
            </w:r>
          </w:p>
        </w:tc>
        <w:tc>
          <w:tcPr>
            <w:tcW w:w="1760" w:type="dxa"/>
            <w:vAlign w:val="bottom"/>
          </w:tcPr>
          <w:p>
            <w:pPr>
              <w:spacing w:after="0"/>
              <w:rPr>
                <w:sz w:val="11"/>
                <w:szCs w:val="1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(43,748,501 )</w:t>
            </w:r>
          </w:p>
        </w:tc>
        <w:tc>
          <w:tcPr>
            <w:tcW w:w="2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(31,185,442 )</w:t>
            </w:r>
          </w:p>
        </w:tc>
      </w:tr>
      <w:tr>
        <w:trPr>
          <w:trHeight w:val="128"/>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Deferred tax assets, net of valuation allowance</w:t>
            </w:r>
          </w:p>
        </w:tc>
        <w:tc>
          <w:tcPr>
            <w:tcW w:w="176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recognized any uncertain tax position for the year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17.Subsequent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financial statements as of December 31, 2023, we have evaluated subsequent events through April 28, 2024, which is the date such financial statements are available to be issued.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i w:val="1"/>
          <w:iCs w:val="1"/>
          <w:u w:val="single" w:color="auto"/>
          <w:color w:val="auto"/>
        </w:rPr>
        <w:t>Igor Loan amendment</w:t>
      </w:r>
    </w:p>
    <w:p>
      <w:pPr>
        <w:spacing w:after="0" w:line="60" w:lineRule="exact"/>
        <w:rPr>
          <w:sz w:val="20"/>
          <w:szCs w:val="20"/>
          <w:color w:val="auto"/>
        </w:rPr>
      </w:pPr>
    </w:p>
    <w:p>
      <w:pPr>
        <w:ind w:left="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8"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0"/>
          <w:szCs w:val="10"/>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Yorkville Standby Equity Purchase Agreement (“SEPA”)</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1"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($ 2,500,000)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Promissory note</w:t>
      </w:r>
    </w:p>
    <w:p>
      <w:pPr>
        <w:spacing w:after="0" w:line="68" w:lineRule="exact"/>
        <w:rPr>
          <w:sz w:val="20"/>
          <w:szCs w:val="20"/>
          <w:color w:val="auto"/>
        </w:rPr>
      </w:pPr>
    </w:p>
    <w:p>
      <w:pPr>
        <w:ind w:right="80" w:firstLine="480"/>
        <w:spacing w:after="0" w:line="217"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Add to subsequent events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u w:val="single" w:color="auto"/>
          <w:color w:val="auto"/>
        </w:rPr>
        <w:t>Close of business combination with Armada Acquisition Corp I. (“Armada”)</w:t>
      </w:r>
    </w:p>
    <w:p>
      <w:pPr>
        <w:spacing w:after="0" w:line="120"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June 30,</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rPr>
                <w:sz w:val="10"/>
                <w:szCs w:val="10"/>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13,242</w:t>
            </w:r>
          </w:p>
        </w:tc>
        <w:tc>
          <w:tcPr>
            <w:tcW w:w="280" w:type="dxa"/>
            <w:vAlign w:val="bottom"/>
          </w:tcPr>
          <w:p>
            <w:pPr>
              <w:spacing w:after="0"/>
              <w:rPr>
                <w:sz w:val="11"/>
                <w:szCs w:val="11"/>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41,788</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55,030</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93,889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Cash held in Trust Account</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16,126,337</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11"/>
                <w:szCs w:val="11"/>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7280" w:type="dxa"/>
            <w:vAlign w:val="bottom"/>
            <w:shd w:val="clear" w:color="auto" w:fill="CFF0FC"/>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6,035,757</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46,000</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50,026</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Subscription agreements liability, net</w:t>
            </w:r>
          </w:p>
        </w:tc>
        <w:tc>
          <w:tcPr>
            <w:tcW w:w="9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354,503</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3,056,726</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10,938,608</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$11.31 and $10.71 per share at June 30,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16,040,786</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9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shares issued and outstanding (excluding 1,417,687 and 2,363,349 shares subject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to possible redemption) at June 30,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261,161</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w w:val="99"/>
              </w:rPr>
              <w:t>(11,059,758 )</w:t>
            </w:r>
          </w:p>
        </w:tc>
        <w:tc>
          <w:tcPr>
            <w:tcW w:w="260" w:type="dxa"/>
            <w:vAlign w:val="bottom"/>
          </w:tcPr>
          <w:p>
            <w:pPr>
              <w:spacing w:after="0"/>
              <w:rPr>
                <w:sz w:val="11"/>
                <w:szCs w:val="1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9"/>
              </w:rPr>
              <w:t>(10,798,027 )</w:t>
            </w: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(8,486,012 )</w:t>
            </w:r>
          </w:p>
        </w:tc>
        <w:tc>
          <w:tcPr>
            <w:tcW w:w="0" w:type="dxa"/>
            <w:vAlign w:val="bottom"/>
          </w:tcPr>
          <w:p>
            <w:pPr>
              <w:spacing w:after="0"/>
              <w:rPr>
                <w:sz w:val="1"/>
                <w:szCs w:val="1"/>
                <w:color w:val="auto"/>
              </w:rPr>
            </w:pPr>
          </w:p>
        </w:tc>
      </w:tr>
      <w:tr>
        <w:trPr>
          <w:trHeight w:val="111"/>
        </w:trPr>
        <w:tc>
          <w:tcPr>
            <w:tcW w:w="7280" w:type="dxa"/>
            <w:vAlign w:val="bottom"/>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28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480" w:type="dxa"/>
            <w:vAlign w:val="bottom"/>
          </w:tcPr>
          <w:p>
            <w:pPr>
              <w:spacing w:after="0"/>
              <w:rPr>
                <w:sz w:val="9"/>
                <w:szCs w:val="9"/>
                <w:color w:val="auto"/>
              </w:rPr>
            </w:pPr>
          </w:p>
        </w:tc>
        <w:tc>
          <w:tcPr>
            <w:tcW w:w="1980" w:type="dxa"/>
            <w:vAlign w:val="bottom"/>
            <w:gridSpan w:val="4"/>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40" w:type="dxa"/>
            <w:vAlign w:val="bottom"/>
            <w:gridSpan w:val="5"/>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0" w:type="dxa"/>
            <w:vAlign w:val="bottom"/>
          </w:tcPr>
          <w:p>
            <w:pPr>
              <w:spacing w:after="0"/>
              <w:rPr>
                <w:sz w:val="1"/>
                <w:szCs w:val="1"/>
                <w:color w:val="auto"/>
              </w:rPr>
            </w:pPr>
          </w:p>
        </w:tc>
      </w:tr>
      <w:tr>
        <w:trPr>
          <w:trHeight w:val="115"/>
        </w:trPr>
        <w:tc>
          <w:tcPr>
            <w:tcW w:w="54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Formation and operating costs</w:t>
            </w:r>
          </w:p>
        </w:tc>
        <w:tc>
          <w:tcPr>
            <w:tcW w:w="64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844,718</w:t>
            </w: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533"/>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775,911</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1,876,158</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1,960,998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4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6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526,209</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134,363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601,809</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Loss from operations</w:t>
            </w:r>
          </w:p>
        </w:tc>
        <w:tc>
          <w:tcPr>
            <w:tcW w:w="6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7"/>
              </w:rPr>
              <w:t>(1,370,927 )</w:t>
            </w:r>
          </w:p>
        </w:tc>
        <w:tc>
          <w:tcPr>
            <w:tcW w:w="6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(910,274 )</w:t>
            </w: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(2,477,967 )</w:t>
            </w:r>
          </w:p>
        </w:tc>
        <w:tc>
          <w:tcPr>
            <w:tcW w:w="2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(2,151,287 )</w:t>
            </w:r>
          </w:p>
        </w:tc>
        <w:tc>
          <w:tcPr>
            <w:tcW w:w="0" w:type="dxa"/>
            <w:vAlign w:val="bottom"/>
          </w:tcPr>
          <w:p>
            <w:pPr>
              <w:spacing w:after="0"/>
              <w:rPr>
                <w:sz w:val="1"/>
                <w:szCs w:val="1"/>
                <w:color w:val="auto"/>
              </w:rPr>
            </w:pPr>
          </w:p>
        </w:tc>
      </w:tr>
      <w:tr>
        <w:trPr>
          <w:trHeight w:val="127"/>
        </w:trPr>
        <w:tc>
          <w:tcPr>
            <w:tcW w:w="5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Other (expense) income</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(220,050 )</w:t>
            </w:r>
          </w:p>
        </w:tc>
        <w:tc>
          <w:tcPr>
            <w:tcW w:w="6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(344,248 )</w:t>
            </w:r>
          </w:p>
        </w:tc>
        <w:tc>
          <w:tcPr>
            <w:tcW w:w="2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5480" w:type="dxa"/>
            <w:vAlign w:val="bottom"/>
          </w:tcPr>
          <w:p>
            <w:pPr>
              <w:spacing w:after="0"/>
              <w:rPr>
                <w:sz w:val="20"/>
                <w:szCs w:val="20"/>
                <w:color w:val="auto"/>
              </w:rPr>
            </w:pPr>
            <w:r>
              <w:rPr>
                <w:rFonts w:ascii="Times New Roman" w:cs="Times New Roman" w:eastAsia="Times New Roman" w:hAnsi="Times New Roman"/>
                <w:sz w:val="10"/>
                <w:szCs w:val="10"/>
                <w:color w:val="auto"/>
              </w:rPr>
              <w:t>Trust interest income</w:t>
            </w:r>
          </w:p>
        </w:tc>
        <w:tc>
          <w:tcPr>
            <w:tcW w:w="6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206,289</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433,066</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811,281</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2,697,147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 other (expense) income, net</w:t>
            </w:r>
          </w:p>
        </w:tc>
        <w:tc>
          <w:tcPr>
            <w:tcW w:w="6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(13,761 )</w:t>
            </w:r>
          </w:p>
        </w:tc>
        <w:tc>
          <w:tcPr>
            <w:tcW w:w="6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433,066</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467,033</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2,697,147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480" w:type="dxa"/>
            <w:vAlign w:val="bottom"/>
          </w:tcPr>
          <w:p>
            <w:pPr>
              <w:spacing w:after="0"/>
              <w:rPr>
                <w:sz w:val="20"/>
                <w:szCs w:val="20"/>
                <w:color w:val="auto"/>
              </w:rPr>
            </w:pPr>
            <w:r>
              <w:rPr>
                <w:rFonts w:ascii="Times New Roman" w:cs="Times New Roman" w:eastAsia="Times New Roman" w:hAnsi="Times New Roman"/>
                <w:sz w:val="10"/>
                <w:szCs w:val="10"/>
                <w:color w:val="auto"/>
              </w:rPr>
              <w:t>Loss before provision for income taxes</w:t>
            </w:r>
          </w:p>
        </w:tc>
        <w:tc>
          <w:tcPr>
            <w:tcW w:w="64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w w:val="97"/>
              </w:rPr>
              <w:t>(1,384,688 )</w:t>
            </w:r>
          </w:p>
        </w:tc>
        <w:tc>
          <w:tcPr>
            <w:tcW w:w="6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(477,208 )</w:t>
            </w:r>
          </w:p>
        </w:tc>
        <w:tc>
          <w:tcPr>
            <w:tcW w:w="260" w:type="dxa"/>
            <w:vAlign w:val="bottom"/>
          </w:tcPr>
          <w:p>
            <w:pPr>
              <w:spacing w:after="0"/>
              <w:rPr>
                <w:sz w:val="11"/>
                <w:szCs w:val="1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(2,010,934 )</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545,860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Provision for income taxes</w:t>
            </w:r>
          </w:p>
        </w:tc>
        <w:tc>
          <w:tcPr>
            <w:tcW w:w="6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(38,407 )</w:t>
            </w:r>
          </w:p>
        </w:tc>
        <w:tc>
          <w:tcPr>
            <w:tcW w:w="6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(82,376 )</w:t>
            </w: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(153,321 )</w:t>
            </w:r>
          </w:p>
        </w:tc>
        <w:tc>
          <w:tcPr>
            <w:tcW w:w="2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(525,560 )</w:t>
            </w:r>
          </w:p>
        </w:tc>
        <w:tc>
          <w:tcPr>
            <w:tcW w:w="0" w:type="dxa"/>
            <w:vAlign w:val="bottom"/>
          </w:tcPr>
          <w:p>
            <w:pPr>
              <w:spacing w:after="0"/>
              <w:rPr>
                <w:sz w:val="1"/>
                <w:szCs w:val="1"/>
                <w:color w:val="auto"/>
              </w:rPr>
            </w:pPr>
          </w:p>
        </w:tc>
      </w:tr>
      <w:tr>
        <w:trPr>
          <w:trHeight w:val="130"/>
        </w:trPr>
        <w:tc>
          <w:tcPr>
            <w:tcW w:w="5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(loss) income</w:t>
            </w:r>
          </w:p>
        </w:tc>
        <w:tc>
          <w:tcPr>
            <w:tcW w:w="640" w:type="dxa"/>
            <w:vAlign w:val="bottom"/>
          </w:tcPr>
          <w:p>
            <w:pPr>
              <w:jc w:val="right"/>
              <w:ind w:right="5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(1,423,095 </w:t>
            </w:r>
            <w:r>
              <w:rPr>
                <w:rFonts w:ascii="Times New Roman" w:cs="Times New Roman" w:eastAsia="Times New Roman" w:hAnsi="Times New Roman"/>
                <w:sz w:val="14"/>
                <w:szCs w:val="14"/>
                <w:b w:val="1"/>
                <w:bCs w:val="1"/>
                <w:color w:val="auto"/>
                <w:vertAlign w:val="subscript"/>
              </w:rPr>
              <w:t>)</w:t>
            </w:r>
          </w:p>
        </w:tc>
        <w:tc>
          <w:tcPr>
            <w:tcW w:w="640" w:type="dxa"/>
            <w:vAlign w:val="bottom"/>
          </w:tcPr>
          <w:p>
            <w:pPr>
              <w:jc w:val="right"/>
              <w:ind w:right="5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(559,584 </w:t>
            </w:r>
            <w:r>
              <w:rPr>
                <w:rFonts w:ascii="Times New Roman" w:cs="Times New Roman" w:eastAsia="Times New Roman" w:hAnsi="Times New Roman"/>
                <w:sz w:val="14"/>
                <w:szCs w:val="14"/>
                <w:b w:val="1"/>
                <w:bCs w:val="1"/>
                <w:color w:val="auto"/>
                <w:vertAlign w:val="subscript"/>
              </w:rPr>
              <w:t>)</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(2,164,255 </w:t>
            </w:r>
            <w:r>
              <w:rPr>
                <w:rFonts w:ascii="Times New Roman" w:cs="Times New Roman" w:eastAsia="Times New Roman" w:hAnsi="Times New Roman"/>
                <w:sz w:val="14"/>
                <w:szCs w:val="14"/>
                <w:b w:val="1"/>
                <w:bCs w:val="1"/>
                <w:color w:val="auto"/>
                <w:vertAlign w:val="subscript"/>
              </w:rPr>
              <w:t>)</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20,300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1,417,687</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3,508,852</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1,893,969</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8,770,367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80" w:type="dxa"/>
            <w:vAlign w:val="bottom"/>
            <w:tcBorders>
              <w:bottom w:val="single" w:sz="8" w:color="CFF0FC"/>
            </w:tcBorders>
            <w:shd w:val="clear" w:color="auto" w:fill="CFF0FC"/>
          </w:tcPr>
          <w:p>
            <w:pPr>
              <w:ind w:left="80"/>
              <w:spacing w:after="0" w:line="104" w:lineRule="exact"/>
              <w:rPr>
                <w:sz w:val="20"/>
                <w:szCs w:val="20"/>
                <w:color w:val="auto"/>
              </w:rPr>
            </w:pPr>
            <w:r>
              <w:rPr>
                <w:rFonts w:ascii="Times New Roman" w:cs="Times New Roman" w:eastAsia="Times New Roman" w:hAnsi="Times New Roman"/>
                <w:sz w:val="10"/>
                <w:szCs w:val="10"/>
                <w:color w:val="auto"/>
              </w:rPr>
              <w:t>stock subject to possible redemption</w:t>
            </w:r>
          </w:p>
        </w:tc>
        <w:tc>
          <w:tcPr>
            <w:tcW w:w="640" w:type="dxa"/>
            <w:vAlign w:val="bottom"/>
            <w:tcBorders>
              <w:bottom w:val="single" w:sz="8" w:color="auto"/>
            </w:tcBorders>
            <w:shd w:val="clear" w:color="auto" w:fill="CFF0FC"/>
          </w:tcPr>
          <w:p>
            <w:pPr>
              <w:spacing w:after="0"/>
              <w:rPr>
                <w:sz w:val="9"/>
                <w:szCs w:val="9"/>
                <w:color w:val="auto"/>
              </w:rPr>
            </w:pPr>
          </w:p>
        </w:tc>
        <w:tc>
          <w:tcPr>
            <w:tcW w:w="460" w:type="dxa"/>
            <w:vAlign w:val="bottom"/>
            <w:tcBorders>
              <w:bottom w:val="single" w:sz="8" w:color="auto"/>
            </w:tcBorders>
            <w:vMerge w:val="continue"/>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vMerge w:val="continue"/>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(0.20 </w:t>
            </w:r>
            <w:r>
              <w:rPr>
                <w:rFonts w:ascii="Times New Roman" w:cs="Times New Roman" w:eastAsia="Times New Roman" w:hAnsi="Times New Roman"/>
                <w:sz w:val="14"/>
                <w:szCs w:val="14"/>
                <w:b w:val="1"/>
                <w:bCs w:val="1"/>
                <w:color w:val="auto"/>
                <w:vertAlign w:val="subscript"/>
              </w:rPr>
              <w:t>)</w:t>
            </w:r>
          </w:p>
        </w:tc>
        <w:tc>
          <w:tcPr>
            <w:tcW w:w="640" w:type="dxa"/>
            <w:vAlign w:val="bottom"/>
          </w:tcPr>
          <w:p>
            <w:pPr>
              <w:jc w:val="right"/>
              <w:ind w:right="5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(0.06 </w:t>
            </w:r>
            <w:r>
              <w:rPr>
                <w:rFonts w:ascii="Times New Roman" w:cs="Times New Roman" w:eastAsia="Times New Roman" w:hAnsi="Times New Roman"/>
                <w:sz w:val="14"/>
                <w:szCs w:val="14"/>
                <w:b w:val="1"/>
                <w:bCs w:val="1"/>
                <w:color w:val="auto"/>
                <w:vertAlign w:val="subscript"/>
              </w:rPr>
              <w:t>)</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(0.28 </w:t>
            </w:r>
            <w:r>
              <w:rPr>
                <w:rFonts w:ascii="Times New Roman" w:cs="Times New Roman" w:eastAsia="Times New Roman" w:hAnsi="Times New Roman"/>
                <w:sz w:val="14"/>
                <w:szCs w:val="14"/>
                <w:b w:val="1"/>
                <w:bCs w:val="1"/>
                <w:color w:val="auto"/>
                <w:vertAlign w:val="subscript"/>
              </w:rPr>
              <w:t>)</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Basic and diluted weighted average shares outstanding, non-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80" w:type="dxa"/>
            <w:vAlign w:val="bottom"/>
            <w:tcBorders>
              <w:bottom w:val="single" w:sz="8" w:color="CFF0FC"/>
            </w:tcBorders>
            <w:shd w:val="clear" w:color="auto" w:fill="CFF0FC"/>
          </w:tcPr>
          <w:p>
            <w:pPr>
              <w:ind w:left="80"/>
              <w:spacing w:after="0" w:line="104" w:lineRule="exact"/>
              <w:rPr>
                <w:sz w:val="20"/>
                <w:szCs w:val="20"/>
                <w:color w:val="auto"/>
              </w:rPr>
            </w:pPr>
            <w:r>
              <w:rPr>
                <w:rFonts w:ascii="Times New Roman" w:cs="Times New Roman" w:eastAsia="Times New Roman" w:hAnsi="Times New Roman"/>
                <w:sz w:val="10"/>
                <w:szCs w:val="10"/>
                <w:color w:val="auto"/>
              </w:rPr>
              <w:t>redeemable common stock</w:t>
            </w:r>
          </w:p>
        </w:tc>
        <w:tc>
          <w:tcPr>
            <w:tcW w:w="640" w:type="dxa"/>
            <w:vAlign w:val="bottom"/>
            <w:tcBorders>
              <w:bottom w:val="single" w:sz="8" w:color="auto"/>
            </w:tcBorders>
            <w:shd w:val="clear" w:color="auto" w:fill="CFF0FC"/>
          </w:tcPr>
          <w:p>
            <w:pPr>
              <w:spacing w:after="0"/>
              <w:rPr>
                <w:sz w:val="9"/>
                <w:szCs w:val="9"/>
                <w:color w:val="auto"/>
              </w:rPr>
            </w:pPr>
          </w:p>
        </w:tc>
        <w:tc>
          <w:tcPr>
            <w:tcW w:w="460" w:type="dxa"/>
            <w:vAlign w:val="bottom"/>
            <w:tcBorders>
              <w:bottom w:val="single" w:sz="8" w:color="auto"/>
            </w:tcBorders>
            <w:vMerge w:val="continue"/>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vMerge w:val="continue"/>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(0.20 </w:t>
            </w:r>
            <w:r>
              <w:rPr>
                <w:rFonts w:ascii="Times New Roman" w:cs="Times New Roman" w:eastAsia="Times New Roman" w:hAnsi="Times New Roman"/>
                <w:sz w:val="14"/>
                <w:szCs w:val="14"/>
                <w:b w:val="1"/>
                <w:bCs w:val="1"/>
                <w:color w:val="auto"/>
                <w:vertAlign w:val="subscript"/>
              </w:rPr>
              <w:t>)</w:t>
            </w:r>
          </w:p>
        </w:tc>
        <w:tc>
          <w:tcPr>
            <w:tcW w:w="640" w:type="dxa"/>
            <w:vAlign w:val="bottom"/>
          </w:tcPr>
          <w:p>
            <w:pPr>
              <w:jc w:val="right"/>
              <w:ind w:right="5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(0.06 </w:t>
            </w:r>
            <w:r>
              <w:rPr>
                <w:rFonts w:ascii="Times New Roman" w:cs="Times New Roman" w:eastAsia="Times New Roman" w:hAnsi="Times New Roman"/>
                <w:sz w:val="14"/>
                <w:szCs w:val="14"/>
                <w:b w:val="1"/>
                <w:bCs w:val="1"/>
                <w:color w:val="auto"/>
                <w:vertAlign w:val="subscript"/>
              </w:rPr>
              <w:t>)</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(0.28 </w:t>
            </w:r>
            <w:r>
              <w:rPr>
                <w:rFonts w:ascii="Times New Roman" w:cs="Times New Roman" w:eastAsia="Times New Roman" w:hAnsi="Times New Roman"/>
                <w:sz w:val="14"/>
                <w:szCs w:val="14"/>
                <w:b w:val="1"/>
                <w:bCs w:val="1"/>
                <w:color w:val="auto"/>
                <w:vertAlign w:val="subscript"/>
              </w:rPr>
              <w:t>)</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NINE MONTHS ENDED JUNE 30,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108"/>
        </w:trPr>
        <w:tc>
          <w:tcPr>
            <w:tcW w:w="4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15"/>
        </w:trPr>
        <w:tc>
          <w:tcPr>
            <w:tcW w:w="4060" w:type="dxa"/>
            <w:vAlign w:val="bottom"/>
          </w:tcPr>
          <w:p>
            <w:pPr>
              <w:spacing w:after="0"/>
              <w:rPr>
                <w:sz w:val="10"/>
                <w:szCs w:val="1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10"/>
                <w:szCs w:val="1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31"/>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(8,486,582 )</w:t>
            </w: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(8,486,012 )</w:t>
            </w:r>
          </w:p>
        </w:tc>
      </w:tr>
      <w:tr>
        <w:trPr>
          <w:trHeight w:val="127"/>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11"/>
                <w:szCs w:val="11"/>
                <w:color w:val="auto"/>
              </w:rPr>
            </w:pPr>
          </w:p>
        </w:tc>
      </w:tr>
      <w:tr>
        <w:trPr>
          <w:trHeight w:val="114"/>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1"/>
                <w:szCs w:val="11"/>
                <w:color w:val="auto"/>
              </w:rPr>
            </w:pPr>
          </w:p>
        </w:tc>
      </w:tr>
      <w:tr>
        <w:trPr>
          <w:trHeight w:val="113"/>
        </w:trPr>
        <w:tc>
          <w:tcPr>
            <w:tcW w:w="48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(159,034 )</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28"/>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(360,314 )</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(360,314 )</w:t>
            </w:r>
          </w:p>
        </w:tc>
      </w:tr>
      <w:tr>
        <w:trPr>
          <w:trHeight w:val="127"/>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(9,155,746 )</w:t>
            </w: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(9,155,176 )</w:t>
            </w:r>
          </w:p>
        </w:tc>
      </w:tr>
      <w:tr>
        <w:trPr>
          <w:trHeight w:val="128"/>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25,200</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11"/>
                <w:szCs w:val="11"/>
                <w:color w:val="auto"/>
              </w:rPr>
            </w:pPr>
          </w:p>
        </w:tc>
      </w:tr>
      <w:tr>
        <w:trPr>
          <w:trHeight w:val="113"/>
        </w:trPr>
        <w:tc>
          <w:tcPr>
            <w:tcW w:w="48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14"/>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(347,252 )</w:t>
            </w: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27"/>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(3,774 )</w:t>
            </w:r>
          </w:p>
        </w:tc>
        <w:tc>
          <w:tcPr>
            <w:tcW w:w="200" w:type="dxa"/>
            <w:vAlign w:val="bottom"/>
          </w:tcPr>
          <w:p>
            <w:pPr>
              <w:spacing w:after="0"/>
              <w:rPr>
                <w:sz w:val="11"/>
                <w:szCs w:val="1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(100,071 )</w:t>
            </w:r>
          </w:p>
        </w:tc>
        <w:tc>
          <w:tcPr>
            <w:tcW w:w="200" w:type="dxa"/>
            <w:vAlign w:val="bottom"/>
          </w:tcPr>
          <w:p>
            <w:pPr>
              <w:spacing w:after="0"/>
              <w:rPr>
                <w:sz w:val="11"/>
                <w:szCs w:val="1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(103,845 )</w:t>
            </w:r>
          </w:p>
        </w:tc>
      </w:tr>
      <w:tr>
        <w:trPr>
          <w:trHeight w:val="128"/>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(380,846 )</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(380,846 )</w:t>
            </w:r>
          </w:p>
        </w:tc>
      </w:tr>
      <w:tr>
        <w:trPr>
          <w:trHeight w:val="127"/>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(9,636,663 )</w:t>
            </w: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(9,636,093 )</w:t>
            </w:r>
          </w:p>
        </w:tc>
      </w:tr>
      <w:tr>
        <w:trPr>
          <w:trHeight w:val="128"/>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526,209</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526,209</w:t>
            </w:r>
          </w:p>
        </w:tc>
        <w:tc>
          <w:tcPr>
            <w:tcW w:w="100" w:type="dxa"/>
            <w:vAlign w:val="bottom"/>
            <w:shd w:val="clear" w:color="auto" w:fill="CFF0FC"/>
          </w:tcPr>
          <w:p>
            <w:pPr>
              <w:spacing w:after="0"/>
              <w:rPr>
                <w:sz w:val="11"/>
                <w:szCs w:val="11"/>
                <w:color w:val="auto"/>
              </w:rPr>
            </w:pPr>
          </w:p>
        </w:tc>
      </w:tr>
      <w:tr>
        <w:trPr>
          <w:trHeight w:val="113"/>
        </w:trPr>
        <w:tc>
          <w:tcPr>
            <w:tcW w:w="48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100" w:type="dxa"/>
            <w:vAlign w:val="bottom"/>
          </w:tcPr>
          <w:p>
            <w:pPr>
              <w:spacing w:after="0"/>
              <w:rPr>
                <w:sz w:val="10"/>
                <w:szCs w:val="10"/>
                <w:color w:val="auto"/>
              </w:rPr>
            </w:pPr>
          </w:p>
        </w:tc>
      </w:tr>
      <w:tr>
        <w:trPr>
          <w:trHeight w:val="114"/>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(293,340 )</w:t>
            </w: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(293,340 )</w:t>
            </w:r>
          </w:p>
        </w:tc>
      </w:tr>
      <w:tr>
        <w:trPr>
          <w:trHeight w:val="127"/>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(1,423,095 )</w:t>
            </w:r>
          </w:p>
        </w:tc>
        <w:tc>
          <w:tcPr>
            <w:tcW w:w="200" w:type="dxa"/>
            <w:vAlign w:val="bottom"/>
          </w:tcPr>
          <w:p>
            <w:pPr>
              <w:spacing w:after="0"/>
              <w:rPr>
                <w:sz w:val="11"/>
                <w:szCs w:val="1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(1,423,095 )</w:t>
            </w:r>
          </w:p>
        </w:tc>
      </w:tr>
      <w:tr>
        <w:trPr>
          <w:trHeight w:val="128"/>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June 30, 2024</w:t>
            </w: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261,161</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8"/>
                <w:szCs w:val="8"/>
                <w:b w:val="1"/>
                <w:bCs w:val="1"/>
                <w:color w:val="auto"/>
              </w:rPr>
              <w:t xml:space="preserve">(11,059,758 </w:t>
            </w:r>
            <w:r>
              <w:rPr>
                <w:rFonts w:ascii="Times New Roman" w:cs="Times New Roman" w:eastAsia="Times New Roman" w:hAnsi="Times New Roman"/>
                <w:sz w:val="14"/>
                <w:szCs w:val="14"/>
                <w:b w:val="1"/>
                <w:bCs w:val="1"/>
                <w:color w:val="auto"/>
                <w:vertAlign w:val="subscript"/>
              </w:rPr>
              <w:t>)</w:t>
            </w: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8"/>
                <w:szCs w:val="8"/>
                <w:b w:val="1"/>
                <w:bCs w:val="1"/>
                <w:color w:val="auto"/>
              </w:rPr>
              <w:t xml:space="preserve">(10,798,027 </w:t>
            </w:r>
            <w:r>
              <w:rPr>
                <w:rFonts w:ascii="Times New Roman" w:cs="Times New Roman" w:eastAsia="Times New Roman" w:hAnsi="Times New Roman"/>
                <w:sz w:val="14"/>
                <w:szCs w:val="14"/>
                <w:b w:val="1"/>
                <w:bCs w:val="1"/>
                <w:color w:val="auto"/>
                <w:vertAlign w:val="subscript"/>
              </w:rPr>
              <w:t>)</w:t>
            </w:r>
          </w:p>
        </w:tc>
      </w:tr>
      <w:tr>
        <w:trPr>
          <w:trHeight w:val="23"/>
        </w:trPr>
        <w:tc>
          <w:tcPr>
            <w:tcW w:w="40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1"/>
        </w:trPr>
        <w:tc>
          <w:tcPr>
            <w:tcW w:w="6760" w:type="dxa"/>
            <w:vAlign w:val="bottom"/>
            <w:gridSpan w:val="7"/>
          </w:tcPr>
          <w:p>
            <w:pPr>
              <w:ind w:left="3920"/>
              <w:spacing w:after="0"/>
              <w:rPr>
                <w:sz w:val="20"/>
                <w:szCs w:val="20"/>
                <w:color w:val="auto"/>
              </w:rPr>
            </w:pPr>
            <w:r>
              <w:rPr>
                <w:rFonts w:ascii="Times New Roman" w:cs="Times New Roman" w:eastAsia="Times New Roman" w:hAnsi="Times New Roman"/>
                <w:sz w:val="10"/>
                <w:szCs w:val="10"/>
                <w:b w:val="1"/>
                <w:bCs w:val="1"/>
                <w:color w:val="auto"/>
                <w:w w:val="99"/>
              </w:rPr>
              <w:t>FOR THE THREE AND NINE MONTHS ENDED JUNE 30, 2023</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1"/>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108"/>
        </w:trPr>
        <w:tc>
          <w:tcPr>
            <w:tcW w:w="4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15"/>
        </w:trPr>
        <w:tc>
          <w:tcPr>
            <w:tcW w:w="4060" w:type="dxa"/>
            <w:vAlign w:val="bottom"/>
          </w:tcPr>
          <w:p>
            <w:pPr>
              <w:spacing w:after="0"/>
              <w:rPr>
                <w:sz w:val="10"/>
                <w:szCs w:val="1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10"/>
                <w:szCs w:val="1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31"/>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(4,091,693 )</w:t>
            </w: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(3,149,327 )</w:t>
            </w:r>
          </w:p>
        </w:tc>
      </w:tr>
      <w:tr>
        <w:trPr>
          <w:trHeight w:val="127"/>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11"/>
                <w:szCs w:val="11"/>
                <w:color w:val="auto"/>
              </w:rPr>
            </w:pPr>
          </w:p>
        </w:tc>
      </w:tr>
      <w:tr>
        <w:trPr>
          <w:trHeight w:val="114"/>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27"/>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607,027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11"/>
                <w:szCs w:val="11"/>
                <w:color w:val="auto"/>
              </w:rPr>
            </w:pPr>
          </w:p>
        </w:tc>
      </w:tr>
      <w:tr>
        <w:trPr>
          <w:trHeight w:val="128"/>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969,759</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(5,964,009)</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(4,993,680)</w:t>
            </w:r>
          </w:p>
        </w:tc>
      </w:tr>
      <w:tr>
        <w:trPr>
          <w:trHeight w:val="127"/>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11"/>
                <w:szCs w:val="11"/>
                <w:color w:val="auto"/>
              </w:rPr>
            </w:pPr>
          </w:p>
        </w:tc>
      </w:tr>
      <w:tr>
        <w:trPr>
          <w:trHeight w:val="114"/>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13"/>
        </w:trPr>
        <w:tc>
          <w:tcPr>
            <w:tcW w:w="48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(1,102,909 )</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27"/>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(997,722 )</w:t>
            </w:r>
          </w:p>
        </w:tc>
        <w:tc>
          <w:tcPr>
            <w:tcW w:w="200" w:type="dxa"/>
            <w:vAlign w:val="bottom"/>
          </w:tcPr>
          <w:p>
            <w:pPr>
              <w:spacing w:after="0"/>
              <w:rPr>
                <w:sz w:val="11"/>
                <w:szCs w:val="1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(173,077 )</w:t>
            </w:r>
          </w:p>
        </w:tc>
        <w:tc>
          <w:tcPr>
            <w:tcW w:w="200" w:type="dxa"/>
            <w:vAlign w:val="bottom"/>
          </w:tcPr>
          <w:p>
            <w:pPr>
              <w:spacing w:after="0"/>
              <w:rPr>
                <w:sz w:val="11"/>
                <w:szCs w:val="1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(1,170,799 )</w:t>
            </w:r>
          </w:p>
        </w:tc>
      </w:tr>
      <w:tr>
        <w:trPr>
          <w:trHeight w:val="128"/>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(27,143 )</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(27,143 )</w:t>
            </w:r>
          </w:p>
        </w:tc>
      </w:tr>
      <w:tr>
        <w:trPr>
          <w:trHeight w:val="127"/>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(6,833,303 )</w:t>
            </w: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(6,832,733 )</w:t>
            </w:r>
          </w:p>
        </w:tc>
      </w:tr>
      <w:tr>
        <w:trPr>
          <w:trHeight w:val="128"/>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134,363</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134,363</w:t>
            </w:r>
          </w:p>
        </w:tc>
        <w:tc>
          <w:tcPr>
            <w:tcW w:w="100" w:type="dxa"/>
            <w:vAlign w:val="bottom"/>
            <w:shd w:val="clear" w:color="auto" w:fill="CFF0FC"/>
          </w:tcPr>
          <w:p>
            <w:pPr>
              <w:spacing w:after="0"/>
              <w:rPr>
                <w:sz w:val="11"/>
                <w:szCs w:val="11"/>
                <w:color w:val="auto"/>
              </w:rPr>
            </w:pPr>
          </w:p>
        </w:tc>
      </w:tr>
      <w:tr>
        <w:trPr>
          <w:trHeight w:val="113"/>
        </w:trPr>
        <w:tc>
          <w:tcPr>
            <w:tcW w:w="48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(329,131 )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(329,131 )</w:t>
            </w:r>
          </w:p>
        </w:tc>
      </w:tr>
      <w:tr>
        <w:trPr>
          <w:trHeight w:val="128"/>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(559,584 )</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(559,584 )</w:t>
            </w:r>
          </w:p>
        </w:tc>
      </w:tr>
      <w:tr>
        <w:trPr>
          <w:trHeight w:val="128"/>
        </w:trPr>
        <w:tc>
          <w:tcPr>
            <w:tcW w:w="4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as of June 30, 2023</w:t>
            </w:r>
          </w:p>
        </w:tc>
        <w:tc>
          <w:tcPr>
            <w:tcW w:w="7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134,363</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(7,722,018 </w:t>
            </w:r>
            <w:r>
              <w:rPr>
                <w:rFonts w:ascii="Times New Roman" w:cs="Times New Roman" w:eastAsia="Times New Roman" w:hAnsi="Times New Roman"/>
                <w:sz w:val="14"/>
                <w:szCs w:val="14"/>
                <w:b w:val="1"/>
                <w:bCs w:val="1"/>
                <w:color w:val="auto"/>
                <w:vertAlign w:val="subscript"/>
              </w:rPr>
              <w:t>)</w:t>
            </w: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(7,587,085 </w:t>
            </w:r>
            <w:r>
              <w:rPr>
                <w:rFonts w:ascii="Times New Roman" w:cs="Times New Roman" w:eastAsia="Times New Roman" w:hAnsi="Times New Roman"/>
                <w:sz w:val="14"/>
                <w:szCs w:val="14"/>
                <w:b w:val="1"/>
                <w:bCs w:val="1"/>
                <w:color w:val="auto"/>
                <w:vertAlign w:val="subscript"/>
              </w:rPr>
              <w:t>)</w:t>
            </w:r>
          </w:p>
        </w:tc>
      </w:tr>
      <w:tr>
        <w:trPr>
          <w:trHeight w:val="23"/>
        </w:trPr>
        <w:tc>
          <w:tcPr>
            <w:tcW w:w="4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5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8"/>
          <w:szCs w:val="8"/>
          <w:b w:val="1"/>
          <w:bCs w:val="1"/>
          <w:color w:val="auto"/>
        </w:rPr>
        <w:t>For the Nine Months Ended</w:t>
      </w:r>
    </w:p>
    <w:p>
      <w:pPr>
        <w:spacing w:after="0" w:line="16"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8"/>
          <w:szCs w:val="8"/>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7280" w:type="dxa"/>
            <w:vAlign w:val="bottom"/>
          </w:tcPr>
          <w:p>
            <w:pPr>
              <w:spacing w:after="0"/>
              <w:rPr>
                <w:sz w:val="9"/>
                <w:szCs w:val="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(2,164,255 )</w:t>
            </w:r>
          </w:p>
        </w:tc>
        <w:tc>
          <w:tcPr>
            <w:tcW w:w="340" w:type="dxa"/>
            <w:vAlign w:val="bottom"/>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20,300</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(811,281 )</w:t>
            </w:r>
          </w:p>
        </w:tc>
        <w:tc>
          <w:tcPr>
            <w:tcW w:w="340" w:type="dxa"/>
            <w:vAlign w:val="bottom"/>
          </w:tcPr>
          <w:p>
            <w:pPr>
              <w:spacing w:after="0"/>
              <w:rPr>
                <w:sz w:val="11"/>
                <w:szCs w:val="1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(2,697,147 )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344,248</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601,809</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(8,183 )</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25,706</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1,327,705</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979,793</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39,243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117,873</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33,900</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(28,000 )</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(636,814 )</w:t>
            </w:r>
          </w:p>
        </w:tc>
        <w:tc>
          <w:tcPr>
            <w:tcW w:w="340" w:type="dxa"/>
            <w:vAlign w:val="bottom"/>
          </w:tcPr>
          <w:p>
            <w:pPr>
              <w:spacing w:after="0"/>
              <w:rPr>
                <w:sz w:val="11"/>
                <w:szCs w:val="1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(1,391,186 )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Withdrawals from trust for redemptions</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Withdrawals from trust to pay for taxes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(531,697 )</w:t>
            </w:r>
          </w:p>
        </w:tc>
        <w:tc>
          <w:tcPr>
            <w:tcW w:w="340" w:type="dxa"/>
            <w:vAlign w:val="bottom"/>
          </w:tcPr>
          <w:p>
            <w:pPr>
              <w:spacing w:after="0"/>
              <w:rPr>
                <w:sz w:val="11"/>
                <w:szCs w:val="1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(1,500,000 )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10,008,973</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492,287</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473,008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Redemptions of shares</w:t>
            </w:r>
          </w:p>
        </w:tc>
        <w:tc>
          <w:tcPr>
            <w:tcW w:w="9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(10,384,496 )</w:t>
            </w:r>
          </w:p>
        </w:tc>
        <w:tc>
          <w:tcPr>
            <w:tcW w:w="34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(117,079,879 )</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(9,419,201 )</w:t>
            </w:r>
          </w:p>
        </w:tc>
        <w:tc>
          <w:tcPr>
            <w:tcW w:w="340" w:type="dxa"/>
            <w:vAlign w:val="bottom"/>
          </w:tcPr>
          <w:p>
            <w:pPr>
              <w:spacing w:after="0"/>
              <w:rPr>
                <w:sz w:val="11"/>
                <w:szCs w:val="1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(115,129,879 )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(47,042 )</w:t>
            </w:r>
          </w:p>
        </w:tc>
        <w:tc>
          <w:tcPr>
            <w:tcW w:w="34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(137,114 )</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11"/>
                <w:szCs w:val="11"/>
                <w:color w:val="auto"/>
              </w:rPr>
            </w:pPr>
          </w:p>
        </w:tc>
      </w:tr>
      <w:tr>
        <w:trPr>
          <w:trHeight w:val="131"/>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13,242</w:t>
            </w:r>
          </w:p>
        </w:tc>
        <w:tc>
          <w:tcPr>
            <w:tcW w:w="28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40,464</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920" w:type="dxa"/>
            <w:vAlign w:val="bottom"/>
            <w:tcBorders>
              <w:bottom w:val="single" w:sz="8" w:color="auto"/>
            </w:tcBorders>
            <w:shd w:val="clear" w:color="auto" w:fill="CFF0FC"/>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1,108,476</w:t>
            </w:r>
          </w:p>
        </w:tc>
        <w:tc>
          <w:tcPr>
            <w:tcW w:w="28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3,477,548</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1"/>
                <w:szCs w:val="11"/>
                <w:color w:val="auto"/>
              </w:rPr>
            </w:pPr>
          </w:p>
        </w:tc>
        <w:tc>
          <w:tcPr>
            <w:tcW w:w="3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1"/>
                <w:szCs w:val="11"/>
                <w:color w:val="auto"/>
              </w:rPr>
            </w:pPr>
          </w:p>
        </w:tc>
      </w:tr>
      <w:tr>
        <w:trPr>
          <w:trHeight w:val="13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shd w:val="clear" w:color="auto" w:fill="CFF0FC"/>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114,078</w:t>
            </w:r>
          </w:p>
        </w:tc>
        <w:tc>
          <w:tcPr>
            <w:tcW w:w="28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Cost of issuance of debt under subscription agreements</w:t>
            </w:r>
          </w:p>
        </w:tc>
        <w:tc>
          <w:tcPr>
            <w:tcW w:w="9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462,751</w:t>
            </w:r>
          </w:p>
        </w:tc>
        <w:tc>
          <w:tcPr>
            <w:tcW w:w="280" w:type="dxa"/>
            <w:vAlign w:val="bottom"/>
          </w:tcPr>
          <w:p>
            <w:pPr>
              <w:spacing w:after="0"/>
              <w:rPr>
                <w:sz w:val="11"/>
                <w:szCs w:val="11"/>
                <w:color w:val="auto"/>
              </w:rPr>
            </w:pPr>
          </w:p>
        </w:tc>
        <w:tc>
          <w:tcPr>
            <w:tcW w:w="3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11" w:name="page212"/>
    <w:bookmarkEnd w:id="211"/>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JUNE 30,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12" w:name="page213"/>
    <w:bookmarkEnd w:id="212"/>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85" w:lineRule="auto"/>
        <w:rPr>
          <w:sz w:val="20"/>
          <w:szCs w:val="20"/>
          <w:color w:val="auto"/>
        </w:rPr>
      </w:pPr>
      <w:r>
        <w:rPr>
          <w:rFonts w:ascii="Times New Roman" w:cs="Times New Roman" w:eastAsia="Times New Roman" w:hAnsi="Times New Roman"/>
          <w:sz w:val="9"/>
          <w:szCs w:val="9"/>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13" w:name="page214"/>
    <w:bookmarkEnd w:id="213"/>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14" w:name="page215"/>
    <w:bookmarkEnd w:id="214"/>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June 30, 2024, the Company had $13,242 of cash in its bank operating account and a working capital deficiency of approximately $10.9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15" w:name="page216"/>
    <w:bookmarkEnd w:id="215"/>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16" w:name="page217"/>
    <w:bookmarkEnd w:id="216"/>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jc w:val="center"/>
        <w:ind w:right="40"/>
        <w:spacing w:after="0" w:line="380" w:lineRule="auto"/>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$13,242 and $60,284 in cash as of June 30, 2024 and September 30, 2023, respectively. 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0"/>
          <w:szCs w:val="10"/>
          <w:b w:val="1"/>
          <w:bCs w:val="1"/>
          <w:i w:val="1"/>
          <w:iCs w:val="1"/>
          <w:color w:val="auto"/>
        </w:rPr>
        <w:t>Cash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18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18" w:name="page219"/>
    <w:bookmarkEnd w:id="218"/>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7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June 30, 2024 and September 30, 2023, the common stock reflected in the balance sheets are reconciled in the following table:</w:t>
            </w: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2"/>
        </w:trPr>
        <w:tc>
          <w:tcPr>
            <w:tcW w:w="110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28"/>
        </w:trPr>
        <w:tc>
          <w:tcPr>
            <w:tcW w:w="1100" w:type="dxa"/>
            <w:vAlign w:val="bottom"/>
          </w:tcPr>
          <w:p>
            <w:pPr>
              <w:spacing w:after="0"/>
              <w:rPr>
                <w:sz w:val="11"/>
                <w:szCs w:val="11"/>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Gross Proceeds</w:t>
            </w:r>
          </w:p>
        </w:tc>
        <w:tc>
          <w:tcPr>
            <w:tcW w:w="40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11"/>
                <w:szCs w:val="11"/>
                <w:color w:val="auto"/>
              </w:rPr>
            </w:pPr>
          </w:p>
        </w:tc>
      </w:tr>
      <w:tr>
        <w:trPr>
          <w:trHeight w:val="127"/>
        </w:trPr>
        <w:tc>
          <w:tcPr>
            <w:tcW w:w="1100" w:type="dxa"/>
            <w:vAlign w:val="bottom"/>
          </w:tcPr>
          <w:p>
            <w:pPr>
              <w:spacing w:after="0"/>
              <w:rPr>
                <w:sz w:val="11"/>
                <w:szCs w:val="11"/>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allocated to Public Warrants</w:t>
            </w:r>
          </w:p>
        </w:tc>
        <w:tc>
          <w:tcPr>
            <w:tcW w:w="400" w:type="dxa"/>
            <w:vAlign w:val="bottom"/>
          </w:tcPr>
          <w:p>
            <w:pPr>
              <w:spacing w:after="0"/>
              <w:rPr>
                <w:sz w:val="11"/>
                <w:szCs w:val="1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(11,700,000 )</w:t>
            </w:r>
          </w:p>
        </w:tc>
      </w:tr>
      <w:tr>
        <w:trPr>
          <w:trHeight w:val="128"/>
        </w:trPr>
        <w:tc>
          <w:tcPr>
            <w:tcW w:w="1100" w:type="dxa"/>
            <w:vAlign w:val="bottom"/>
          </w:tcPr>
          <w:p>
            <w:pPr>
              <w:spacing w:after="0"/>
              <w:rPr>
                <w:sz w:val="11"/>
                <w:szCs w:val="11"/>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Issuance costs related to common stock</w:t>
            </w:r>
          </w:p>
        </w:tc>
        <w:tc>
          <w:tcPr>
            <w:tcW w:w="4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(3,261,589 )</w:t>
            </w:r>
          </w:p>
        </w:tc>
      </w:tr>
      <w:tr>
        <w:trPr>
          <w:trHeight w:val="127"/>
        </w:trPr>
        <w:tc>
          <w:tcPr>
            <w:tcW w:w="1100" w:type="dxa"/>
            <w:vAlign w:val="bottom"/>
          </w:tcPr>
          <w:p>
            <w:pPr>
              <w:spacing w:after="0"/>
              <w:rPr>
                <w:sz w:val="11"/>
                <w:szCs w:val="11"/>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11"/>
                <w:szCs w:val="11"/>
                <w:color w:val="auto"/>
              </w:rPr>
            </w:pPr>
          </w:p>
        </w:tc>
      </w:tr>
      <w:tr>
        <w:trPr>
          <w:trHeight w:val="114"/>
        </w:trPr>
        <w:tc>
          <w:tcPr>
            <w:tcW w:w="1100" w:type="dxa"/>
            <w:vAlign w:val="bottom"/>
          </w:tcPr>
          <w:p>
            <w:pPr>
              <w:spacing w:after="0"/>
              <w:rPr>
                <w:sz w:val="9"/>
                <w:szCs w:val="9"/>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Subsequent remeasurement of carrying value to redemption value –</w:t>
            </w:r>
          </w:p>
        </w:tc>
        <w:tc>
          <w:tcPr>
            <w:tcW w:w="4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2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Trust interest income (excluding the amount that can be withdrawn</w:t>
            </w:r>
          </w:p>
        </w:tc>
        <w:tc>
          <w:tcPr>
            <w:tcW w:w="4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27"/>
        </w:trPr>
        <w:tc>
          <w:tcPr>
            <w:tcW w:w="1100" w:type="dxa"/>
            <w:vAlign w:val="bottom"/>
          </w:tcPr>
          <w:p>
            <w:pPr>
              <w:spacing w:after="0"/>
              <w:rPr>
                <w:sz w:val="11"/>
                <w:szCs w:val="11"/>
                <w:color w:val="auto"/>
              </w:rPr>
            </w:pPr>
          </w:p>
        </w:tc>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from Trust Account for taxes)</w:t>
            </w:r>
          </w:p>
        </w:tc>
        <w:tc>
          <w:tcPr>
            <w:tcW w:w="4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1"/>
                <w:szCs w:val="11"/>
                <w:color w:val="auto"/>
              </w:rPr>
            </w:pPr>
          </w:p>
        </w:tc>
      </w:tr>
      <w:tr>
        <w:trPr>
          <w:trHeight w:val="127"/>
        </w:trPr>
        <w:tc>
          <w:tcPr>
            <w:tcW w:w="1100" w:type="dxa"/>
            <w:vAlign w:val="bottom"/>
          </w:tcPr>
          <w:p>
            <w:pPr>
              <w:spacing w:after="0"/>
              <w:rPr>
                <w:sz w:val="11"/>
                <w:szCs w:val="11"/>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2022</w:t>
            </w:r>
          </w:p>
        </w:tc>
        <w:tc>
          <w:tcPr>
            <w:tcW w:w="400" w:type="dxa"/>
            <w:vAlign w:val="bottom"/>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11"/>
                <w:szCs w:val="11"/>
                <w:color w:val="auto"/>
              </w:rPr>
            </w:pPr>
          </w:p>
        </w:tc>
      </w:tr>
      <w:tr>
        <w:trPr>
          <w:trHeight w:val="128"/>
        </w:trPr>
        <w:tc>
          <w:tcPr>
            <w:tcW w:w="1100" w:type="dxa"/>
            <w:vAlign w:val="bottom"/>
          </w:tcPr>
          <w:p>
            <w:pPr>
              <w:spacing w:after="0"/>
              <w:rPr>
                <w:sz w:val="11"/>
                <w:szCs w:val="11"/>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Redemptions</w:t>
            </w:r>
          </w:p>
        </w:tc>
        <w:tc>
          <w:tcPr>
            <w:tcW w:w="4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(129,175,094 )</w:t>
            </w:r>
          </w:p>
        </w:tc>
      </w:tr>
      <w:tr>
        <w:trPr>
          <w:trHeight w:val="127"/>
        </w:trPr>
        <w:tc>
          <w:tcPr>
            <w:tcW w:w="1100" w:type="dxa"/>
            <w:vAlign w:val="bottom"/>
          </w:tcPr>
          <w:p>
            <w:pPr>
              <w:spacing w:after="0"/>
              <w:rPr>
                <w:sz w:val="11"/>
                <w:szCs w:val="11"/>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4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11"/>
                <w:szCs w:val="11"/>
                <w:color w:val="auto"/>
              </w:rPr>
            </w:pPr>
          </w:p>
        </w:tc>
      </w:tr>
      <w:tr>
        <w:trPr>
          <w:trHeight w:val="128"/>
        </w:trPr>
        <w:tc>
          <w:tcPr>
            <w:tcW w:w="1100" w:type="dxa"/>
            <w:vAlign w:val="bottom"/>
          </w:tcPr>
          <w:p>
            <w:pPr>
              <w:spacing w:after="0"/>
              <w:rPr>
                <w:sz w:val="11"/>
                <w:szCs w:val="11"/>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2023</w:t>
            </w:r>
          </w:p>
        </w:tc>
        <w:tc>
          <w:tcPr>
            <w:tcW w:w="40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11"/>
                <w:szCs w:val="11"/>
                <w:color w:val="auto"/>
              </w:rPr>
            </w:pPr>
          </w:p>
        </w:tc>
      </w:tr>
      <w:tr>
        <w:trPr>
          <w:trHeight w:val="127"/>
        </w:trPr>
        <w:tc>
          <w:tcPr>
            <w:tcW w:w="1100" w:type="dxa"/>
            <w:vAlign w:val="bottom"/>
          </w:tcPr>
          <w:p>
            <w:pPr>
              <w:spacing w:after="0"/>
              <w:rPr>
                <w:sz w:val="11"/>
                <w:szCs w:val="11"/>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Redemptions</w:t>
            </w:r>
          </w:p>
        </w:tc>
        <w:tc>
          <w:tcPr>
            <w:tcW w:w="400" w:type="dxa"/>
            <w:vAlign w:val="bottom"/>
          </w:tcPr>
          <w:p>
            <w:pPr>
              <w:spacing w:after="0"/>
              <w:rPr>
                <w:sz w:val="11"/>
                <w:szCs w:val="1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(10,384,496 )</w:t>
            </w:r>
          </w:p>
        </w:tc>
      </w:tr>
      <w:tr>
        <w:trPr>
          <w:trHeight w:val="128"/>
        </w:trPr>
        <w:tc>
          <w:tcPr>
            <w:tcW w:w="1100" w:type="dxa"/>
            <w:vAlign w:val="bottom"/>
          </w:tcPr>
          <w:p>
            <w:pPr>
              <w:spacing w:after="0"/>
              <w:rPr>
                <w:sz w:val="11"/>
                <w:szCs w:val="11"/>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4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1,108,476</w:t>
            </w:r>
          </w:p>
        </w:tc>
        <w:tc>
          <w:tcPr>
            <w:tcW w:w="60" w:type="dxa"/>
            <w:vAlign w:val="bottom"/>
            <w:shd w:val="clear" w:color="auto" w:fill="CFF0FC"/>
          </w:tcPr>
          <w:p>
            <w:pPr>
              <w:spacing w:after="0"/>
              <w:rPr>
                <w:sz w:val="11"/>
                <w:szCs w:val="11"/>
                <w:color w:val="auto"/>
              </w:rPr>
            </w:pPr>
          </w:p>
        </w:tc>
      </w:tr>
      <w:tr>
        <w:trPr>
          <w:trHeight w:val="130"/>
        </w:trPr>
        <w:tc>
          <w:tcPr>
            <w:tcW w:w="1100" w:type="dxa"/>
            <w:vAlign w:val="bottom"/>
          </w:tcPr>
          <w:p>
            <w:pPr>
              <w:spacing w:after="0"/>
              <w:rPr>
                <w:sz w:val="11"/>
                <w:szCs w:val="11"/>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 subject to possible redemption – June 30, 2024</w:t>
            </w:r>
          </w:p>
        </w:tc>
        <w:tc>
          <w:tcPr>
            <w:tcW w:w="4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16,040,786</w:t>
            </w:r>
          </w:p>
        </w:tc>
        <w:tc>
          <w:tcPr>
            <w:tcW w:w="60" w:type="dxa"/>
            <w:vAlign w:val="bottom"/>
          </w:tcPr>
          <w:p>
            <w:pPr>
              <w:spacing w:after="0"/>
              <w:rPr>
                <w:sz w:val="11"/>
                <w:szCs w:val="1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80" w:type="dxa"/>
            <w:vAlign w:val="bottom"/>
            <w:gridSpan w:val="3"/>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3"/>
          </w:tcPr>
          <w:p>
            <w:pPr>
              <w:jc w:val="right"/>
              <w:ind w:right="199"/>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3"/>
        </w:trPr>
        <w:tc>
          <w:tcPr>
            <w:tcW w:w="1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rPr>
              <w:t>2023</w:t>
            </w:r>
          </w:p>
        </w:tc>
        <w:tc>
          <w:tcPr>
            <w:tcW w:w="800" w:type="dxa"/>
            <w:vAlign w:val="bottom"/>
          </w:tcPr>
          <w:p>
            <w:pPr>
              <w:spacing w:after="0"/>
              <w:rPr>
                <w:sz w:val="9"/>
                <w:szCs w:val="9"/>
                <w:color w:val="auto"/>
              </w:rPr>
            </w:pPr>
          </w:p>
        </w:tc>
      </w:tr>
      <w:tr>
        <w:trPr>
          <w:trHeight w:val="102"/>
        </w:trPr>
        <w:tc>
          <w:tcPr>
            <w:tcW w:w="1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Common</w:t>
            </w: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stock</w:t>
            </w: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80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40" w:type="dxa"/>
            <w:vAlign w:val="bottom"/>
          </w:tcPr>
          <w:p>
            <w:pPr>
              <w:spacing w:after="0"/>
              <w:rPr>
                <w:sz w:val="8"/>
                <w:szCs w:val="8"/>
                <w:color w:val="auto"/>
              </w:rPr>
            </w:pPr>
          </w:p>
        </w:tc>
        <w:tc>
          <w:tcPr>
            <w:tcW w:w="80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r>
      <w:tr>
        <w:trPr>
          <w:trHeight w:val="111"/>
        </w:trPr>
        <w:tc>
          <w:tcPr>
            <w:tcW w:w="1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800" w:type="dxa"/>
            <w:vAlign w:val="bottom"/>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780" w:type="dxa"/>
            <w:vAlign w:val="bottom"/>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40" w:type="dxa"/>
            <w:vAlign w:val="bottom"/>
          </w:tcPr>
          <w:p>
            <w:pPr>
              <w:spacing w:after="0"/>
              <w:rPr>
                <w:sz w:val="9"/>
                <w:szCs w:val="9"/>
                <w:color w:val="auto"/>
              </w:rPr>
            </w:pPr>
          </w:p>
        </w:tc>
        <w:tc>
          <w:tcPr>
            <w:tcW w:w="80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r>
      <w:tr>
        <w:trPr>
          <w:trHeight w:val="99"/>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i w:val="1"/>
                <w:iCs w:val="1"/>
                <w:color w:val="auto"/>
              </w:rPr>
              <w:t>Basic and diluted net (loss) income</w:t>
            </w:r>
          </w:p>
        </w:tc>
        <w:tc>
          <w:tcPr>
            <w:tcW w:w="86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r>
      <w:tr>
        <w:trPr>
          <w:trHeight w:val="114"/>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i w:val="1"/>
                <w:iCs w:val="1"/>
                <w:color w:val="auto"/>
              </w:rPr>
              <w:t>per share</w:t>
            </w:r>
          </w:p>
        </w:tc>
        <w:tc>
          <w:tcPr>
            <w:tcW w:w="8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98"/>
        </w:trPr>
        <w:tc>
          <w:tcPr>
            <w:tcW w:w="1900" w:type="dxa"/>
            <w:vAlign w:val="bottom"/>
          </w:tcPr>
          <w:p>
            <w:pPr>
              <w:spacing w:after="0"/>
              <w:rPr>
                <w:sz w:val="20"/>
                <w:szCs w:val="20"/>
                <w:color w:val="auto"/>
              </w:rPr>
            </w:pPr>
            <w:r>
              <w:rPr>
                <w:rFonts w:ascii="Times New Roman" w:cs="Times New Roman" w:eastAsia="Times New Roman" w:hAnsi="Times New Roman"/>
                <w:sz w:val="8"/>
                <w:szCs w:val="8"/>
                <w:color w:val="auto"/>
              </w:rPr>
              <w:t>Numerator: Allocation of net (loss)</w:t>
            </w: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09"/>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income, as adjusted</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rPr>
              <w:t>(283,071 )</w:t>
            </w:r>
          </w:p>
        </w:tc>
        <w:tc>
          <w:tcPr>
            <w:tcW w:w="14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(1,140,024 )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(212,999 )</w:t>
            </w:r>
          </w:p>
        </w:tc>
        <w:tc>
          <w:tcPr>
            <w:tcW w:w="14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(346,585 )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rPr>
              <w:t>(539,100 )</w:t>
            </w:r>
          </w:p>
        </w:tc>
        <w:tc>
          <w:tcPr>
            <w:tcW w:w="14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(1,625,155 )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12,296</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8,004</w:t>
            </w:r>
          </w:p>
        </w:tc>
      </w:tr>
      <w:tr>
        <w:trPr>
          <w:trHeight w:val="116"/>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Denominator:</w:t>
            </w:r>
          </w:p>
        </w:tc>
        <w:tc>
          <w:tcPr>
            <w:tcW w:w="8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98"/>
        </w:trPr>
        <w:tc>
          <w:tcPr>
            <w:tcW w:w="1900" w:type="dxa"/>
            <w:vAlign w:val="bottom"/>
          </w:tcPr>
          <w:p>
            <w:pPr>
              <w:spacing w:after="0"/>
              <w:rPr>
                <w:sz w:val="20"/>
                <w:szCs w:val="20"/>
                <w:color w:val="auto"/>
              </w:rPr>
            </w:pPr>
            <w:r>
              <w:rPr>
                <w:rFonts w:ascii="Times New Roman" w:cs="Times New Roman" w:eastAsia="Times New Roman" w:hAnsi="Times New Roman"/>
                <w:sz w:val="8"/>
                <w:szCs w:val="8"/>
                <w:color w:val="auto"/>
              </w:rPr>
              <w:t>Basic and diluted weighted average</w:t>
            </w: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09"/>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shares outstanding</w:t>
            </w:r>
          </w:p>
        </w:tc>
        <w:tc>
          <w:tcPr>
            <w:tcW w:w="860" w:type="dxa"/>
            <w:vAlign w:val="bottom"/>
          </w:tcPr>
          <w:p>
            <w:pPr>
              <w:spacing w:after="0"/>
              <w:rPr>
                <w:sz w:val="9"/>
                <w:szCs w:val="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rPr>
              <w:t>1,417,687</w:t>
            </w:r>
          </w:p>
        </w:tc>
        <w:tc>
          <w:tcPr>
            <w:tcW w:w="140" w:type="dxa"/>
            <w:vAlign w:val="bottom"/>
          </w:tcPr>
          <w:p>
            <w:pPr>
              <w:spacing w:after="0"/>
              <w:rPr>
                <w:sz w:val="9"/>
                <w:szCs w:val="9"/>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rPr>
              <w:t>3,508,852</w:t>
            </w:r>
          </w:p>
        </w:tc>
        <w:tc>
          <w:tcPr>
            <w:tcW w:w="14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rPr>
              <w:t>1,893,969</w:t>
            </w:r>
          </w:p>
        </w:tc>
        <w:tc>
          <w:tcPr>
            <w:tcW w:w="14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340" w:type="dxa"/>
            <w:vAlign w:val="bottom"/>
          </w:tcPr>
          <w:p>
            <w:pPr>
              <w:spacing w:after="0"/>
              <w:rPr>
                <w:sz w:val="9"/>
                <w:szCs w:val="9"/>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5,709,500</w:t>
            </w:r>
          </w:p>
        </w:tc>
      </w:tr>
      <w:tr>
        <w:trPr>
          <w:trHeight w:val="101"/>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Basic and diluted net (loss) income</w:t>
            </w:r>
          </w:p>
        </w:tc>
        <w:tc>
          <w:tcPr>
            <w:tcW w:w="86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r>
      <w:tr>
        <w:trPr>
          <w:trHeight w:val="112"/>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per share</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(0.20 )</w:t>
            </w:r>
          </w:p>
        </w:tc>
        <w:tc>
          <w:tcPr>
            <w:tcW w:w="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(0.20 )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rPr>
              <w:t>(0.06 )</w:t>
            </w:r>
          </w:p>
        </w:tc>
        <w:tc>
          <w:tcPr>
            <w:tcW w:w="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(0.06 )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(0.28 )</w:t>
            </w:r>
          </w:p>
        </w:tc>
        <w:tc>
          <w:tcPr>
            <w:tcW w:w="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(0.28 )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0.00</w:t>
            </w:r>
          </w:p>
        </w:tc>
        <w:tc>
          <w:tcPr>
            <w:tcW w:w="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0"/>
          <w:szCs w:val="10"/>
          <w:color w:val="auto"/>
        </w:rPr>
        <w:t>costs are recognized as an expense in the condensed statements of operations upon vesting, once the applicable performance conditions are met, with an offsetting increase to additional paid-in capital. Forfeitures are recognized as they occur.</w:t>
      </w:r>
    </w:p>
    <w:p>
      <w:pPr>
        <w:spacing w:after="0" w:line="118"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89" w:lineRule="exact"/>
        <w:rPr>
          <w:sz w:val="20"/>
          <w:szCs w:val="20"/>
          <w:color w:val="auto"/>
        </w:rPr>
      </w:pPr>
    </w:p>
    <w:p>
      <w:pPr>
        <w:ind w:right="2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08" w:lineRule="exact"/>
        <w:rPr>
          <w:sz w:val="20"/>
          <w:szCs w:val="20"/>
          <w:color w:val="auto"/>
        </w:rPr>
      </w:pPr>
    </w:p>
    <w:p>
      <w:pPr>
        <w:jc w:val="both"/>
        <w:ind w:right="160" w:firstLine="480"/>
        <w:spacing w:after="0" w:line="245" w:lineRule="auto"/>
        <w:rPr>
          <w:sz w:val="20"/>
          <w:szCs w:val="20"/>
          <w:color w:val="auto"/>
        </w:rPr>
      </w:pPr>
      <w:r>
        <w:rPr>
          <w:rFonts w:ascii="Times New Roman" w:cs="Times New Roman" w:eastAsia="Times New Roman" w:hAnsi="Times New Roman"/>
          <w:sz w:val="10"/>
          <w:szCs w:val="10"/>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 excess of the fair value of the shares purchased by executives over the price that they paid for these shares is recorded as part of the stock compensation expense in the Company’s statement of operations.</w:t>
      </w:r>
    </w:p>
    <w:p>
      <w:pPr>
        <w:spacing w:after="0" w:line="105"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05"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740 -270-25-3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20" w:name="page221"/>
    <w:bookmarkEnd w:id="220"/>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Founder Shares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Representative Common Stock</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21" w:name="page222"/>
    <w:bookmarkEnd w:id="221"/>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05" w:lineRule="exact"/>
        <w:rPr>
          <w:sz w:val="20"/>
          <w:szCs w:val="20"/>
          <w:color w:val="auto"/>
        </w:rPr>
      </w:pPr>
    </w:p>
    <w:p>
      <w:pPr>
        <w:jc w:val="center"/>
        <w:ind w:left="980" w:right="140"/>
        <w:spacing w:after="0" w:line="380"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6778625" cy="34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22" w:name="page223"/>
    <w:bookmarkEnd w:id="222"/>
    <w:p>
      <w:pPr>
        <w:jc w:val="both"/>
        <w:ind w:right="200"/>
        <w:spacing w:after="0" w:line="255" w:lineRule="auto"/>
        <w:rPr>
          <w:sz w:val="20"/>
          <w:szCs w:val="20"/>
          <w:color w:val="auto"/>
        </w:rPr>
      </w:pPr>
      <w:r>
        <w:rPr>
          <w:rFonts w:ascii="Times New Roman" w:cs="Times New Roman" w:eastAsia="Times New Roman" w:hAnsi="Times New Roman"/>
          <w:sz w:val="10"/>
          <w:szCs w:val="10"/>
          <w:color w:val="auto"/>
        </w:rPr>
        <w:t>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05"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jc w:val="center"/>
        <w:ind w:left="1020" w:right="100"/>
        <w:spacing w:after="0" w:line="380"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23" w:name="page224"/>
    <w:bookmarkEnd w:id="223"/>
    <w:p>
      <w:pPr>
        <w:ind w:right="320"/>
        <w:spacing w:after="0" w:line="255" w:lineRule="auto"/>
        <w:rPr>
          <w:sz w:val="20"/>
          <w:szCs w:val="20"/>
          <w:color w:val="auto"/>
        </w:rPr>
      </w:pPr>
      <w:r>
        <w:rPr>
          <w:rFonts w:ascii="Times New Roman" w:cs="Times New Roman" w:eastAsia="Times New Roman" w:hAnsi="Times New Roman"/>
          <w:sz w:val="10"/>
          <w:szCs w:val="10"/>
          <w:color w:val="auto"/>
        </w:rPr>
        <w:t>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15, 2024, the Company borrowed $49,619 under the Second Extension Note and deposited the funds into the Trust Account thereby extending the Termination Date to June 17, 2024.</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June 15, 2024, the Company borrowed $49,619 under the Second Extension Note and deposited the funds into the Trust Account thereby extending the Termination Date to July 17, 2024.</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$ 10,000 per month for office space, utilities and secretarial support. Upon completion of the initial Business Combination or the Company’s liquidation, the Company will cease paying these monthly fees. For the three and nine months ended June 30, 2024, the Company incurred $30,000 and $90,000, respectively in administrative service fees. For each of the three and nine months ended June 30, 2023, the Company incurred and paid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0"/>
          <w:szCs w:val="10"/>
          <w:color w:val="auto"/>
        </w:rPr>
        <w:t>$30,000 and $90,000, respectively, in administrative service fees. The Company has $60,000 and $0 related to the administrative service fees, included in the accounts payable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Agreements Liability</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agreements liability as a bundled transaction with allocation of individual items based on their relative fair values. The fair value of shares issuable under the Subscription 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26" w:name="page227"/>
    <w:bookmarkEnd w:id="226"/>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5620" w:type="dxa"/>
            <w:vAlign w:val="bottom"/>
          </w:tcPr>
          <w:p>
            <w:pPr>
              <w:spacing w:after="0"/>
              <w:rPr>
                <w:sz w:val="9"/>
                <w:szCs w:val="9"/>
                <w:color w:val="auto"/>
              </w:rPr>
            </w:pPr>
          </w:p>
        </w:tc>
        <w:tc>
          <w:tcPr>
            <w:tcW w:w="74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40" w:type="dxa"/>
            <w:vAlign w:val="bottom"/>
          </w:tcPr>
          <w:p>
            <w:pPr>
              <w:spacing w:after="0"/>
              <w:rPr>
                <w:sz w:val="9"/>
                <w:szCs w:val="9"/>
                <w:color w:val="auto"/>
              </w:rPr>
            </w:pPr>
          </w:p>
        </w:tc>
        <w:tc>
          <w:tcPr>
            <w:tcW w:w="1400" w:type="dxa"/>
            <w:vAlign w:val="bottom"/>
            <w:gridSpan w:val="2"/>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September 30, 2023</w:t>
            </w:r>
          </w:p>
        </w:tc>
        <w:tc>
          <w:tcPr>
            <w:tcW w:w="780" w:type="dxa"/>
            <w:vAlign w:val="bottom"/>
          </w:tcPr>
          <w:p>
            <w:pPr>
              <w:spacing w:after="0"/>
              <w:rPr>
                <w:sz w:val="9"/>
                <w:szCs w:val="9"/>
                <w:color w:val="auto"/>
              </w:rPr>
            </w:pPr>
          </w:p>
        </w:tc>
      </w:tr>
      <w:tr>
        <w:trPr>
          <w:trHeight w:val="115"/>
        </w:trPr>
        <w:tc>
          <w:tcPr>
            <w:tcW w:w="5620" w:type="dxa"/>
            <w:vAlign w:val="bottom"/>
          </w:tcPr>
          <w:p>
            <w:pPr>
              <w:ind w:left="5300"/>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8"/>
                <w:szCs w:val="8"/>
                <w:b w:val="1"/>
                <w:bCs w:val="1"/>
                <w:color w:val="auto"/>
              </w:rPr>
              <w:t>Level</w:t>
            </w:r>
          </w:p>
        </w:tc>
        <w:tc>
          <w:tcPr>
            <w:tcW w:w="380" w:type="dxa"/>
            <w:vAlign w:val="bottom"/>
          </w:tcPr>
          <w:p>
            <w:pPr>
              <w:spacing w:after="0"/>
              <w:rPr>
                <w:sz w:val="10"/>
                <w:szCs w:val="10"/>
                <w:color w:val="auto"/>
              </w:rPr>
            </w:pPr>
          </w:p>
        </w:tc>
        <w:tc>
          <w:tcPr>
            <w:tcW w:w="780" w:type="dxa"/>
            <w:vAlign w:val="bottom"/>
          </w:tcPr>
          <w:p>
            <w:pPr>
              <w:jc w:val="right"/>
              <w:ind w:right="39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31"/>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4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r>
      <w:tr>
        <w:trPr>
          <w:trHeight w:val="126"/>
        </w:trPr>
        <w:tc>
          <w:tcPr>
            <w:tcW w:w="5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275"/>
              <w:spacing w:after="0"/>
              <w:rPr>
                <w:sz w:val="20"/>
                <w:szCs w:val="20"/>
                <w:color w:val="auto"/>
              </w:rPr>
            </w:pPr>
            <w:r>
              <w:rPr>
                <w:rFonts w:ascii="Times New Roman" w:cs="Times New Roman" w:eastAsia="Times New Roman" w:hAnsi="Times New Roman"/>
                <w:sz w:val="10"/>
                <w:szCs w:val="10"/>
                <w:color w:val="auto"/>
              </w:rPr>
              <w:t>16,126,337</w:t>
            </w: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0"/>
                <w:szCs w:val="10"/>
                <w:color w:val="auto"/>
              </w:rPr>
              <w:t>1</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June 30,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28" w:name="page229"/>
    <w:bookmarkEnd w:id="228"/>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 was placed into a members’ voluntary liquidation.</w:t>
      </w:r>
    </w:p>
    <w:p>
      <w:pPr>
        <w:spacing w:after="0" w:line="10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July 17, 2024, the Company borrowed $49,619 under the Second Extension Note and deposited the funds into the Trust Account thereby extending the Termination Date to August 17, 2024.</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July 17, 2024, the Company issued a promissory note to the Sponsor for the aggregate amount of $381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9" w:name="page230"/>
    <w:bookmarkEnd w:id="229"/>
    <w:p>
      <w:pPr>
        <w:ind w:left="490"/>
        <w:spacing w:after="0"/>
        <w:rPr>
          <w:sz w:val="20"/>
          <w:szCs w:val="20"/>
          <w:color w:val="auto"/>
        </w:rPr>
      </w:pPr>
      <w:r>
        <w:rPr>
          <w:rFonts w:ascii="Times New Roman" w:cs="Times New Roman" w:eastAsia="Times New Roman" w:hAnsi="Times New Roman"/>
          <w:sz w:val="9"/>
          <w:szCs w:val="9"/>
          <w:color w:val="auto"/>
        </w:rPr>
        <w:t>On August 1, 2024, the Company held a special meeting of stockholders (the “Special Meeting”) virtually to approve, among other things, the Company’s initial business combination, as more fully described in the Definitive Proxy Statement filed with the U.S.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Securities and Exchange Commission on July 10, 2024.</w:t>
      </w:r>
    </w:p>
    <w:p>
      <w:pPr>
        <w:spacing w:after="0" w:line="108" w:lineRule="exact"/>
        <w:rPr>
          <w:sz w:val="20"/>
          <w:szCs w:val="20"/>
          <w:color w:val="auto"/>
        </w:rPr>
      </w:pPr>
    </w:p>
    <w:p>
      <w:pPr>
        <w:ind w:left="10" w:right="1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01" w:lineRule="exact"/>
        <w:rPr>
          <w:sz w:val="20"/>
          <w:szCs w:val="20"/>
          <w:color w:val="auto"/>
        </w:rPr>
      </w:pPr>
    </w:p>
    <w:p>
      <w:pPr>
        <w:jc w:val="both"/>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05" w:lineRule="exact"/>
        <w:rPr>
          <w:sz w:val="20"/>
          <w:szCs w:val="20"/>
          <w:color w:val="auto"/>
        </w:rPr>
      </w:pPr>
    </w:p>
    <w:p>
      <w:pPr>
        <w:ind w:left="10" w:right="520" w:firstLine="480"/>
        <w:spacing w:after="0" w:line="255" w:lineRule="auto"/>
        <w:rPr>
          <w:sz w:val="20"/>
          <w:szCs w:val="20"/>
          <w:color w:val="auto"/>
        </w:rPr>
      </w:pPr>
      <w:r>
        <w:rPr>
          <w:rFonts w:ascii="Times New Roman" w:cs="Times New Roman" w:eastAsia="Times New Roman" w:hAnsi="Times New Roman"/>
          <w:sz w:val="10"/>
          <w:szCs w:val="10"/>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01"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Upon consummation of the Business Combination, on August 15, 2024, (i) Rezolve AI effected a re-classification of its share capital whereby Rezolve AI series A shares were reclassified as ordinary shares of same class as existing ordinary shares on issue in Rezolve AI, with nominal value £0.0001 per share (the “Rezolve Ordinary Shares”), and (ii) the Company merged with and into Rezolve Merger Sub, with the Company surviving as a wholly owned subsidiary of Rezolve AI, with shareholders of the Company received Rezolve Ordinary Shares in exchange for their existing common stock of the Company and the Company warrant holders having their warrants automatically exchanged for warrants of Rezolve.</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In contemplation of closing of the Business combination the Company has entered into the following agreements with their vendors which were not paid in cash at the closing of the Business Combination:</w:t>
      </w:r>
    </w:p>
    <w:p>
      <w:pPr>
        <w:spacing w:after="0" w:line="118" w:lineRule="exact"/>
        <w:rPr>
          <w:sz w:val="20"/>
          <w:szCs w:val="20"/>
          <w:color w:val="auto"/>
        </w:rPr>
      </w:pPr>
    </w:p>
    <w:p>
      <w:pPr>
        <w:ind w:left="10" w:right="40" w:firstLine="480"/>
        <w:spacing w:after="0" w:line="272" w:lineRule="auto"/>
        <w:rPr>
          <w:sz w:val="20"/>
          <w:szCs w:val="20"/>
          <w:color w:val="auto"/>
        </w:rPr>
      </w:pPr>
      <w:r>
        <w:rPr>
          <w:rFonts w:ascii="Times New Roman" w:cs="Times New Roman" w:eastAsia="Times New Roman" w:hAnsi="Times New Roman"/>
          <w:sz w:val="9"/>
          <w:szCs w:val="9"/>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w:t>
      </w:r>
    </w:p>
    <w:p>
      <w:pPr>
        <w:ind w:left="10" w:right="40" w:hanging="10"/>
        <w:spacing w:after="0" w:line="235" w:lineRule="auto"/>
        <w:tabs>
          <w:tab w:leader="none" w:pos="143"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and Rezolve AI.</w:t>
      </w:r>
    </w:p>
    <w:p>
      <w:pPr>
        <w:spacing w:after="0" w:line="109" w:lineRule="exact"/>
        <w:rPr>
          <w:sz w:val="20"/>
          <w:szCs w:val="20"/>
          <w:color w:val="auto"/>
        </w:rPr>
      </w:pPr>
    </w:p>
    <w:p>
      <w:pPr>
        <w:ind w:left="10" w:right="40" w:firstLine="480"/>
        <w:spacing w:after="0" w:line="239" w:lineRule="auto"/>
        <w:rPr>
          <w:sz w:val="20"/>
          <w:szCs w:val="20"/>
          <w:color w:val="auto"/>
        </w:rPr>
      </w:pPr>
      <w:r>
        <w:rPr>
          <w:rFonts w:ascii="Times New Roman" w:cs="Times New Roman" w:eastAsia="Times New Roman" w:hAnsi="Times New Roman"/>
          <w:sz w:val="10"/>
          <w:szCs w:val="10"/>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and Rezolve AI.</w:t>
      </w:r>
    </w:p>
    <w:p>
      <w:pPr>
        <w:spacing w:after="0" w:line="110" w:lineRule="exact"/>
        <w:rPr>
          <w:sz w:val="20"/>
          <w:szCs w:val="20"/>
          <w:color w:val="auto"/>
        </w:rPr>
      </w:pPr>
    </w:p>
    <w:p>
      <w:pPr>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Agent’s</w:t>
      </w:r>
    </w:p>
    <w:p>
      <w:pPr>
        <w:spacing w:after="0" w:line="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155" w:right="620" w:bottom="1440" w:gutter="0" w:footer="0" w:header="0"/>
        </w:sectPr>
      </w:pPr>
    </w:p>
    <w:bookmarkStart w:id="230" w:name="page231"/>
    <w:bookmarkEnd w:id="230"/>
    <w:p>
      <w:pPr>
        <w:spacing w:after="0" w:line="239" w:lineRule="auto"/>
        <w:rPr>
          <w:sz w:val="20"/>
          <w:szCs w:val="20"/>
          <w:color w:val="auto"/>
        </w:rPr>
      </w:pPr>
      <w:r>
        <w:rPr>
          <w:rFonts w:ascii="Times New Roman" w:cs="Times New Roman" w:eastAsia="Times New Roman" w:hAnsi="Times New Roman"/>
          <w:sz w:val="10"/>
          <w:szCs w:val="10"/>
          <w:color w:val="auto"/>
        </w:rPr>
        <w:t>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94"/>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rPr>
                <w:sz w:val="10"/>
                <w:szCs w:val="10"/>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107,722</w:t>
            </w:r>
          </w:p>
        </w:tc>
        <w:tc>
          <w:tcPr>
            <w:tcW w:w="280" w:type="dxa"/>
            <w:vAlign w:val="bottom"/>
          </w:tcPr>
          <w:p>
            <w:pPr>
              <w:spacing w:after="0"/>
              <w:rPr>
                <w:sz w:val="11"/>
                <w:szCs w:val="11"/>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3,781</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111,503</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Investments held in Trust Account</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15,771,190</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11"/>
                <w:szCs w:val="11"/>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7280" w:type="dxa"/>
            <w:vAlign w:val="bottom"/>
            <w:shd w:val="clear" w:color="auto" w:fill="CFF0FC"/>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5,392,262</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22,600</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54,544</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Subscription agreement liability, net</w:t>
            </w:r>
          </w:p>
        </w:tc>
        <w:tc>
          <w:tcPr>
            <w:tcW w:w="9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129,738</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9,771,340</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 at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redemption value of approximately $11.11 and $10.71 per share at March 31,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15,747,446</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9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1,417,687 and 2,363,349 shares subject to</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March 31,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(9,636,663 )</w:t>
            </w:r>
          </w:p>
        </w:tc>
        <w:tc>
          <w:tcPr>
            <w:tcW w:w="260" w:type="dxa"/>
            <w:vAlign w:val="bottom"/>
          </w:tcPr>
          <w:p>
            <w:pPr>
              <w:spacing w:after="0"/>
              <w:rPr>
                <w:sz w:val="11"/>
                <w:szCs w:val="1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(9,636,093 )</w:t>
            </w: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11"/>
        </w:trPr>
        <w:tc>
          <w:tcPr>
            <w:tcW w:w="7280" w:type="dxa"/>
            <w:vAlign w:val="bottom"/>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28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1980" w:type="dxa"/>
            <w:vAlign w:val="bottom"/>
            <w:gridSpan w:val="4"/>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gridSpan w:val="3"/>
          </w:tcPr>
          <w:p>
            <w:pPr>
              <w:jc w:val="right"/>
              <w:ind w:right="291"/>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Formation and operating costs</w:t>
            </w:r>
          </w:p>
        </w:tc>
        <w:tc>
          <w:tcPr>
            <w:tcW w:w="66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459,911</w:t>
            </w: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533"/>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790,735</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1,031,440</w:t>
            </w: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1,185,087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4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6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25,200</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75,600</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Loss from operations</w:t>
            </w:r>
          </w:p>
        </w:tc>
        <w:tc>
          <w:tcPr>
            <w:tcW w:w="6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(485,111 )</w:t>
            </w:r>
          </w:p>
        </w:tc>
        <w:tc>
          <w:tcPr>
            <w:tcW w:w="6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(818,698 )</w:t>
            </w: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(1,107,040 )</w:t>
            </w:r>
          </w:p>
        </w:tc>
        <w:tc>
          <w:tcPr>
            <w:tcW w:w="4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(1,241,013 )</w:t>
            </w:r>
          </w:p>
        </w:tc>
        <w:tc>
          <w:tcPr>
            <w:tcW w:w="0" w:type="dxa"/>
            <w:vAlign w:val="bottom"/>
          </w:tcPr>
          <w:p>
            <w:pPr>
              <w:spacing w:after="0"/>
              <w:rPr>
                <w:sz w:val="1"/>
                <w:szCs w:val="1"/>
                <w:color w:val="auto"/>
              </w:rPr>
            </w:pPr>
          </w:p>
        </w:tc>
      </w:tr>
      <w:tr>
        <w:trPr>
          <w:trHeight w:val="127"/>
        </w:trPr>
        <w:tc>
          <w:tcPr>
            <w:tcW w:w="5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Other income</w:t>
            </w: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6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(118,811 )</w:t>
            </w:r>
          </w:p>
        </w:tc>
        <w:tc>
          <w:tcPr>
            <w:tcW w:w="6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(124,198 )</w:t>
            </w:r>
          </w:p>
        </w:tc>
        <w:tc>
          <w:tcPr>
            <w:tcW w:w="4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5480" w:type="dxa"/>
            <w:vAlign w:val="bottom"/>
          </w:tcPr>
          <w:p>
            <w:pPr>
              <w:spacing w:after="0"/>
              <w:rPr>
                <w:sz w:val="20"/>
                <w:szCs w:val="20"/>
                <w:color w:val="auto"/>
              </w:rPr>
            </w:pPr>
            <w:r>
              <w:rPr>
                <w:rFonts w:ascii="Times New Roman" w:cs="Times New Roman" w:eastAsia="Times New Roman" w:hAnsi="Times New Roman"/>
                <w:sz w:val="10"/>
                <w:szCs w:val="10"/>
                <w:color w:val="auto"/>
              </w:rPr>
              <w:t>Trust interest income</w:t>
            </w:r>
          </w:p>
        </w:tc>
        <w:tc>
          <w:tcPr>
            <w:tcW w:w="6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270,156</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974,408</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604,992</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2,264,081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 other income, net</w:t>
            </w:r>
          </w:p>
        </w:tc>
        <w:tc>
          <w:tcPr>
            <w:tcW w:w="6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151,345</w:t>
            </w: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974,408</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480,794</w:t>
            </w: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2,264,081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480" w:type="dxa"/>
            <w:vAlign w:val="bottom"/>
          </w:tcPr>
          <w:p>
            <w:pPr>
              <w:spacing w:after="0"/>
              <w:rPr>
                <w:sz w:val="20"/>
                <w:szCs w:val="20"/>
                <w:color w:val="auto"/>
              </w:rPr>
            </w:pPr>
            <w:r>
              <w:rPr>
                <w:rFonts w:ascii="Times New Roman" w:cs="Times New Roman" w:eastAsia="Times New Roman" w:hAnsi="Times New Roman"/>
                <w:sz w:val="10"/>
                <w:szCs w:val="10"/>
                <w:color w:val="auto"/>
              </w:rPr>
              <w:t>(Loss) Income before provision for income taxes</w:t>
            </w:r>
          </w:p>
        </w:tc>
        <w:tc>
          <w:tcPr>
            <w:tcW w:w="66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(333,766 )</w:t>
            </w:r>
          </w:p>
        </w:tc>
        <w:tc>
          <w:tcPr>
            <w:tcW w:w="6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155,710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(626,246 )</w:t>
            </w: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1,023,068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Provision for income taxes</w:t>
            </w:r>
          </w:p>
        </w:tc>
        <w:tc>
          <w:tcPr>
            <w:tcW w:w="6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(47,080 )</w:t>
            </w:r>
          </w:p>
        </w:tc>
        <w:tc>
          <w:tcPr>
            <w:tcW w:w="6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(182,853 )</w:t>
            </w: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(114,914 )</w:t>
            </w:r>
          </w:p>
        </w:tc>
        <w:tc>
          <w:tcPr>
            <w:tcW w:w="4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(443,184 )</w:t>
            </w:r>
          </w:p>
        </w:tc>
        <w:tc>
          <w:tcPr>
            <w:tcW w:w="0" w:type="dxa"/>
            <w:vAlign w:val="bottom"/>
          </w:tcPr>
          <w:p>
            <w:pPr>
              <w:spacing w:after="0"/>
              <w:rPr>
                <w:sz w:val="1"/>
                <w:szCs w:val="1"/>
                <w:color w:val="auto"/>
              </w:rPr>
            </w:pPr>
          </w:p>
        </w:tc>
      </w:tr>
      <w:tr>
        <w:trPr>
          <w:trHeight w:val="130"/>
        </w:trPr>
        <w:tc>
          <w:tcPr>
            <w:tcW w:w="5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660" w:type="dxa"/>
            <w:vAlign w:val="bottom"/>
          </w:tcPr>
          <w:p>
            <w:pPr>
              <w:jc w:val="right"/>
              <w:ind w:right="55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(380,846 </w:t>
            </w:r>
            <w:r>
              <w:rPr>
                <w:rFonts w:ascii="Times New Roman" w:cs="Times New Roman" w:eastAsia="Times New Roman" w:hAnsi="Times New Roman"/>
                <w:sz w:val="14"/>
                <w:szCs w:val="14"/>
                <w:b w:val="1"/>
                <w:bCs w:val="1"/>
                <w:color w:val="auto"/>
                <w:vertAlign w:val="subscript"/>
              </w:rPr>
              <w:t>)</w:t>
            </w:r>
          </w:p>
        </w:tc>
        <w:tc>
          <w:tcPr>
            <w:tcW w:w="640" w:type="dxa"/>
            <w:vAlign w:val="bottom"/>
          </w:tcPr>
          <w:p>
            <w:pPr>
              <w:jc w:val="right"/>
              <w:ind w:right="5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(27,143 </w:t>
            </w:r>
            <w:r>
              <w:rPr>
                <w:rFonts w:ascii="Times New Roman" w:cs="Times New Roman" w:eastAsia="Times New Roman" w:hAnsi="Times New Roman"/>
                <w:sz w:val="14"/>
                <w:szCs w:val="14"/>
                <w:b w:val="1"/>
                <w:bCs w:val="1"/>
                <w:color w:val="auto"/>
                <w:vertAlign w:val="subscript"/>
              </w:rPr>
              <w:t>)</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(741,160 </w:t>
            </w:r>
            <w:r>
              <w:rPr>
                <w:rFonts w:ascii="Times New Roman" w:cs="Times New Roman" w:eastAsia="Times New Roman" w:hAnsi="Times New Roman"/>
                <w:sz w:val="14"/>
                <w:szCs w:val="14"/>
                <w:b w:val="1"/>
                <w:bCs w:val="1"/>
                <w:color w:val="auto"/>
                <w:vertAlign w:val="subscript"/>
              </w:rPr>
              <w:t>)</w:t>
            </w:r>
          </w:p>
        </w:tc>
        <w:tc>
          <w:tcPr>
            <w:tcW w:w="400" w:type="dxa"/>
            <w:vAlign w:val="bottom"/>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579,884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1,895,714</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7,722,273</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2,130,809</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11,401,124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80" w:type="dxa"/>
            <w:vAlign w:val="bottom"/>
            <w:tcBorders>
              <w:bottom w:val="single" w:sz="8" w:color="CFF0FC"/>
            </w:tcBorders>
            <w:shd w:val="clear" w:color="auto" w:fill="CFF0FC"/>
          </w:tcPr>
          <w:p>
            <w:pPr>
              <w:ind w:left="80"/>
              <w:spacing w:after="0" w:line="104" w:lineRule="exact"/>
              <w:rPr>
                <w:sz w:val="20"/>
                <w:szCs w:val="20"/>
                <w:color w:val="auto"/>
              </w:rPr>
            </w:pPr>
            <w:r>
              <w:rPr>
                <w:rFonts w:ascii="Times New Roman" w:cs="Times New Roman" w:eastAsia="Times New Roman" w:hAnsi="Times New Roman"/>
                <w:sz w:val="10"/>
                <w:szCs w:val="10"/>
                <w:color w:val="auto"/>
              </w:rPr>
              <w:t>common stock subject to possible redemption</w:t>
            </w:r>
          </w:p>
        </w:tc>
        <w:tc>
          <w:tcPr>
            <w:tcW w:w="66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vMerge w:val="continue"/>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vMerge w:val="continue"/>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(0.05 </w:t>
            </w:r>
            <w:r>
              <w:rPr>
                <w:rFonts w:ascii="Times New Roman" w:cs="Times New Roman" w:eastAsia="Times New Roman" w:hAnsi="Times New Roman"/>
                <w:sz w:val="14"/>
                <w:szCs w:val="14"/>
                <w:b w:val="1"/>
                <w:bCs w:val="1"/>
                <w:color w:val="auto"/>
                <w:vertAlign w:val="subscript"/>
              </w:rPr>
              <w:t>)</w:t>
            </w:r>
          </w:p>
        </w:tc>
        <w:tc>
          <w:tcPr>
            <w:tcW w:w="640" w:type="dxa"/>
            <w:vAlign w:val="bottom"/>
          </w:tcPr>
          <w:p>
            <w:pPr>
              <w:jc w:val="right"/>
              <w:ind w:right="5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(0.00 </w:t>
            </w:r>
            <w:r>
              <w:rPr>
                <w:rFonts w:ascii="Times New Roman" w:cs="Times New Roman" w:eastAsia="Times New Roman" w:hAnsi="Times New Roman"/>
                <w:sz w:val="14"/>
                <w:szCs w:val="14"/>
                <w:b w:val="1"/>
                <w:bCs w:val="1"/>
                <w:color w:val="auto"/>
                <w:vertAlign w:val="subscript"/>
              </w:rPr>
              <w:t>)</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(0.09 </w:t>
            </w:r>
            <w:r>
              <w:rPr>
                <w:rFonts w:ascii="Times New Roman" w:cs="Times New Roman" w:eastAsia="Times New Roman" w:hAnsi="Times New Roman"/>
                <w:sz w:val="14"/>
                <w:szCs w:val="14"/>
                <w:b w:val="1"/>
                <w:bCs w:val="1"/>
                <w:color w:val="auto"/>
                <w:vertAlign w:val="subscript"/>
              </w:rPr>
              <w:t>)</w:t>
            </w:r>
          </w:p>
        </w:tc>
        <w:tc>
          <w:tcPr>
            <w:tcW w:w="400" w:type="dxa"/>
            <w:vAlign w:val="bottom"/>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80" w:type="dxa"/>
            <w:vAlign w:val="bottom"/>
            <w:tcBorders>
              <w:bottom w:val="single" w:sz="8" w:color="CFF0FC"/>
            </w:tcBorders>
            <w:shd w:val="clear" w:color="auto" w:fill="CFF0FC"/>
          </w:tcPr>
          <w:p>
            <w:pPr>
              <w:ind w:left="80"/>
              <w:spacing w:after="0" w:line="104" w:lineRule="exact"/>
              <w:rPr>
                <w:sz w:val="20"/>
                <w:szCs w:val="20"/>
                <w:color w:val="auto"/>
              </w:rPr>
            </w:pPr>
            <w:r>
              <w:rPr>
                <w:rFonts w:ascii="Times New Roman" w:cs="Times New Roman" w:eastAsia="Times New Roman" w:hAnsi="Times New Roman"/>
                <w:sz w:val="10"/>
                <w:szCs w:val="10"/>
                <w:color w:val="auto"/>
              </w:rPr>
              <w:t>non-redeemable common stock</w:t>
            </w:r>
          </w:p>
        </w:tc>
        <w:tc>
          <w:tcPr>
            <w:tcW w:w="66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vMerge w:val="continue"/>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vMerge w:val="continue"/>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(0.05 </w:t>
            </w:r>
            <w:r>
              <w:rPr>
                <w:rFonts w:ascii="Times New Roman" w:cs="Times New Roman" w:eastAsia="Times New Roman" w:hAnsi="Times New Roman"/>
                <w:sz w:val="14"/>
                <w:szCs w:val="14"/>
                <w:b w:val="1"/>
                <w:bCs w:val="1"/>
                <w:color w:val="auto"/>
                <w:vertAlign w:val="subscript"/>
              </w:rPr>
              <w:t>)</w:t>
            </w:r>
          </w:p>
        </w:tc>
        <w:tc>
          <w:tcPr>
            <w:tcW w:w="640" w:type="dxa"/>
            <w:vAlign w:val="bottom"/>
          </w:tcPr>
          <w:p>
            <w:pPr>
              <w:jc w:val="right"/>
              <w:ind w:right="5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(0.00 </w:t>
            </w:r>
            <w:r>
              <w:rPr>
                <w:rFonts w:ascii="Times New Roman" w:cs="Times New Roman" w:eastAsia="Times New Roman" w:hAnsi="Times New Roman"/>
                <w:sz w:val="14"/>
                <w:szCs w:val="14"/>
                <w:b w:val="1"/>
                <w:bCs w:val="1"/>
                <w:color w:val="auto"/>
                <w:vertAlign w:val="subscript"/>
              </w:rPr>
              <w:t>)</w:t>
            </w: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(0.09 </w:t>
            </w:r>
            <w:r>
              <w:rPr>
                <w:rFonts w:ascii="Times New Roman" w:cs="Times New Roman" w:eastAsia="Times New Roman" w:hAnsi="Times New Roman"/>
                <w:sz w:val="14"/>
                <w:szCs w:val="14"/>
                <w:b w:val="1"/>
                <w:bCs w:val="1"/>
                <w:color w:val="auto"/>
                <w:vertAlign w:val="subscript"/>
              </w:rPr>
              <w:t>)</w:t>
            </w:r>
          </w:p>
        </w:tc>
        <w:tc>
          <w:tcPr>
            <w:tcW w:w="400" w:type="dxa"/>
            <w:vAlign w:val="bottom"/>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SIX MONTHS ENDED MARCH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108"/>
        </w:trPr>
        <w:tc>
          <w:tcPr>
            <w:tcW w:w="4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60" w:type="dxa"/>
            <w:vAlign w:val="bottom"/>
          </w:tcPr>
          <w:p>
            <w:pPr>
              <w:spacing w:after="0"/>
              <w:rPr>
                <w:sz w:val="9"/>
                <w:szCs w:val="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15"/>
        </w:trPr>
        <w:tc>
          <w:tcPr>
            <w:tcW w:w="4500" w:type="dxa"/>
            <w:vAlign w:val="bottom"/>
          </w:tcPr>
          <w:p>
            <w:pPr>
              <w:spacing w:after="0"/>
              <w:rPr>
                <w:sz w:val="10"/>
                <w:szCs w:val="1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6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31"/>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(8,486,012 )</w:t>
            </w:r>
          </w:p>
        </w:tc>
      </w:tr>
      <w:tr>
        <w:trPr>
          <w:trHeight w:val="127"/>
        </w:trPr>
        <w:tc>
          <w:tcPr>
            <w:tcW w:w="5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50,400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11"/>
                <w:szCs w:val="11"/>
                <w:color w:val="auto"/>
              </w:rPr>
            </w:pPr>
          </w:p>
        </w:tc>
      </w:tr>
      <w:tr>
        <w:trPr>
          <w:trHeight w:val="114"/>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1"/>
                <w:szCs w:val="11"/>
                <w:color w:val="auto"/>
              </w:rPr>
            </w:pPr>
          </w:p>
        </w:tc>
      </w:tr>
      <w:tr>
        <w:trPr>
          <w:trHeight w:val="113"/>
        </w:trPr>
        <w:tc>
          <w:tcPr>
            <w:tcW w:w="516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(159,034 )</w:t>
            </w:r>
          </w:p>
        </w:tc>
        <w:tc>
          <w:tcPr>
            <w:tcW w:w="16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160" w:type="dxa"/>
            <w:vAlign w:val="bottom"/>
          </w:tcPr>
          <w:p>
            <w:pPr>
              <w:spacing w:after="0"/>
              <w:rPr>
                <w:sz w:val="10"/>
                <w:szCs w:val="1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28"/>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(360,314 )</w:t>
            </w:r>
          </w:p>
        </w:tc>
      </w:tr>
      <w:tr>
        <w:trPr>
          <w:trHeight w:val="127"/>
        </w:trPr>
        <w:tc>
          <w:tcPr>
            <w:tcW w:w="51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(9,155,746 )</w:t>
            </w: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(9,155,176 )</w:t>
            </w:r>
          </w:p>
        </w:tc>
      </w:tr>
      <w:tr>
        <w:trPr>
          <w:trHeight w:val="128"/>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25,200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11"/>
                <w:szCs w:val="11"/>
                <w:color w:val="auto"/>
              </w:rPr>
            </w:pPr>
          </w:p>
        </w:tc>
      </w:tr>
      <w:tr>
        <w:trPr>
          <w:trHeight w:val="113"/>
        </w:trPr>
        <w:tc>
          <w:tcPr>
            <w:tcW w:w="516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14"/>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(347,252 )</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27"/>
        </w:trPr>
        <w:tc>
          <w:tcPr>
            <w:tcW w:w="5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(3,774 )</w:t>
            </w:r>
          </w:p>
        </w:tc>
        <w:tc>
          <w:tcPr>
            <w:tcW w:w="160" w:type="dxa"/>
            <w:vAlign w:val="bottom"/>
          </w:tcPr>
          <w:p>
            <w:pPr>
              <w:spacing w:after="0"/>
              <w:rPr>
                <w:sz w:val="11"/>
                <w:szCs w:val="1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(100,071 )</w:t>
            </w:r>
          </w:p>
        </w:tc>
        <w:tc>
          <w:tcPr>
            <w:tcW w:w="160" w:type="dxa"/>
            <w:vAlign w:val="bottom"/>
          </w:tcPr>
          <w:p>
            <w:pPr>
              <w:spacing w:after="0"/>
              <w:rPr>
                <w:sz w:val="11"/>
                <w:szCs w:val="1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(103,845 )</w:t>
            </w:r>
          </w:p>
        </w:tc>
      </w:tr>
      <w:tr>
        <w:trPr>
          <w:trHeight w:val="128"/>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(380,846 )</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(380,846 )</w:t>
            </w:r>
          </w:p>
        </w:tc>
      </w:tr>
      <w:tr>
        <w:trPr>
          <w:trHeight w:val="128"/>
        </w:trPr>
        <w:tc>
          <w:tcPr>
            <w:tcW w:w="45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6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11"/>
                <w:szCs w:val="11"/>
                <w:color w:val="auto"/>
              </w:rPr>
            </w:pP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(9,636,663 </w:t>
            </w:r>
            <w:r>
              <w:rPr>
                <w:rFonts w:ascii="Times New Roman" w:cs="Times New Roman" w:eastAsia="Times New Roman" w:hAnsi="Times New Roman"/>
                <w:sz w:val="14"/>
                <w:szCs w:val="14"/>
                <w:b w:val="1"/>
                <w:bCs w:val="1"/>
                <w:color w:val="auto"/>
                <w:vertAlign w:val="subscript"/>
              </w:rPr>
              <w:t>)</w:t>
            </w: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(9,636,093 </w:t>
            </w:r>
            <w:r>
              <w:rPr>
                <w:rFonts w:ascii="Times New Roman" w:cs="Times New Roman" w:eastAsia="Times New Roman" w:hAnsi="Times New Roman"/>
                <w:sz w:val="14"/>
                <w:szCs w:val="14"/>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840" w:type="dxa"/>
            <w:vAlign w:val="bottom"/>
            <w:gridSpan w:val="6"/>
          </w:tcPr>
          <w:p>
            <w:pPr>
              <w:ind w:left="3900"/>
              <w:spacing w:after="0"/>
              <w:rPr>
                <w:sz w:val="20"/>
                <w:szCs w:val="20"/>
                <w:color w:val="auto"/>
              </w:rPr>
            </w:pPr>
            <w:r>
              <w:rPr>
                <w:rFonts w:ascii="Times New Roman" w:cs="Times New Roman" w:eastAsia="Times New Roman" w:hAnsi="Times New Roman"/>
                <w:sz w:val="10"/>
                <w:szCs w:val="10"/>
                <w:b w:val="1"/>
                <w:bCs w:val="1"/>
                <w:color w:val="auto"/>
              </w:rPr>
              <w:t>FOR THE THREE AND SIX MONTHS ENDED MARCH 31, 2023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4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108"/>
        </w:trPr>
        <w:tc>
          <w:tcPr>
            <w:tcW w:w="4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60" w:type="dxa"/>
            <w:vAlign w:val="bottom"/>
          </w:tcPr>
          <w:p>
            <w:pPr>
              <w:spacing w:after="0"/>
              <w:rPr>
                <w:sz w:val="9"/>
                <w:szCs w:val="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15"/>
        </w:trPr>
        <w:tc>
          <w:tcPr>
            <w:tcW w:w="4500" w:type="dxa"/>
            <w:vAlign w:val="bottom"/>
          </w:tcPr>
          <w:p>
            <w:pPr>
              <w:spacing w:after="0"/>
              <w:rPr>
                <w:sz w:val="10"/>
                <w:szCs w:val="1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6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31"/>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941,796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(3,149,327 )</w:t>
            </w:r>
          </w:p>
        </w:tc>
      </w:tr>
      <w:tr>
        <w:trPr>
          <w:trHeight w:val="127"/>
        </w:trPr>
        <w:tc>
          <w:tcPr>
            <w:tcW w:w="5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11"/>
                <w:szCs w:val="11"/>
                <w:color w:val="auto"/>
              </w:rPr>
            </w:pPr>
          </w:p>
        </w:tc>
      </w:tr>
      <w:tr>
        <w:trPr>
          <w:trHeight w:val="114"/>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27"/>
        </w:trPr>
        <w:tc>
          <w:tcPr>
            <w:tcW w:w="5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607,027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11"/>
                <w:szCs w:val="11"/>
                <w:color w:val="auto"/>
              </w:rPr>
            </w:pPr>
          </w:p>
        </w:tc>
      </w:tr>
      <w:tr>
        <w:trPr>
          <w:trHeight w:val="128"/>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969,759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(5,964,009 )</w:t>
            </w: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(4,993,680 )</w:t>
            </w:r>
          </w:p>
        </w:tc>
      </w:tr>
      <w:tr>
        <w:trPr>
          <w:trHeight w:val="127"/>
        </w:trPr>
        <w:tc>
          <w:tcPr>
            <w:tcW w:w="5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11"/>
                <w:szCs w:val="11"/>
                <w:color w:val="auto"/>
              </w:rPr>
            </w:pPr>
          </w:p>
        </w:tc>
      </w:tr>
      <w:tr>
        <w:trPr>
          <w:trHeight w:val="114"/>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Capital contribution made by Sponsor related to the</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shareholder non-redemption agreements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13"/>
        </w:trPr>
        <w:tc>
          <w:tcPr>
            <w:tcW w:w="516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Cost of raising capital related to the shareholder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6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14"/>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27"/>
        </w:trPr>
        <w:tc>
          <w:tcPr>
            <w:tcW w:w="5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(997,722 )</w:t>
            </w:r>
          </w:p>
        </w:tc>
        <w:tc>
          <w:tcPr>
            <w:tcW w:w="160" w:type="dxa"/>
            <w:vAlign w:val="bottom"/>
          </w:tcPr>
          <w:p>
            <w:pPr>
              <w:spacing w:after="0"/>
              <w:rPr>
                <w:sz w:val="11"/>
                <w:szCs w:val="1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(173,077 )</w:t>
            </w:r>
          </w:p>
        </w:tc>
        <w:tc>
          <w:tcPr>
            <w:tcW w:w="160" w:type="dxa"/>
            <w:vAlign w:val="bottom"/>
          </w:tcPr>
          <w:p>
            <w:pPr>
              <w:spacing w:after="0"/>
              <w:rPr>
                <w:sz w:val="11"/>
                <w:szCs w:val="1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(1,170,799 )</w:t>
            </w:r>
          </w:p>
        </w:tc>
      </w:tr>
      <w:tr>
        <w:trPr>
          <w:trHeight w:val="128"/>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(27,143 )</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(27,143 )</w:t>
            </w:r>
          </w:p>
        </w:tc>
      </w:tr>
      <w:tr>
        <w:trPr>
          <w:trHeight w:val="128"/>
        </w:trPr>
        <w:tc>
          <w:tcPr>
            <w:tcW w:w="45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6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11"/>
                <w:szCs w:val="11"/>
                <w:color w:val="auto"/>
              </w:rPr>
            </w:pPr>
          </w:p>
        </w:tc>
        <w:tc>
          <w:tcPr>
            <w:tcW w:w="2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(6,833,303 </w:t>
            </w:r>
            <w:r>
              <w:rPr>
                <w:rFonts w:ascii="Times New Roman" w:cs="Times New Roman" w:eastAsia="Times New Roman" w:hAnsi="Times New Roman"/>
                <w:sz w:val="14"/>
                <w:szCs w:val="14"/>
                <w:b w:val="1"/>
                <w:bCs w:val="1"/>
                <w:color w:val="auto"/>
                <w:vertAlign w:val="subscript"/>
              </w:rPr>
              <w:t>)</w:t>
            </w: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(6,832,733 </w:t>
            </w:r>
            <w:r>
              <w:rPr>
                <w:rFonts w:ascii="Times New Roman" w:cs="Times New Roman" w:eastAsia="Times New Roman" w:hAnsi="Times New Roman"/>
                <w:sz w:val="14"/>
                <w:szCs w:val="14"/>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5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8"/>
          <w:szCs w:val="8"/>
          <w:b w:val="1"/>
          <w:bCs w:val="1"/>
          <w:color w:val="auto"/>
        </w:rPr>
        <w:t>For the Six Months Ended</w:t>
      </w:r>
    </w:p>
    <w:p>
      <w:pPr>
        <w:spacing w:after="0" w:line="16"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8"/>
          <w:szCs w:val="8"/>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7280" w:type="dxa"/>
            <w:vAlign w:val="bottom"/>
          </w:tcPr>
          <w:p>
            <w:pPr>
              <w:spacing w:after="0"/>
              <w:rPr>
                <w:sz w:val="9"/>
                <w:szCs w:val="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(741,160 )</w:t>
            </w:r>
          </w:p>
        </w:tc>
        <w:tc>
          <w:tcPr>
            <w:tcW w:w="340" w:type="dxa"/>
            <w:vAlign w:val="bottom"/>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579,884</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(604,992 )</w:t>
            </w:r>
          </w:p>
        </w:tc>
        <w:tc>
          <w:tcPr>
            <w:tcW w:w="340" w:type="dxa"/>
            <w:vAlign w:val="bottom"/>
          </w:tcPr>
          <w:p>
            <w:pPr>
              <w:spacing w:after="0"/>
              <w:rPr>
                <w:sz w:val="11"/>
                <w:szCs w:val="1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(2,264,081 )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124,198</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75,600</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29,824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58,206</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684,212</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407,667</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43,761</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35,497</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10,500</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(68,800 )</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(378,057 )</w:t>
            </w:r>
          </w:p>
        </w:tc>
        <w:tc>
          <w:tcPr>
            <w:tcW w:w="340" w:type="dxa"/>
            <w:vAlign w:val="bottom"/>
          </w:tcPr>
          <w:p>
            <w:pPr>
              <w:spacing w:after="0"/>
              <w:rPr>
                <w:sz w:val="11"/>
                <w:szCs w:val="1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(1,195,701 )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Withdrawals from Trust Account for redemptions</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Withdrawals from Trust Account to pay for income and franchise taxes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(382,840 )</w:t>
            </w:r>
          </w:p>
        </w:tc>
        <w:tc>
          <w:tcPr>
            <w:tcW w:w="340" w:type="dxa"/>
            <w:vAlign w:val="bottom"/>
          </w:tcPr>
          <w:p>
            <w:pPr>
              <w:spacing w:after="0"/>
              <w:rPr>
                <w:sz w:val="11"/>
                <w:szCs w:val="1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(1,500,000 )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10,157,830</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440,000</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Redemptions of class A shares</w:t>
            </w:r>
          </w:p>
        </w:tc>
        <w:tc>
          <w:tcPr>
            <w:tcW w:w="9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(10,384,496 )</w:t>
            </w:r>
          </w:p>
        </w:tc>
        <w:tc>
          <w:tcPr>
            <w:tcW w:w="34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(117,079,879 )</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(9,732,335 )</w:t>
            </w:r>
          </w:p>
        </w:tc>
        <w:tc>
          <w:tcPr>
            <w:tcW w:w="340" w:type="dxa"/>
            <w:vAlign w:val="bottom"/>
          </w:tcPr>
          <w:p>
            <w:pPr>
              <w:spacing w:after="0"/>
              <w:rPr>
                <w:sz w:val="11"/>
                <w:szCs w:val="1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(115,129,879 )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47,438</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58,371</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11"/>
                <w:szCs w:val="11"/>
                <w:color w:val="auto"/>
              </w:rPr>
            </w:pPr>
          </w:p>
        </w:tc>
      </w:tr>
      <w:tr>
        <w:trPr>
          <w:trHeight w:val="131"/>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107,722</w:t>
            </w:r>
          </w:p>
        </w:tc>
        <w:tc>
          <w:tcPr>
            <w:tcW w:w="28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235,949</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 and taxes paid:</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920" w:type="dxa"/>
            <w:vAlign w:val="bottom"/>
            <w:tcBorders>
              <w:bottom w:val="single" w:sz="8" w:color="auto"/>
            </w:tcBorders>
            <w:shd w:val="clear" w:color="auto" w:fill="CFF0FC"/>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815,136</w:t>
            </w:r>
          </w:p>
        </w:tc>
        <w:tc>
          <w:tcPr>
            <w:tcW w:w="28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3,148,417</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1"/>
                <w:szCs w:val="11"/>
                <w:color w:val="auto"/>
              </w:rPr>
            </w:pPr>
          </w:p>
        </w:tc>
        <w:tc>
          <w:tcPr>
            <w:tcW w:w="3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1"/>
                <w:szCs w:val="11"/>
                <w:color w:val="auto"/>
              </w:rPr>
            </w:pPr>
          </w:p>
        </w:tc>
      </w:tr>
      <w:tr>
        <w:trPr>
          <w:trHeight w:val="13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92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434,460</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7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71,153</w:t>
            </w:r>
          </w:p>
        </w:tc>
        <w:tc>
          <w:tcPr>
            <w:tcW w:w="280" w:type="dxa"/>
            <w:vAlign w:val="bottom"/>
            <w:tcBorders>
              <w:top w:val="single" w:sz="8" w:color="CFF0FC"/>
            </w:tcBorders>
          </w:tcPr>
          <w:p>
            <w:pPr>
              <w:spacing w:after="0"/>
              <w:rPr>
                <w:sz w:val="11"/>
                <w:szCs w:val="11"/>
                <w:color w:val="auto"/>
              </w:rPr>
            </w:pPr>
          </w:p>
        </w:tc>
        <w:tc>
          <w:tcPr>
            <w:tcW w:w="3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407,687</w:t>
            </w:r>
          </w:p>
        </w:tc>
        <w:tc>
          <w:tcPr>
            <w:tcW w:w="100" w:type="dxa"/>
            <w:vAlign w:val="bottom"/>
            <w:tcBorders>
              <w:top w:val="single" w:sz="8" w:color="CFF0FC"/>
            </w:tcBorders>
          </w:tcPr>
          <w:p>
            <w:pPr>
              <w:spacing w:after="0"/>
              <w:rPr>
                <w:sz w:val="11"/>
                <w:szCs w:val="1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35" w:name="page236"/>
    <w:bookmarkEnd w:id="235"/>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MARCH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36" w:name="page237"/>
    <w:bookmarkEnd w:id="236"/>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37" w:name="page238"/>
    <w:bookmarkEnd w:id="237"/>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38" w:name="page239"/>
    <w:bookmarkEnd w:id="238"/>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March 31, 2024, the Company had $107,722 of cash in its bank operating account and a working capital deficiency of approximately $9.7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39" w:name="page240"/>
    <w:bookmarkEnd w:id="239"/>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42" w:name="page243"/>
    <w:bookmarkEnd w:id="242"/>
    <w:tbl>
      <w:tblPr>
        <w:tblLayout w:type="fixed"/>
        <w:tblInd w:w="480" w:type="dxa"/>
        <w:tblCellMar>
          <w:top w:w="0" w:type="dxa"/>
          <w:left w:w="0" w:type="dxa"/>
          <w:bottom w:w="0" w:type="dxa"/>
          <w:right w:w="0" w:type="dxa"/>
        </w:tblCellMar>
      </w:tblPr>
      <w:tr>
        <w:trPr>
          <w:trHeight w:val="125"/>
        </w:trPr>
        <w:tc>
          <w:tcPr>
            <w:tcW w:w="68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March 31, 2024 and September 30, 2023, the common stock reflected in the balance sheets are reconciled in the following table:</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Gross Proceeds</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40" w:type="dxa"/>
            <w:vAlign w:val="bottom"/>
          </w:tcPr>
          <w:p>
            <w:pPr>
              <w:spacing w:after="0"/>
              <w:rPr>
                <w:sz w:val="11"/>
                <w:szCs w:val="11"/>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0"/>
                <w:szCs w:val="10"/>
                <w:color w:val="auto"/>
              </w:rPr>
              <w:t>Proceeds allocated to Public Warrants</w:t>
            </w:r>
          </w:p>
        </w:tc>
        <w:tc>
          <w:tcPr>
            <w:tcW w:w="30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(11,700,000 )</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Issuance costs related to common stock</w:t>
            </w:r>
          </w:p>
        </w:tc>
        <w:tc>
          <w:tcPr>
            <w:tcW w:w="3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(3,261,589 )</w:t>
            </w:r>
          </w:p>
        </w:tc>
        <w:tc>
          <w:tcPr>
            <w:tcW w:w="0" w:type="dxa"/>
            <w:vAlign w:val="bottom"/>
          </w:tcPr>
          <w:p>
            <w:pPr>
              <w:spacing w:after="0"/>
              <w:rPr>
                <w:sz w:val="1"/>
                <w:szCs w:val="1"/>
                <w:color w:val="auto"/>
              </w:rPr>
            </w:pPr>
          </w:p>
        </w:tc>
      </w:tr>
      <w:tr>
        <w:trPr>
          <w:trHeight w:val="127"/>
        </w:trPr>
        <w:tc>
          <w:tcPr>
            <w:tcW w:w="1640" w:type="dxa"/>
            <w:vAlign w:val="bottom"/>
          </w:tcPr>
          <w:p>
            <w:pPr>
              <w:spacing w:after="0"/>
              <w:rPr>
                <w:sz w:val="11"/>
                <w:szCs w:val="11"/>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640" w:type="dxa"/>
            <w:vAlign w:val="bottom"/>
          </w:tcPr>
          <w:p>
            <w:pPr>
              <w:spacing w:after="0"/>
              <w:rPr>
                <w:sz w:val="9"/>
                <w:szCs w:val="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40" w:type="dxa"/>
            <w:vAlign w:val="bottom"/>
          </w:tcPr>
          <w:p>
            <w:pPr>
              <w:spacing w:after="0"/>
              <w:rPr>
                <w:sz w:val="11"/>
                <w:szCs w:val="11"/>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40" w:type="dxa"/>
            <w:vAlign w:val="bottom"/>
          </w:tcPr>
          <w:p>
            <w:pPr>
              <w:spacing w:after="0"/>
              <w:rPr>
                <w:sz w:val="9"/>
                <w:szCs w:val="9"/>
                <w:color w:val="auto"/>
              </w:rPr>
            </w:pPr>
          </w:p>
        </w:tc>
        <w:tc>
          <w:tcPr>
            <w:tcW w:w="5240" w:type="dxa"/>
            <w:vAlign w:val="bottom"/>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(129,175,094 )</w:t>
            </w:r>
          </w:p>
        </w:tc>
        <w:tc>
          <w:tcPr>
            <w:tcW w:w="0" w:type="dxa"/>
            <w:vAlign w:val="bottom"/>
          </w:tcPr>
          <w:p>
            <w:pPr>
              <w:spacing w:after="0"/>
              <w:rPr>
                <w:sz w:val="1"/>
                <w:szCs w:val="1"/>
                <w:color w:val="auto"/>
              </w:rPr>
            </w:pPr>
          </w:p>
        </w:tc>
      </w:tr>
      <w:tr>
        <w:trPr>
          <w:trHeight w:val="127"/>
        </w:trPr>
        <w:tc>
          <w:tcPr>
            <w:tcW w:w="1640" w:type="dxa"/>
            <w:vAlign w:val="bottom"/>
          </w:tcPr>
          <w:p>
            <w:pPr>
              <w:spacing w:after="0"/>
              <w:rPr>
                <w:sz w:val="11"/>
                <w:szCs w:val="11"/>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40" w:type="dxa"/>
            <w:vAlign w:val="bottom"/>
          </w:tcPr>
          <w:p>
            <w:pPr>
              <w:spacing w:after="0"/>
              <w:rPr>
                <w:sz w:val="11"/>
                <w:szCs w:val="11"/>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467,884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25,784,690</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40" w:type="dxa"/>
            <w:vAlign w:val="bottom"/>
          </w:tcPr>
          <w:p>
            <w:pPr>
              <w:spacing w:after="0"/>
              <w:rPr>
                <w:sz w:val="11"/>
                <w:szCs w:val="11"/>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(10,384,496 )</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347,252</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40" w:type="dxa"/>
            <w:vAlign w:val="bottom"/>
          </w:tcPr>
          <w:p>
            <w:pPr>
              <w:spacing w:after="0"/>
              <w:rPr>
                <w:sz w:val="9"/>
                <w:szCs w:val="9"/>
                <w:color w:val="auto"/>
              </w:rPr>
            </w:pPr>
          </w:p>
        </w:tc>
        <w:tc>
          <w:tcPr>
            <w:tcW w:w="5240" w:type="dxa"/>
            <w:vAlign w:val="bottom"/>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15,747,446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40" w:type="dxa"/>
            <w:vAlign w:val="bottom"/>
          </w:tcPr>
          <w:p>
            <w:pPr>
              <w:spacing w:after="0"/>
              <w:rPr>
                <w:sz w:val="9"/>
                <w:szCs w:val="9"/>
                <w:color w:val="auto"/>
              </w:rPr>
            </w:pPr>
          </w:p>
        </w:tc>
        <w:tc>
          <w:tcPr>
            <w:tcW w:w="524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b w:val="1"/>
                <w:bCs w:val="1"/>
                <w:color w:val="auto"/>
              </w:rPr>
              <w:t>March 31, 2024</w:t>
            </w:r>
          </w:p>
        </w:tc>
        <w:tc>
          <w:tcPr>
            <w:tcW w:w="300" w:type="dxa"/>
            <w:vAlign w:val="bottom"/>
            <w:tcBorders>
              <w:bottom w:val="single" w:sz="8" w:color="auto"/>
            </w:tcBorders>
            <w:vMerge w:val="continue"/>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60" w:type="dxa"/>
            <w:vAlign w:val="bottom"/>
            <w:gridSpan w:val="3"/>
          </w:tcPr>
          <w:p>
            <w:pPr>
              <w:jc w:val="right"/>
              <w:ind w:right="536"/>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02"/>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20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520" w:type="dxa"/>
            <w:vAlign w:val="bottom"/>
          </w:tcPr>
          <w:p>
            <w:pPr>
              <w:spacing w:after="0"/>
              <w:rPr>
                <w:sz w:val="8"/>
                <w:szCs w:val="8"/>
                <w:color w:val="auto"/>
              </w:rPr>
            </w:pPr>
          </w:p>
        </w:tc>
      </w:tr>
      <w:tr>
        <w:trPr>
          <w:trHeight w:val="111"/>
        </w:trPr>
        <w:tc>
          <w:tcPr>
            <w:tcW w:w="5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0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52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520" w:type="dxa"/>
            <w:vAlign w:val="bottom"/>
          </w:tcPr>
          <w:p>
            <w:pPr>
              <w:spacing w:after="0"/>
              <w:rPr>
                <w:sz w:val="11"/>
                <w:szCs w:val="11"/>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Numerator:</w:t>
            </w:r>
          </w:p>
        </w:tc>
        <w:tc>
          <w:tcPr>
            <w:tcW w:w="1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8"/>
        </w:trPr>
        <w:tc>
          <w:tcPr>
            <w:tcW w:w="520" w:type="dxa"/>
            <w:vAlign w:val="bottom"/>
          </w:tcPr>
          <w:p>
            <w:pPr>
              <w:spacing w:after="0"/>
              <w:rPr>
                <w:sz w:val="11"/>
                <w:szCs w:val="11"/>
                <w:color w:val="auto"/>
              </w:rPr>
            </w:pPr>
          </w:p>
        </w:tc>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Allocation of net (loss) income</w:t>
            </w:r>
          </w:p>
        </w:tc>
        <w:tc>
          <w:tcPr>
            <w:tcW w:w="1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0"/>
                <w:szCs w:val="10"/>
                <w:color w:val="auto"/>
              </w:rPr>
              <w:t>(94,932 )</w:t>
            </w:r>
          </w:p>
        </w:tc>
        <w:tc>
          <w:tcPr>
            <w:tcW w:w="2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0"/>
                <w:szCs w:val="10"/>
                <w:color w:val="auto"/>
              </w:rPr>
              <w:t>(285,914 )</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0"/>
                <w:szCs w:val="10"/>
                <w:color w:val="auto"/>
              </w:rPr>
              <w:t>(15,605 )</w:t>
            </w:r>
          </w:p>
        </w:tc>
        <w:tc>
          <w:tcPr>
            <w:tcW w:w="2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color w:val="auto"/>
              </w:rPr>
              <w:t>(11,538 )</w:t>
            </w:r>
          </w:p>
        </w:tc>
        <w:tc>
          <w:tcPr>
            <w:tcW w:w="520" w:type="dxa"/>
            <w:vAlign w:val="bottom"/>
          </w:tcPr>
          <w:p>
            <w:pPr>
              <w:spacing w:after="0"/>
              <w:rPr>
                <w:sz w:val="11"/>
                <w:szCs w:val="11"/>
                <w:color w:val="auto"/>
              </w:rPr>
            </w:pPr>
          </w:p>
        </w:tc>
      </w:tr>
      <w:tr>
        <w:trPr>
          <w:trHeight w:val="127"/>
        </w:trPr>
        <w:tc>
          <w:tcPr>
            <w:tcW w:w="520" w:type="dxa"/>
            <w:vAlign w:val="bottom"/>
          </w:tcPr>
          <w:p>
            <w:pPr>
              <w:spacing w:after="0"/>
              <w:rPr>
                <w:sz w:val="11"/>
                <w:szCs w:val="11"/>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Denominator</w:t>
            </w:r>
          </w:p>
        </w:tc>
        <w:tc>
          <w:tcPr>
            <w:tcW w:w="1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8"/>
        </w:trPr>
        <w:tc>
          <w:tcPr>
            <w:tcW w:w="520" w:type="dxa"/>
            <w:vAlign w:val="bottom"/>
          </w:tcPr>
          <w:p>
            <w:pPr>
              <w:spacing w:after="0"/>
              <w:rPr>
                <w:sz w:val="11"/>
                <w:szCs w:val="11"/>
                <w:color w:val="auto"/>
              </w:rPr>
            </w:pPr>
          </w:p>
        </w:tc>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Weighted-average shares outstanding</w:t>
            </w:r>
          </w:p>
        </w:tc>
        <w:tc>
          <w:tcPr>
            <w:tcW w:w="186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0"/>
                <w:szCs w:val="10"/>
                <w:color w:val="auto"/>
              </w:rPr>
              <w:t>1,895,714</w:t>
            </w: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0"/>
                <w:szCs w:val="10"/>
                <w:color w:val="auto"/>
              </w:rPr>
              <w:t>7,722,273</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0"/>
                <w:szCs w:val="10"/>
                <w:color w:val="auto"/>
              </w:rPr>
              <w:t>5,709,500</w:t>
            </w:r>
          </w:p>
        </w:tc>
        <w:tc>
          <w:tcPr>
            <w:tcW w:w="520" w:type="dxa"/>
            <w:vAlign w:val="bottom"/>
          </w:tcPr>
          <w:p>
            <w:pPr>
              <w:spacing w:after="0"/>
              <w:rPr>
                <w:sz w:val="11"/>
                <w:szCs w:val="11"/>
                <w:color w:val="auto"/>
              </w:rPr>
            </w:pPr>
          </w:p>
        </w:tc>
      </w:tr>
      <w:tr>
        <w:trPr>
          <w:trHeight w:val="125"/>
        </w:trPr>
        <w:tc>
          <w:tcPr>
            <w:tcW w:w="520" w:type="dxa"/>
            <w:vAlign w:val="bottom"/>
          </w:tcPr>
          <w:p>
            <w:pPr>
              <w:spacing w:after="0"/>
              <w:rPr>
                <w:sz w:val="10"/>
                <w:szCs w:val="1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0"/>
                <w:szCs w:val="10"/>
                <w:color w:val="auto"/>
              </w:rPr>
              <w:t>(0.00 )</w:t>
            </w:r>
          </w:p>
        </w:tc>
        <w:tc>
          <w:tcPr>
            <w:tcW w:w="2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(0.00 )</w:t>
            </w:r>
          </w:p>
        </w:tc>
        <w:tc>
          <w:tcPr>
            <w:tcW w:w="520" w:type="dxa"/>
            <w:vAlign w:val="bottom"/>
          </w:tcPr>
          <w:p>
            <w:pPr>
              <w:spacing w:after="0"/>
              <w:rPr>
                <w:sz w:val="10"/>
                <w:szCs w:val="10"/>
                <w:color w:val="auto"/>
              </w:rPr>
            </w:pPr>
          </w:p>
        </w:tc>
      </w:tr>
      <w:tr>
        <w:trPr>
          <w:trHeight w:val="293"/>
        </w:trPr>
        <w:tc>
          <w:tcPr>
            <w:tcW w:w="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F-96</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2"/>
        </w:trPr>
        <w:tc>
          <w:tcPr>
            <w:tcW w:w="52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43" w:name="page244"/>
    <w:bookmarkEnd w:id="243"/>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gridSpan w:val="3"/>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For the Six Months Ended March 31,</w:t>
            </w: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13"/>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jc w:val="right"/>
              <w:ind w:right="154"/>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880" w:type="dxa"/>
            <w:vAlign w:val="bottom"/>
          </w:tcPr>
          <w:p>
            <w:pPr>
              <w:spacing w:after="0"/>
              <w:rPr>
                <w:sz w:val="9"/>
                <w:szCs w:val="9"/>
                <w:color w:val="auto"/>
              </w:rPr>
            </w:pPr>
          </w:p>
        </w:tc>
      </w:tr>
      <w:tr>
        <w:trPr>
          <w:trHeight w:val="102"/>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8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r>
      <w:tr>
        <w:trPr>
          <w:trHeight w:val="111"/>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8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r>
      <w:tr>
        <w:trPr>
          <w:trHeight w:val="13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r>
      <w:tr>
        <w:trPr>
          <w:trHeight w:val="127"/>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Numerator:</w:t>
            </w:r>
          </w:p>
        </w:tc>
        <w:tc>
          <w:tcPr>
            <w:tcW w:w="1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Allocation of net (loss) income</w:t>
            </w:r>
          </w:p>
        </w:tc>
        <w:tc>
          <w:tcPr>
            <w:tcW w:w="1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0"/>
                <w:szCs w:val="10"/>
                <w:color w:val="auto"/>
              </w:rPr>
              <w:t>(201,430 )</w:t>
            </w:r>
          </w:p>
        </w:tc>
        <w:tc>
          <w:tcPr>
            <w:tcW w:w="2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0"/>
                <w:szCs w:val="10"/>
                <w:color w:val="auto"/>
              </w:rPr>
              <w:t>(539,730 )</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386,387</w:t>
            </w:r>
          </w:p>
        </w:tc>
        <w:tc>
          <w:tcPr>
            <w:tcW w:w="3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0"/>
                <w:szCs w:val="10"/>
                <w:color w:val="auto"/>
              </w:rPr>
              <w:t>193,497</w:t>
            </w:r>
          </w:p>
        </w:tc>
      </w:tr>
      <w:tr>
        <w:trPr>
          <w:trHeight w:val="127"/>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Denominator</w:t>
            </w:r>
          </w:p>
        </w:tc>
        <w:tc>
          <w:tcPr>
            <w:tcW w:w="1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Weighted-average shares outstanding</w:t>
            </w:r>
          </w:p>
        </w:tc>
        <w:tc>
          <w:tcPr>
            <w:tcW w:w="172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0"/>
                <w:szCs w:val="10"/>
                <w:color w:val="auto"/>
              </w:rPr>
              <w:t>2,130,809</w:t>
            </w: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11,401,124</w:t>
            </w:r>
          </w:p>
        </w:tc>
        <w:tc>
          <w:tcPr>
            <w:tcW w:w="38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0"/>
                <w:szCs w:val="10"/>
                <w:color w:val="auto"/>
              </w:rPr>
              <w:t>5,709,500</w:t>
            </w:r>
          </w:p>
        </w:tc>
      </w:tr>
      <w:tr>
        <w:trPr>
          <w:trHeight w:val="126"/>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0.03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98" w:right="620" w:bottom="1440" w:gutter="0" w:footer="0" w:header="0"/>
        </w:sectPr>
      </w:pPr>
    </w:p>
    <w:bookmarkStart w:id="244" w:name="page245"/>
    <w:bookmarkEnd w:id="244"/>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45" w:name="page246"/>
    <w:bookmarkEnd w:id="245"/>
    <w:p>
      <w:pPr>
        <w:ind w:left="10"/>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left="10"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0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215" w:right="640" w:bottom="1440" w:gutter="0" w:footer="0" w:header="0"/>
        </w:sectPr>
      </w:pPr>
    </w:p>
    <w:bookmarkStart w:id="246" w:name="page247"/>
    <w:bookmarkEnd w:id="246"/>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05"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47" w:name="page248"/>
    <w:bookmarkEnd w:id="247"/>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right="20" w:firstLine="480"/>
        <w:spacing w:after="0" w:line="236"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13"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8" w:name="page249"/>
    <w:bookmarkEnd w:id="248"/>
    <w:p>
      <w:pPr>
        <w:ind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5620" w:type="dxa"/>
            <w:vAlign w:val="bottom"/>
          </w:tcPr>
          <w:p>
            <w:pPr>
              <w:spacing w:after="0"/>
              <w:rPr>
                <w:sz w:val="9"/>
                <w:szCs w:val="9"/>
                <w:color w:val="auto"/>
              </w:rPr>
            </w:pPr>
          </w:p>
        </w:tc>
        <w:tc>
          <w:tcPr>
            <w:tcW w:w="7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March 31, 2024</w:t>
            </w:r>
          </w:p>
        </w:tc>
        <w:tc>
          <w:tcPr>
            <w:tcW w:w="1020" w:type="dxa"/>
            <w:vAlign w:val="bottom"/>
          </w:tcPr>
          <w:p>
            <w:pPr>
              <w:spacing w:after="0"/>
              <w:rPr>
                <w:sz w:val="9"/>
                <w:szCs w:val="9"/>
                <w:color w:val="auto"/>
              </w:rPr>
            </w:pPr>
          </w:p>
        </w:tc>
        <w:tc>
          <w:tcPr>
            <w:tcW w:w="1380" w:type="dxa"/>
            <w:vAlign w:val="bottom"/>
            <w:gridSpan w:val="2"/>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800" w:type="dxa"/>
            <w:vAlign w:val="bottom"/>
          </w:tcPr>
          <w:p>
            <w:pPr>
              <w:spacing w:after="0"/>
              <w:rPr>
                <w:sz w:val="9"/>
                <w:szCs w:val="9"/>
                <w:color w:val="auto"/>
              </w:rPr>
            </w:pPr>
          </w:p>
        </w:tc>
      </w:tr>
      <w:tr>
        <w:trPr>
          <w:trHeight w:val="115"/>
        </w:trPr>
        <w:tc>
          <w:tcPr>
            <w:tcW w:w="5620" w:type="dxa"/>
            <w:vAlign w:val="bottom"/>
          </w:tcPr>
          <w:p>
            <w:pPr>
              <w:ind w:left="5300"/>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8"/>
                <w:szCs w:val="8"/>
                <w:b w:val="1"/>
                <w:bCs w:val="1"/>
                <w:color w:val="auto"/>
              </w:rPr>
              <w:t>Level</w:t>
            </w:r>
          </w:p>
        </w:tc>
        <w:tc>
          <w:tcPr>
            <w:tcW w:w="360" w:type="dxa"/>
            <w:vAlign w:val="bottom"/>
          </w:tcPr>
          <w:p>
            <w:pPr>
              <w:spacing w:after="0"/>
              <w:rPr>
                <w:sz w:val="10"/>
                <w:szCs w:val="10"/>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31"/>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r>
      <w:tr>
        <w:trPr>
          <w:trHeight w:val="126"/>
        </w:trPr>
        <w:tc>
          <w:tcPr>
            <w:tcW w:w="5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0"/>
                <w:szCs w:val="10"/>
                <w:color w:val="auto"/>
              </w:rPr>
              <w:t>15,771,190</w:t>
            </w: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0"/>
                <w:szCs w:val="10"/>
                <w:color w:val="auto"/>
              </w:rPr>
              <w:t>1</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1" w:name="page252"/>
    <w:bookmarkEnd w:id="251"/>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1020" w:type="dxa"/>
            <w:vAlign w:val="bottom"/>
          </w:tcPr>
          <w:p>
            <w:pPr>
              <w:jc w:val="center"/>
              <w:ind w:left="45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rPr>
                <w:sz w:val="10"/>
                <w:szCs w:val="10"/>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w w:val="97"/>
              </w:rPr>
              <w:t>unaudited</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Cash</w:t>
            </w:r>
          </w:p>
        </w:tc>
        <w:tc>
          <w:tcPr>
            <w:tcW w:w="1020" w:type="dxa"/>
            <w:vAlign w:val="bottom"/>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54,405</w:t>
            </w:r>
          </w:p>
        </w:tc>
        <w:tc>
          <w:tcPr>
            <w:tcW w:w="280" w:type="dxa"/>
            <w:vAlign w:val="bottom"/>
          </w:tcPr>
          <w:p>
            <w:pPr>
              <w:spacing w:after="0"/>
              <w:rPr>
                <w:sz w:val="11"/>
                <w:szCs w:val="11"/>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Prepaid expenses</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13,534</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10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67,939</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Investments held in Trust Account</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25,871,565</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0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11"/>
                <w:szCs w:val="11"/>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7280" w:type="dxa"/>
            <w:vAlign w:val="bottom"/>
            <w:shd w:val="clear" w:color="auto" w:fill="CFF0FC"/>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Current liabilities:</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Accounts payable</w:t>
            </w:r>
          </w:p>
        </w:tc>
        <w:tc>
          <w:tcPr>
            <w:tcW w:w="1020" w:type="dxa"/>
            <w:vAlign w:val="bottom"/>
            <w:shd w:val="clear" w:color="auto" w:fill="CFF0FC"/>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5,132,351</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Franchise tax payable</w:t>
            </w:r>
          </w:p>
        </w:tc>
        <w:tc>
          <w:tcPr>
            <w:tcW w:w="10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23,919</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Income tax payable</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78,617</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Subscription agreement liability, net</w:t>
            </w:r>
          </w:p>
        </w:tc>
        <w:tc>
          <w:tcPr>
            <w:tcW w:w="10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6,752</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Promissory Notes-Related Party</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Excise tax payable</w:t>
            </w:r>
          </w:p>
        </w:tc>
        <w:tc>
          <w:tcPr>
            <w:tcW w:w="10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1,291,751</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9,309,990</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Common stock subject to possible redemption, 2,363,349 shares at redemption</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of approximately $10.91 and $10.71 per share at December 31, 2023 and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September 30, 2023, respectively</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25,784,690</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10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2,363,349 shares subject to</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December 31, 2023 and September 30, 2023, respectively</w:t>
            </w:r>
          </w:p>
        </w:tc>
        <w:tc>
          <w:tcPr>
            <w:tcW w:w="10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159,034</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Accumulated deficit</w:t>
            </w:r>
          </w:p>
        </w:tc>
        <w:tc>
          <w:tcPr>
            <w:tcW w:w="102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(9,314,780 )</w:t>
            </w:r>
          </w:p>
        </w:tc>
        <w:tc>
          <w:tcPr>
            <w:tcW w:w="260" w:type="dxa"/>
            <w:vAlign w:val="bottom"/>
          </w:tcPr>
          <w:p>
            <w:pPr>
              <w:spacing w:after="0"/>
              <w:rPr>
                <w:sz w:val="11"/>
                <w:szCs w:val="1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(9,155,176 )</w:t>
            </w: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11"/>
        </w:trPr>
        <w:tc>
          <w:tcPr>
            <w:tcW w:w="7280" w:type="dxa"/>
            <w:vAlign w:val="bottom"/>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20" w:type="dxa"/>
            <w:vAlign w:val="bottom"/>
            <w:vMerge w:val="restart"/>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28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20" w:type="dxa"/>
            <w:vAlign w:val="bottom"/>
            <w:tcBorders>
              <w:bottom w:val="single" w:sz="8" w:color="auto"/>
            </w:tcBorders>
            <w:vMerge w:val="continue"/>
          </w:tcPr>
          <w:p>
            <w:pPr>
              <w:spacing w:after="0"/>
              <w:rPr>
                <w:sz w:val="9"/>
                <w:szCs w:val="9"/>
                <w:color w:val="auto"/>
              </w:rPr>
            </w:pPr>
          </w:p>
        </w:tc>
        <w:tc>
          <w:tcPr>
            <w:tcW w:w="48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280" w:type="dxa"/>
            <w:vAlign w:val="bottom"/>
          </w:tcPr>
          <w:p>
            <w:pPr>
              <w:spacing w:after="0"/>
              <w:rPr>
                <w:sz w:val="8"/>
                <w:szCs w:val="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111"/>
        </w:trPr>
        <w:tc>
          <w:tcPr>
            <w:tcW w:w="7280" w:type="dxa"/>
            <w:vAlign w:val="bottom"/>
          </w:tcPr>
          <w:p>
            <w:pPr>
              <w:spacing w:after="0"/>
              <w:rPr>
                <w:sz w:val="9"/>
                <w:szCs w:val="9"/>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Formation and operating costs</w:t>
            </w:r>
          </w:p>
        </w:tc>
        <w:tc>
          <w:tcPr>
            <w:tcW w:w="1040" w:type="dxa"/>
            <w:vAlign w:val="bottom"/>
            <w:shd w:val="clear" w:color="auto" w:fill="CFF0FC"/>
          </w:tcPr>
          <w:p>
            <w:pPr>
              <w:jc w:val="right"/>
              <w:ind w:right="93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571,529</w:t>
            </w: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394,352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0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Loss from operations</w:t>
            </w:r>
          </w:p>
        </w:tc>
        <w:tc>
          <w:tcPr>
            <w:tcW w:w="10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(621,929 )</w:t>
            </w:r>
          </w:p>
        </w:tc>
        <w:tc>
          <w:tcPr>
            <w:tcW w:w="4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(422,315 )</w:t>
            </w: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Other income</w:t>
            </w: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Trust interest income</w:t>
            </w:r>
          </w:p>
        </w:tc>
        <w:tc>
          <w:tcPr>
            <w:tcW w:w="10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334,836</w:t>
            </w: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104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(5,387 )</w:t>
            </w:r>
          </w:p>
        </w:tc>
        <w:tc>
          <w:tcPr>
            <w:tcW w:w="420" w:type="dxa"/>
            <w:vAlign w:val="bottom"/>
          </w:tcPr>
          <w:p>
            <w:pPr>
              <w:spacing w:after="0"/>
              <w:rPr>
                <w:sz w:val="11"/>
                <w:szCs w:val="1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 other income</w:t>
            </w:r>
          </w:p>
        </w:tc>
        <w:tc>
          <w:tcPr>
            <w:tcW w:w="10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329,449</w:t>
            </w: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Income before provision for income taxes</w:t>
            </w:r>
          </w:p>
        </w:tc>
        <w:tc>
          <w:tcPr>
            <w:tcW w:w="104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(292,480 )</w:t>
            </w:r>
          </w:p>
        </w:tc>
        <w:tc>
          <w:tcPr>
            <w:tcW w:w="4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867,358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Provision for income taxes</w:t>
            </w:r>
          </w:p>
        </w:tc>
        <w:tc>
          <w:tcPr>
            <w:tcW w:w="10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(67,834 )</w:t>
            </w:r>
          </w:p>
        </w:tc>
        <w:tc>
          <w:tcPr>
            <w:tcW w:w="4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(260,331 )</w:t>
            </w:r>
          </w:p>
        </w:tc>
        <w:tc>
          <w:tcPr>
            <w:tcW w:w="0" w:type="dxa"/>
            <w:vAlign w:val="bottom"/>
          </w:tcPr>
          <w:p>
            <w:pPr>
              <w:spacing w:after="0"/>
              <w:rPr>
                <w:sz w:val="1"/>
                <w:szCs w:val="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(loss) income</w:t>
            </w:r>
          </w:p>
        </w:tc>
        <w:tc>
          <w:tcPr>
            <w:tcW w:w="1040" w:type="dxa"/>
            <w:vAlign w:val="bottom"/>
          </w:tcPr>
          <w:p>
            <w:pPr>
              <w:jc w:val="right"/>
              <w:ind w:right="9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(360,314 </w:t>
            </w:r>
            <w:r>
              <w:rPr>
                <w:rFonts w:ascii="Times New Roman" w:cs="Times New Roman" w:eastAsia="Times New Roman" w:hAnsi="Times New Roman"/>
                <w:sz w:val="14"/>
                <w:szCs w:val="14"/>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607,027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10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2,363,349</w:t>
            </w:r>
          </w:p>
        </w:tc>
        <w:tc>
          <w:tcPr>
            <w:tcW w:w="280" w:type="dxa"/>
            <w:vAlign w:val="bottom"/>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280" w:type="dxa"/>
            <w:vAlign w:val="bottom"/>
            <w:tcBorders>
              <w:bottom w:val="single" w:sz="8" w:color="CFF0FC"/>
            </w:tcBorders>
            <w:shd w:val="clear" w:color="auto" w:fill="CFF0FC"/>
          </w:tcPr>
          <w:p>
            <w:pPr>
              <w:ind w:left="80"/>
              <w:spacing w:after="0" w:line="104" w:lineRule="exact"/>
              <w:rPr>
                <w:sz w:val="20"/>
                <w:szCs w:val="20"/>
                <w:color w:val="auto"/>
              </w:rPr>
            </w:pPr>
            <w:r>
              <w:rPr>
                <w:rFonts w:ascii="Times New Roman" w:cs="Times New Roman" w:eastAsia="Times New Roman" w:hAnsi="Times New Roman"/>
                <w:sz w:val="10"/>
                <w:szCs w:val="10"/>
                <w:color w:val="auto"/>
              </w:rPr>
              <w:t>possible redemption</w:t>
            </w:r>
          </w:p>
        </w:tc>
        <w:tc>
          <w:tcPr>
            <w:tcW w:w="1040" w:type="dxa"/>
            <w:vAlign w:val="bottom"/>
            <w:tcBorders>
              <w:bottom w:val="single" w:sz="8" w:color="auto"/>
            </w:tcBorders>
            <w:shd w:val="clear" w:color="auto" w:fill="CFF0FC"/>
          </w:tcPr>
          <w:p>
            <w:pPr>
              <w:spacing w:after="0"/>
              <w:rPr>
                <w:sz w:val="9"/>
                <w:szCs w:val="9"/>
                <w:color w:val="auto"/>
              </w:rPr>
            </w:pPr>
          </w:p>
        </w:tc>
        <w:tc>
          <w:tcPr>
            <w:tcW w:w="460" w:type="dxa"/>
            <w:vAlign w:val="bottom"/>
            <w:tcBorders>
              <w:bottom w:val="single" w:sz="8" w:color="auto"/>
            </w:tcBorders>
            <w:vMerge w:val="continue"/>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420" w:type="dxa"/>
            <w:vAlign w:val="bottom"/>
            <w:tcBorders>
              <w:bottom w:val="single" w:sz="8" w:color="auto"/>
            </w:tcBorders>
            <w:shd w:val="clear" w:color="auto" w:fill="CFF0FC"/>
          </w:tcPr>
          <w:p>
            <w:pPr>
              <w:spacing w:after="0"/>
              <w:rPr>
                <w:sz w:val="9"/>
                <w:szCs w:val="9"/>
                <w:color w:val="auto"/>
              </w:rPr>
            </w:pPr>
          </w:p>
        </w:tc>
        <w:tc>
          <w:tcPr>
            <w:tcW w:w="104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(0.04 </w:t>
            </w:r>
            <w:r>
              <w:rPr>
                <w:rFonts w:ascii="Times New Roman" w:cs="Times New Roman" w:eastAsia="Times New Roman" w:hAnsi="Times New Roman"/>
                <w:sz w:val="14"/>
                <w:szCs w:val="14"/>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1040" w:type="dxa"/>
            <w:vAlign w:val="bottom"/>
            <w:tcBorders>
              <w:top w:val="single" w:sz="8" w:color="auto"/>
              <w:bottom w:val="single" w:sz="8" w:color="auto"/>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8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(0.04 </w:t>
            </w:r>
            <w:r>
              <w:rPr>
                <w:rFonts w:ascii="Times New Roman" w:cs="Times New Roman" w:eastAsia="Times New Roman" w:hAnsi="Times New Roman"/>
                <w:sz w:val="14"/>
                <w:szCs w:val="14"/>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MONTHS ENDED DECEMBER 31,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108"/>
        </w:trPr>
        <w:tc>
          <w:tcPr>
            <w:tcW w:w="4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8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Paid-in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15"/>
        </w:trPr>
        <w:tc>
          <w:tcPr>
            <w:tcW w:w="4500" w:type="dxa"/>
            <w:vAlign w:val="bottom"/>
          </w:tcPr>
          <w:p>
            <w:pPr>
              <w:spacing w:after="0"/>
              <w:rPr>
                <w:sz w:val="10"/>
                <w:szCs w:val="1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31"/>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(8,486,012 )</w:t>
            </w:r>
          </w:p>
        </w:tc>
      </w:tr>
      <w:tr>
        <w:trPr>
          <w:trHeight w:val="127"/>
        </w:trPr>
        <w:tc>
          <w:tcPr>
            <w:tcW w:w="5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50,400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11"/>
                <w:szCs w:val="11"/>
                <w:color w:val="auto"/>
              </w:rPr>
            </w:pPr>
          </w:p>
        </w:tc>
      </w:tr>
      <w:tr>
        <w:trPr>
          <w:trHeight w:val="114"/>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1"/>
                <w:szCs w:val="11"/>
                <w:color w:val="auto"/>
              </w:rPr>
            </w:pPr>
          </w:p>
        </w:tc>
      </w:tr>
      <w:tr>
        <w:trPr>
          <w:trHeight w:val="113"/>
        </w:trPr>
        <w:tc>
          <w:tcPr>
            <w:tcW w:w="516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(467,884 )</w:t>
            </w:r>
          </w:p>
        </w:tc>
        <w:tc>
          <w:tcPr>
            <w:tcW w:w="160" w:type="dxa"/>
            <w:vAlign w:val="bottom"/>
          </w:tcPr>
          <w:p>
            <w:pPr>
              <w:spacing w:after="0"/>
              <w:rPr>
                <w:sz w:val="10"/>
                <w:szCs w:val="1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28"/>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(360,314 )</w:t>
            </w:r>
          </w:p>
        </w:tc>
      </w:tr>
      <w:tr>
        <w:trPr>
          <w:trHeight w:val="128"/>
        </w:trPr>
        <w:tc>
          <w:tcPr>
            <w:tcW w:w="45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6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11"/>
                <w:szCs w:val="11"/>
                <w:color w:val="auto"/>
              </w:rPr>
            </w:pPr>
          </w:p>
        </w:tc>
        <w:tc>
          <w:tcPr>
            <w:tcW w:w="840" w:type="dxa"/>
            <w:vAlign w:val="bottom"/>
          </w:tcPr>
          <w:p>
            <w:pPr>
              <w:jc w:val="right"/>
              <w:ind w:right="73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159,036</w:t>
            </w:r>
          </w:p>
        </w:tc>
        <w:tc>
          <w:tcPr>
            <w:tcW w:w="22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(9,314,780 </w:t>
            </w:r>
            <w:r>
              <w:rPr>
                <w:rFonts w:ascii="Times New Roman" w:cs="Times New Roman" w:eastAsia="Times New Roman" w:hAnsi="Times New Roman"/>
                <w:sz w:val="14"/>
                <w:szCs w:val="14"/>
                <w:b w:val="1"/>
                <w:bCs w:val="1"/>
                <w:color w:val="auto"/>
                <w:vertAlign w:val="subscript"/>
              </w:rPr>
              <w:t>)</w:t>
            </w: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8"/>
                <w:szCs w:val="8"/>
                <w:b w:val="1"/>
                <w:bCs w:val="1"/>
                <w:color w:val="auto"/>
              </w:rPr>
              <w:t xml:space="preserve">(9,155,176 </w:t>
            </w:r>
            <w:r>
              <w:rPr>
                <w:rFonts w:ascii="Times New Roman" w:cs="Times New Roman" w:eastAsia="Times New Roman" w:hAnsi="Times New Roman"/>
                <w:sz w:val="14"/>
                <w:szCs w:val="14"/>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640" w:type="dxa"/>
            <w:vAlign w:val="bottom"/>
            <w:gridSpan w:val="5"/>
          </w:tcPr>
          <w:p>
            <w:pPr>
              <w:ind w:left="4020"/>
              <w:spacing w:after="0"/>
              <w:rPr>
                <w:sz w:val="20"/>
                <w:szCs w:val="20"/>
                <w:color w:val="auto"/>
              </w:rPr>
            </w:pPr>
            <w:r>
              <w:rPr>
                <w:rFonts w:ascii="Times New Roman" w:cs="Times New Roman" w:eastAsia="Times New Roman" w:hAnsi="Times New Roman"/>
                <w:sz w:val="10"/>
                <w:szCs w:val="10"/>
                <w:b w:val="1"/>
                <w:bCs w:val="1"/>
                <w:color w:val="auto"/>
                <w:w w:val="98"/>
              </w:rPr>
              <w:t>FOR THE THREE MONTHS ENDED DECEMBER 31, 2022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4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108"/>
        </w:trPr>
        <w:tc>
          <w:tcPr>
            <w:tcW w:w="4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8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Paid-in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15"/>
        </w:trPr>
        <w:tc>
          <w:tcPr>
            <w:tcW w:w="4500" w:type="dxa"/>
            <w:vAlign w:val="bottom"/>
          </w:tcPr>
          <w:p>
            <w:pPr>
              <w:spacing w:after="0"/>
              <w:rPr>
                <w:sz w:val="10"/>
                <w:szCs w:val="1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31"/>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2022 (audited)</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941,796</w:t>
            </w:r>
          </w:p>
        </w:tc>
        <w:tc>
          <w:tcPr>
            <w:tcW w:w="38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(3,149,327 )</w:t>
            </w:r>
          </w:p>
        </w:tc>
      </w:tr>
      <w:tr>
        <w:trPr>
          <w:trHeight w:val="127"/>
        </w:trPr>
        <w:tc>
          <w:tcPr>
            <w:tcW w:w="5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11"/>
                <w:szCs w:val="11"/>
                <w:color w:val="auto"/>
              </w:rPr>
            </w:pPr>
          </w:p>
        </w:tc>
      </w:tr>
      <w:tr>
        <w:trPr>
          <w:trHeight w:val="114"/>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27"/>
        </w:trPr>
        <w:tc>
          <w:tcPr>
            <w:tcW w:w="5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607,027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11"/>
                <w:szCs w:val="11"/>
                <w:color w:val="auto"/>
              </w:rPr>
            </w:pPr>
          </w:p>
        </w:tc>
      </w:tr>
      <w:tr>
        <w:trPr>
          <w:trHeight w:val="128"/>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6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969,759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8"/>
                <w:szCs w:val="8"/>
                <w:b w:val="1"/>
                <w:bCs w:val="1"/>
                <w:color w:val="auto"/>
              </w:rPr>
              <w:t xml:space="preserve">(5,964,009 </w:t>
            </w:r>
            <w:r>
              <w:rPr>
                <w:rFonts w:ascii="Times New Roman" w:cs="Times New Roman" w:eastAsia="Times New Roman" w:hAnsi="Times New Roman"/>
                <w:sz w:val="14"/>
                <w:szCs w:val="14"/>
                <w:b w:val="1"/>
                <w:bCs w:val="1"/>
                <w:color w:val="auto"/>
                <w:vertAlign w:val="subscript"/>
              </w:rPr>
              <w:t>)</w:t>
            </w: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8"/>
                <w:szCs w:val="8"/>
                <w:b w:val="1"/>
                <w:bCs w:val="1"/>
                <w:color w:val="auto"/>
              </w:rPr>
              <w:t xml:space="preserve">(4,993,680 </w:t>
            </w:r>
            <w:r>
              <w:rPr>
                <w:rFonts w:ascii="Times New Roman" w:cs="Times New Roman" w:eastAsia="Times New Roman" w:hAnsi="Times New Roman"/>
                <w:sz w:val="14"/>
                <w:szCs w:val="14"/>
                <w:b w:val="1"/>
                <w:bCs w:val="1"/>
                <w:color w:val="auto"/>
                <w:vertAlign w:val="subscript"/>
              </w:rPr>
              <w:t>)</w:t>
            </w:r>
          </w:p>
        </w:tc>
      </w:tr>
      <w:tr>
        <w:trPr>
          <w:trHeight w:val="23"/>
        </w:trPr>
        <w:tc>
          <w:tcPr>
            <w:tcW w:w="45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280" w:type="dxa"/>
            <w:vAlign w:val="bottom"/>
          </w:tcPr>
          <w:p>
            <w:pPr>
              <w:spacing w:after="0"/>
              <w:rPr>
                <w:sz w:val="8"/>
                <w:szCs w:val="8"/>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111"/>
        </w:trPr>
        <w:tc>
          <w:tcPr>
            <w:tcW w:w="7280" w:type="dxa"/>
            <w:vAlign w:val="bottom"/>
          </w:tcPr>
          <w:p>
            <w:pPr>
              <w:spacing w:after="0"/>
              <w:rPr>
                <w:sz w:val="9"/>
                <w:szCs w:val="9"/>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1060" w:type="dxa"/>
            <w:vAlign w:val="bottom"/>
          </w:tcPr>
          <w:p>
            <w:pPr>
              <w:jc w:val="right"/>
              <w:ind w:right="954"/>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(360,314 )</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Interest earned on investments held in Trust Account</w:t>
            </w:r>
          </w:p>
        </w:tc>
        <w:tc>
          <w:tcPr>
            <w:tcW w:w="106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(334,836 )</w:t>
            </w:r>
          </w:p>
        </w:tc>
        <w:tc>
          <w:tcPr>
            <w:tcW w:w="420" w:type="dxa"/>
            <w:vAlign w:val="bottom"/>
          </w:tcPr>
          <w:p>
            <w:pPr>
              <w:spacing w:after="0"/>
              <w:rPr>
                <w:sz w:val="11"/>
                <w:szCs w:val="1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(1,289,673 )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5,387</w:t>
            </w: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0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Changes in current assets and liabilities:</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Prepaid expenses</w:t>
            </w:r>
          </w:p>
        </w:tc>
        <w:tc>
          <w:tcPr>
            <w:tcW w:w="10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20,071</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55,678</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Accounts payable</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424,300</w:t>
            </w: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24,344</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Income tax payable</w:t>
            </w:r>
          </w:p>
        </w:tc>
        <w:tc>
          <w:tcPr>
            <w:tcW w:w="10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67,834</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260,331</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Franchise tax payable</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11,819</w:t>
            </w: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50,000</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106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(115,339 )</w:t>
            </w:r>
          </w:p>
        </w:tc>
        <w:tc>
          <w:tcPr>
            <w:tcW w:w="420" w:type="dxa"/>
            <w:vAlign w:val="bottom"/>
          </w:tcPr>
          <w:p>
            <w:pPr>
              <w:spacing w:after="0"/>
              <w:rPr>
                <w:sz w:val="11"/>
                <w:szCs w:val="1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(264,331 )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Principal deposited in Trust Account</w:t>
            </w:r>
          </w:p>
        </w:tc>
        <w:tc>
          <w:tcPr>
            <w:tcW w:w="106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(212,701 )</w:t>
            </w:r>
          </w:p>
        </w:tc>
        <w:tc>
          <w:tcPr>
            <w:tcW w:w="420" w:type="dxa"/>
            <w:vAlign w:val="bottom"/>
          </w:tcPr>
          <w:p>
            <w:pPr>
              <w:spacing w:after="0"/>
              <w:rPr>
                <w:sz w:val="11"/>
                <w:szCs w:val="1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10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(212,701 )</w:t>
            </w:r>
          </w:p>
        </w:tc>
        <w:tc>
          <w:tcPr>
            <w:tcW w:w="4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(1,500,000 )</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subscription agreement</w:t>
            </w:r>
          </w:p>
        </w:tc>
        <w:tc>
          <w:tcPr>
            <w:tcW w:w="10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110,000</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provided by financing activities</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322,161</w:t>
            </w: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1,950,000</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change in cash</w:t>
            </w:r>
          </w:p>
        </w:tc>
        <w:tc>
          <w:tcPr>
            <w:tcW w:w="106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(5,879 )</w:t>
            </w:r>
          </w:p>
        </w:tc>
        <w:tc>
          <w:tcPr>
            <w:tcW w:w="4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185,669</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beginning of the period</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60,284</w:t>
            </w: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177,578</w:t>
            </w:r>
          </w:p>
        </w:tc>
        <w:tc>
          <w:tcPr>
            <w:tcW w:w="100" w:type="dxa"/>
            <w:vAlign w:val="bottom"/>
            <w:shd w:val="clear" w:color="auto" w:fill="CFF0FC"/>
          </w:tcPr>
          <w:p>
            <w:pPr>
              <w:spacing w:after="0"/>
              <w:rPr>
                <w:sz w:val="11"/>
                <w:szCs w:val="1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end of the period</w:t>
            </w:r>
          </w:p>
        </w:tc>
        <w:tc>
          <w:tcPr>
            <w:tcW w:w="106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54,405</w:t>
            </w:r>
          </w:p>
        </w:tc>
        <w:tc>
          <w:tcPr>
            <w:tcW w:w="280" w:type="dxa"/>
            <w:vAlign w:val="bottom"/>
          </w:tcPr>
          <w:p>
            <w:pPr>
              <w:spacing w:after="0"/>
              <w:rPr>
                <w:sz w:val="11"/>
                <w:szCs w:val="11"/>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363,247</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106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467,884</w:t>
            </w:r>
          </w:p>
        </w:tc>
        <w:tc>
          <w:tcPr>
            <w:tcW w:w="280" w:type="dxa"/>
            <w:vAlign w:val="bottom"/>
          </w:tcPr>
          <w:p>
            <w:pPr>
              <w:spacing w:after="0"/>
              <w:rPr>
                <w:sz w:val="11"/>
                <w:szCs w:val="11"/>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2,479,343</w:t>
            </w:r>
          </w:p>
        </w:tc>
        <w:tc>
          <w:tcPr>
            <w:tcW w:w="100" w:type="dxa"/>
            <w:vAlign w:val="bottom"/>
          </w:tcPr>
          <w:p>
            <w:pPr>
              <w:spacing w:after="0"/>
              <w:rPr>
                <w:sz w:val="11"/>
                <w:szCs w:val="11"/>
                <w:color w:val="auto"/>
              </w:rPr>
            </w:pPr>
          </w:p>
        </w:tc>
      </w:tr>
      <w:tr>
        <w:trPr>
          <w:trHeight w:val="13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1060" w:type="dxa"/>
            <w:vAlign w:val="bottom"/>
            <w:tcBorders>
              <w:bottom w:val="single" w:sz="8" w:color="auto"/>
            </w:tcBorders>
            <w:shd w:val="clear" w:color="auto" w:fill="CFF0FC"/>
          </w:tcPr>
          <w:p>
            <w:pPr>
              <w:jc w:val="right"/>
              <w:ind w:right="954"/>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8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1"/>
                <w:szCs w:val="1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spacing w:after="0"/>
        <w:rPr>
          <w:sz w:val="20"/>
          <w:szCs w:val="20"/>
          <w:color w:val="auto"/>
        </w:rPr>
      </w:pPr>
      <w:r>
        <w:rPr>
          <w:rFonts w:ascii="Times New Roman" w:cs="Times New Roman" w:eastAsia="Times New Roman" w:hAnsi="Times New Roman"/>
          <w:sz w:val="10"/>
          <w:szCs w:val="10"/>
          <w:b w:val="1"/>
          <w:bCs w:val="1"/>
          <w:color w:val="auto"/>
        </w:rPr>
        <w:t>DECEMBER 31,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08"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57" w:name="page258"/>
    <w:bookmarkEnd w:id="257"/>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8" w:name="page259"/>
    <w:bookmarkEnd w:id="258"/>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9" w:name="page260"/>
    <w:bookmarkEnd w:id="259"/>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the Company had approximately $54,000 of cash in its bank operating account and a working capital deficiency of approximately $9.1 million (excluding income tax payable and franchise tax payable).</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0" w:name="page261"/>
    <w:bookmarkEnd w:id="260"/>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89"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Form10-K, as filed with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260" w:firstLine="480"/>
        <w:spacing w:after="0" w:line="245" w:lineRule="auto"/>
        <w:rPr>
          <w:sz w:val="20"/>
          <w:szCs w:val="20"/>
          <w:color w:val="auto"/>
        </w:rPr>
      </w:pPr>
      <w:r>
        <w:rPr>
          <w:rFonts w:ascii="Times New Roman" w:cs="Times New Roman" w:eastAsia="Times New Roman" w:hAnsi="Times New Roman"/>
          <w:sz w:val="10"/>
          <w:szCs w:val="10"/>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63" w:name="page264"/>
    <w:bookmarkEnd w:id="263"/>
    <w:tbl>
      <w:tblPr>
        <w:tblLayout w:type="fixed"/>
        <w:tblInd w:w="480" w:type="dxa"/>
        <w:tblCellMar>
          <w:top w:w="0" w:type="dxa"/>
          <w:left w:w="0" w:type="dxa"/>
          <w:bottom w:w="0" w:type="dxa"/>
          <w:right w:w="0" w:type="dxa"/>
        </w:tblCellMar>
      </w:tblPr>
      <w:tr>
        <w:trPr>
          <w:trHeight w:val="125"/>
        </w:trPr>
        <w:tc>
          <w:tcPr>
            <w:tcW w:w="5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December 31, 2023 and September 30, 2023, the common stock reflected in the balance sheets are reconciled in the following table:</w:t>
            </w: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28"/>
        </w:trPr>
        <w:tc>
          <w:tcPr>
            <w:tcW w:w="1640" w:type="dxa"/>
            <w:vAlign w:val="bottom"/>
          </w:tcPr>
          <w:p>
            <w:pPr>
              <w:spacing w:after="0"/>
              <w:rPr>
                <w:sz w:val="11"/>
                <w:szCs w:val="11"/>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Gross Proceeds</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150,000,000</w:t>
            </w:r>
          </w:p>
        </w:tc>
      </w:tr>
      <w:tr>
        <w:trPr>
          <w:trHeight w:val="127"/>
        </w:trPr>
        <w:tc>
          <w:tcPr>
            <w:tcW w:w="164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0"/>
                <w:szCs w:val="10"/>
                <w:color w:val="auto"/>
              </w:rPr>
              <w:t>Proceeds allocated to Public Warrants</w:t>
            </w:r>
          </w:p>
        </w:tc>
        <w:tc>
          <w:tcPr>
            <w:tcW w:w="1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(11,700,000 )</w:t>
            </w:r>
          </w:p>
        </w:tc>
      </w:tr>
      <w:tr>
        <w:trPr>
          <w:trHeight w:val="128"/>
        </w:trPr>
        <w:tc>
          <w:tcPr>
            <w:tcW w:w="1640" w:type="dxa"/>
            <w:vAlign w:val="bottom"/>
          </w:tcPr>
          <w:p>
            <w:pPr>
              <w:spacing w:after="0"/>
              <w:rPr>
                <w:sz w:val="11"/>
                <w:szCs w:val="11"/>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Issuance costs related to common stock</w:t>
            </w:r>
          </w:p>
        </w:tc>
        <w:tc>
          <w:tcPr>
            <w:tcW w:w="1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(3,261,589 )</w:t>
            </w:r>
          </w:p>
        </w:tc>
      </w:tr>
      <w:tr>
        <w:trPr>
          <w:trHeight w:val="127"/>
        </w:trPr>
        <w:tc>
          <w:tcPr>
            <w:tcW w:w="164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11"/>
                <w:szCs w:val="1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14,961,589</w:t>
            </w:r>
          </w:p>
        </w:tc>
      </w:tr>
      <w:tr>
        <w:trPr>
          <w:trHeight w:val="114"/>
        </w:trPr>
        <w:tc>
          <w:tcPr>
            <w:tcW w:w="1640" w:type="dxa"/>
            <w:vAlign w:val="bottom"/>
          </w:tcPr>
          <w:p>
            <w:pPr>
              <w:spacing w:after="0"/>
              <w:rPr>
                <w:sz w:val="9"/>
                <w:szCs w:val="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7"/>
        </w:trPr>
        <w:tc>
          <w:tcPr>
            <w:tcW w:w="1640" w:type="dxa"/>
            <w:vAlign w:val="bottom"/>
          </w:tcPr>
          <w:p>
            <w:pPr>
              <w:spacing w:after="0"/>
              <w:rPr>
                <w:sz w:val="11"/>
                <w:szCs w:val="11"/>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112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11"/>
        </w:trPr>
        <w:tc>
          <w:tcPr>
            <w:tcW w:w="1640" w:type="dxa"/>
            <w:vAlign w:val="bottom"/>
          </w:tcPr>
          <w:p>
            <w:pPr>
              <w:spacing w:after="0"/>
              <w:rPr>
                <w:sz w:val="9"/>
                <w:szCs w:val="9"/>
                <w:color w:val="auto"/>
              </w:rPr>
            </w:pPr>
          </w:p>
        </w:tc>
        <w:tc>
          <w:tcPr>
            <w:tcW w:w="4340" w:type="dxa"/>
            <w:vAlign w:val="bottom"/>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28"/>
        </w:trPr>
        <w:tc>
          <w:tcPr>
            <w:tcW w:w="1640" w:type="dxa"/>
            <w:vAlign w:val="bottom"/>
          </w:tcPr>
          <w:p>
            <w:pPr>
              <w:spacing w:after="0"/>
              <w:rPr>
                <w:sz w:val="11"/>
                <w:szCs w:val="11"/>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120" w:type="dxa"/>
            <w:vAlign w:val="bottom"/>
          </w:tcPr>
          <w:p>
            <w:pPr>
              <w:spacing w:after="0"/>
              <w:rPr>
                <w:sz w:val="11"/>
                <w:szCs w:val="1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28"/>
        </w:trPr>
        <w:tc>
          <w:tcPr>
            <w:tcW w:w="1640" w:type="dxa"/>
            <w:vAlign w:val="bottom"/>
          </w:tcPr>
          <w:p>
            <w:pPr>
              <w:spacing w:after="0"/>
              <w:rPr>
                <w:sz w:val="11"/>
                <w:szCs w:val="11"/>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Redemptions</w:t>
            </w:r>
          </w:p>
        </w:tc>
        <w:tc>
          <w:tcPr>
            <w:tcW w:w="1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(129,175,094 )</w:t>
            </w:r>
          </w:p>
        </w:tc>
      </w:tr>
      <w:tr>
        <w:trPr>
          <w:trHeight w:val="127"/>
        </w:trPr>
        <w:tc>
          <w:tcPr>
            <w:tcW w:w="164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11"/>
                <w:szCs w:val="1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3,943,038</w:t>
            </w:r>
          </w:p>
        </w:tc>
      </w:tr>
      <w:tr>
        <w:trPr>
          <w:trHeight w:val="112"/>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9"/>
        </w:trPr>
        <w:tc>
          <w:tcPr>
            <w:tcW w:w="1640" w:type="dxa"/>
            <w:vAlign w:val="bottom"/>
          </w:tcPr>
          <w:p>
            <w:pPr>
              <w:spacing w:after="0"/>
              <w:rPr>
                <w:sz w:val="11"/>
                <w:szCs w:val="11"/>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r>
        <w:trPr>
          <w:trHeight w:val="127"/>
        </w:trPr>
        <w:tc>
          <w:tcPr>
            <w:tcW w:w="164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11"/>
                <w:szCs w:val="1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467,884</w:t>
            </w:r>
          </w:p>
        </w:tc>
      </w:tr>
      <w:tr>
        <w:trPr>
          <w:trHeight w:val="112"/>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9"/>
        </w:trPr>
        <w:tc>
          <w:tcPr>
            <w:tcW w:w="1640" w:type="dxa"/>
            <w:vAlign w:val="bottom"/>
          </w:tcPr>
          <w:p>
            <w:pPr>
              <w:spacing w:after="0"/>
              <w:rPr>
                <w:sz w:val="11"/>
                <w:szCs w:val="11"/>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25,784,690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60" w:type="dxa"/>
            <w:vAlign w:val="bottom"/>
            <w:gridSpan w:val="3"/>
          </w:tcPr>
          <w:p>
            <w:pPr>
              <w:jc w:val="right"/>
              <w:ind w:right="296"/>
              <w:spacing w:after="0"/>
              <w:rPr>
                <w:sz w:val="20"/>
                <w:szCs w:val="20"/>
                <w:color w:val="auto"/>
              </w:rPr>
            </w:pPr>
            <w:r>
              <w:rPr>
                <w:rFonts w:ascii="Times New Roman" w:cs="Times New Roman" w:eastAsia="Times New Roman" w:hAnsi="Times New Roman"/>
                <w:sz w:val="8"/>
                <w:szCs w:val="8"/>
                <w:b w:val="1"/>
                <w:bCs w:val="1"/>
                <w:color w:val="auto"/>
              </w:rPr>
              <w:t>For the Three Months Ended December 31,</w:t>
            </w: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13"/>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940" w:type="dxa"/>
            <w:vAlign w:val="bottom"/>
          </w:tcPr>
          <w:p>
            <w:pPr>
              <w:spacing w:after="0"/>
              <w:rPr>
                <w:sz w:val="9"/>
                <w:szCs w:val="9"/>
                <w:color w:val="auto"/>
              </w:rPr>
            </w:pPr>
          </w:p>
        </w:tc>
      </w:tr>
      <w:tr>
        <w:trPr>
          <w:trHeight w:val="102"/>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Common</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Stock</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8"/>
              </w:rPr>
              <w:t>Subject to</w:t>
            </w:r>
          </w:p>
        </w:tc>
        <w:tc>
          <w:tcPr>
            <w:tcW w:w="140" w:type="dxa"/>
            <w:vAlign w:val="bottom"/>
          </w:tcPr>
          <w:p>
            <w:pPr>
              <w:spacing w:after="0"/>
              <w:rPr>
                <w:sz w:val="8"/>
                <w:szCs w:val="8"/>
                <w:color w:val="auto"/>
              </w:rPr>
            </w:pPr>
          </w:p>
        </w:tc>
        <w:tc>
          <w:tcPr>
            <w:tcW w:w="1000" w:type="dxa"/>
            <w:vAlign w:val="bottom"/>
          </w:tcPr>
          <w:p>
            <w:pPr>
              <w:jc w:val="center"/>
              <w:ind w:right="236"/>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Non-Redeemable</w:t>
            </w: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Common</w:t>
            </w:r>
          </w:p>
        </w:tc>
      </w:tr>
      <w:tr>
        <w:trPr>
          <w:trHeight w:val="111"/>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240" w:type="dxa"/>
            <w:vAlign w:val="bottom"/>
          </w:tcPr>
          <w:p>
            <w:pPr>
              <w:spacing w:after="0"/>
              <w:rPr>
                <w:sz w:val="9"/>
                <w:szCs w:val="9"/>
                <w:color w:val="auto"/>
              </w:rPr>
            </w:pPr>
          </w:p>
        </w:tc>
        <w:tc>
          <w:tcPr>
            <w:tcW w:w="8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20" w:type="dxa"/>
            <w:vAlign w:val="bottom"/>
          </w:tcPr>
          <w:p>
            <w:pPr>
              <w:spacing w:after="0"/>
              <w:rPr>
                <w:sz w:val="9"/>
                <w:szCs w:val="9"/>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Stock</w:t>
            </w:r>
          </w:p>
        </w:tc>
      </w:tr>
      <w:tr>
        <w:trPr>
          <w:trHeight w:val="13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27"/>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Numerator:</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Allocation of net (loss) income</w:t>
            </w:r>
          </w:p>
        </w:tc>
        <w:tc>
          <w:tcPr>
            <w:tcW w:w="1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0"/>
                <w:szCs w:val="10"/>
                <w:color w:val="auto"/>
              </w:rPr>
              <w:t>(105,483 )</w:t>
            </w:r>
          </w:p>
        </w:tc>
        <w:tc>
          <w:tcPr>
            <w:tcW w:w="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0"/>
                <w:szCs w:val="10"/>
                <w:color w:val="auto"/>
              </w:rPr>
              <w:t>(254,831 )</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439,673</w:t>
            </w:r>
          </w:p>
        </w:tc>
        <w:tc>
          <w:tcPr>
            <w:tcW w:w="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0"/>
                <w:szCs w:val="10"/>
                <w:color w:val="auto"/>
              </w:rPr>
              <w:t>167,354</w:t>
            </w:r>
          </w:p>
        </w:tc>
      </w:tr>
      <w:tr>
        <w:trPr>
          <w:trHeight w:val="127"/>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Denominator</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Weighted-average shares outstanding</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0"/>
                <w:szCs w:val="10"/>
                <w:color w:val="auto"/>
              </w:rPr>
              <w:t>2,363,349</w:t>
            </w: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3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0"/>
                <w:szCs w:val="10"/>
                <w:color w:val="auto"/>
              </w:rPr>
              <w:t>5,709,500</w:t>
            </w:r>
          </w:p>
        </w:tc>
      </w:tr>
      <w:tr>
        <w:trPr>
          <w:trHeight w:val="126"/>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(0.04 )</w:t>
            </w:r>
          </w:p>
        </w:tc>
        <w:tc>
          <w:tcPr>
            <w:tcW w:w="1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(0.04 )</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64" w:name="page265"/>
    <w:bookmarkEnd w:id="264"/>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$50,400 and $27,963 of stock-based compensation for the three-month periods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340" w:firstLine="488"/>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66" w:name="page267"/>
    <w:bookmarkEnd w:id="266"/>
    <w:p>
      <w:pPr>
        <w:ind w:left="10"/>
        <w:spacing w:after="0"/>
        <w:rPr>
          <w:sz w:val="20"/>
          <w:szCs w:val="20"/>
          <w:color w:val="auto"/>
        </w:rPr>
      </w:pPr>
      <w:r>
        <w:rPr>
          <w:rFonts w:ascii="Times New Roman" w:cs="Times New Roman" w:eastAsia="Times New Roman" w:hAnsi="Times New Roman"/>
          <w:sz w:val="10"/>
          <w:szCs w:val="10"/>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05" w:lineRule="exact"/>
        <w:rPr>
          <w:sz w:val="20"/>
          <w:szCs w:val="20"/>
          <w:color w:val="auto"/>
        </w:rPr>
      </w:pPr>
    </w:p>
    <w:p>
      <w:pPr>
        <w:jc w:val="both"/>
        <w:ind w:left="10" w:right="20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05"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05" w:lineRule="exact"/>
        <w:rPr>
          <w:sz w:val="20"/>
          <w:szCs w:val="20"/>
          <w:color w:val="auto"/>
        </w:rPr>
      </w:pPr>
    </w:p>
    <w:p>
      <w:pPr>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4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67" w:name="page268"/>
    <w:bookmarkEnd w:id="267"/>
    <w:p>
      <w:pPr>
        <w:ind w:right="48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 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Effective December 12, 2023, the Company and the Sponsor, entered into a subscription agreement (the “Subscription Agreement”) with Polar Multi-Strategy Master Fund (“Polar”), an unaffiliated third party of the Company, pursuant to which Polar agreed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make certain capital contributions (the “Investor Capital Contribution”) from time to time, at the request of the Sponsor, subject to the terms and conditions of the Subscription Agreement, to the Sponsor to meet the Sponsor’s commitment to fund the Company’s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capital needs and extension payments. In exchange for the commitment of Polar to provide the Investor Capital Contribution, (i) the Sponsor will transfer shares of common stock, par value $0.0001 per share, to Polar at the closing of its initial business combination,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further described below; and (ii) the Company and the Sponsor have agreed jointly and severally to return the Investor Capital Contribution to the Investor at the closing of an initial business combination. The maximum aggregate Investor Capital Contribution is $440,000,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with an initial Investor Capital Contribution of $110,000 available for drawdown within five (5) business days of the Subscription Agreement and the remaining amount to be available for drawdown in three equal tranches of $110,000 during January, February and March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2024. The initial Investor Capital Contribution of $110,000 has been funded to the Sponsor, on January 16, 2024, the second Investor Capital Contribution of $110,000 was funded to the Sponsor, and on February 13, 2024, the third Investor Capital Contribution of</w:t>
      </w:r>
    </w:p>
    <w:p>
      <w:pPr>
        <w:spacing w:after="0"/>
        <w:rPr>
          <w:sz w:val="20"/>
          <w:szCs w:val="20"/>
          <w:color w:val="auto"/>
        </w:rPr>
      </w:pPr>
      <w:r>
        <w:rPr>
          <w:rFonts w:ascii="Times New Roman" w:cs="Times New Roman" w:eastAsia="Times New Roman" w:hAnsi="Times New Roman"/>
          <w:sz w:val="9"/>
          <w:szCs w:val="9"/>
          <w:color w:val="auto"/>
        </w:rPr>
        <w:t>$110,000 was funded to the Sponsor. In exchange for the foregoing commitment of Polar to make the Investor Capital Contributions to the Sponsor, the Company agrees to, or cause the surviving entity following the closing of the Company’s initial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to, issue 880,000 shares of Company common stock currently held by the Sponsor in consideration for the amount that has been funded by Polar as of or prior to the closing of an initial business combination (the “Subscription Shares”). The Company or the surviving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of the business combination shall promptly file a registration statement for resale to register the Subscription Shares after the closing of an initial business combination, but no later than 45 calendar days after the closing of business combination, and cause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statement to be declared effective by 150 calendar days after the closing of an initial business combination. The Subscription Shares shall be free from the lockup provisions currently applicable to these shares (for a period of 180 days following the closing of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 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69" w:name="page270"/>
    <w:bookmarkEnd w:id="269"/>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0"/>
          <w:szCs w:val="10"/>
          <w:b w:val="1"/>
          <w:bCs w:val="1"/>
          <w:color w:val="auto"/>
        </w:rPr>
        <w:t>Note 6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5180" w:right="1040" w:hanging="4717"/>
        <w:spacing w:after="0" w:line="380"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71" w:name="page272"/>
    <w:bookmarkEnd w:id="271"/>
    <w:p>
      <w:pPr>
        <w:ind w:left="480" w:right="4040"/>
        <w:spacing w:after="0" w:line="380" w:lineRule="auto"/>
        <w:rPr>
          <w:sz w:val="20"/>
          <w:szCs w:val="20"/>
          <w:color w:val="auto"/>
        </w:rPr>
      </w:pPr>
      <w:r>
        <w:rPr>
          <w:rFonts w:ascii="Times New Roman" w:cs="Times New Roman" w:eastAsia="Times New Roman" w:hAnsi="Times New Roman"/>
          <w:sz w:val="10"/>
          <w:szCs w:val="10"/>
          <w:color w:val="auto"/>
        </w:rPr>
        <w:t>commencing at any time after the warrants become exercisable and ending on the third business day prior to the notice of redemption to warrant holders; and •if, and only if, there is a current registration statement in effect with respect to the shares of common stock underlying such warrants.</w:t>
      </w:r>
    </w:p>
    <w:p>
      <w:pPr>
        <w:spacing w:after="0" w:line="4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72" w:name="page273"/>
    <w:bookmarkEnd w:id="272"/>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Stockholders and Board of Directors of Armada Acquisition Corp. 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0"/>
          <w:szCs w:val="10"/>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Explanatory Paragraph – Going Concern</w:t>
      </w:r>
    </w:p>
    <w:p>
      <w:pPr>
        <w:spacing w:after="0" w:line="6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0"/>
          <w:szCs w:val="10"/>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9"/>
          <w:szCs w:val="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East Hanover, NJ</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December 4, 2023</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111"/>
        </w:trPr>
        <w:tc>
          <w:tcPr>
            <w:tcW w:w="7280" w:type="dxa"/>
            <w:vAlign w:val="bottom"/>
          </w:tcPr>
          <w:p>
            <w:pPr>
              <w:spacing w:after="0"/>
              <w:rPr>
                <w:sz w:val="9"/>
                <w:szCs w:val="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Cash</w:t>
            </w:r>
          </w:p>
        </w:tc>
        <w:tc>
          <w:tcPr>
            <w:tcW w:w="1020" w:type="dxa"/>
            <w:vAlign w:val="bottom"/>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11"/>
                <w:szCs w:val="11"/>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Prepaid expenses</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33,605</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61,942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10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93,889</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239,520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Investments held in Trust Account</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25,324,028</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150,844,925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0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7"/>
              </w:rPr>
              <w:t>25,417,917</w:t>
            </w:r>
          </w:p>
        </w:tc>
        <w:tc>
          <w:tcPr>
            <w:tcW w:w="280" w:type="dxa"/>
            <w:vAlign w:val="bottom"/>
          </w:tcPr>
          <w:p>
            <w:pPr>
              <w:spacing w:after="0"/>
              <w:rPr>
                <w:sz w:val="11"/>
                <w:szCs w:val="11"/>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151,084,445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7280" w:type="dxa"/>
            <w:vAlign w:val="bottom"/>
            <w:shd w:val="clear" w:color="auto" w:fill="CFF0FC"/>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Current liabilities:</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Accounts payable</w:t>
            </w:r>
          </w:p>
        </w:tc>
        <w:tc>
          <w:tcPr>
            <w:tcW w:w="1020" w:type="dxa"/>
            <w:vAlign w:val="bottom"/>
            <w:shd w:val="clear" w:color="auto" w:fill="CFF0FC"/>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4,708,050</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3,137,535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Franchise tax payable</w:t>
            </w:r>
          </w:p>
        </w:tc>
        <w:tc>
          <w:tcPr>
            <w:tcW w:w="10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12,100</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Income tax payable</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10,783</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145,621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Promissory Notes-Related Party</w:t>
            </w:r>
          </w:p>
        </w:tc>
        <w:tc>
          <w:tcPr>
            <w:tcW w:w="10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2,564,439</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251,754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Excise tax payable</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1,291,751</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8,587,123</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3,684,910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Commitments and Contingencies (Note 4)</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Common stock subject to possible redemption, 2,363,349 and 15,000,000 shares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$10.71 and $10.04 per share at</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September 30, 2023 and 2022, respectively</w:t>
            </w:r>
          </w:p>
        </w:tc>
        <w:tc>
          <w:tcPr>
            <w:tcW w:w="10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25,316,806</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1020" w:type="dxa"/>
            <w:vAlign w:val="bottom"/>
          </w:tcPr>
          <w:p>
            <w:pPr>
              <w:spacing w:after="0"/>
              <w:rPr>
                <w:sz w:val="10"/>
                <w:szCs w:val="1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4"/>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15,000,000 shares subject to</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 at September 30, 2023 and 2022, respectively</w:t>
            </w:r>
          </w:p>
        </w:tc>
        <w:tc>
          <w:tcPr>
            <w:tcW w:w="10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020" w:type="dxa"/>
            <w:vAlign w:val="bottom"/>
          </w:tcPr>
          <w:p>
            <w:pPr>
              <w:spacing w:after="0"/>
              <w:rPr>
                <w:sz w:val="11"/>
                <w:szCs w:val="11"/>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941,796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Accumulated deficit</w:t>
            </w:r>
          </w:p>
        </w:tc>
        <w:tc>
          <w:tcPr>
            <w:tcW w:w="10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(8,486,582 )</w:t>
            </w: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(4,091,693 )</w:t>
            </w: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2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(8,486,012 )</w:t>
            </w:r>
          </w:p>
        </w:tc>
        <w:tc>
          <w:tcPr>
            <w:tcW w:w="260" w:type="dxa"/>
            <w:vAlign w:val="bottom"/>
          </w:tcPr>
          <w:p>
            <w:pPr>
              <w:spacing w:after="0"/>
              <w:rPr>
                <w:sz w:val="11"/>
                <w:szCs w:val="1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(3,149,327 )</w:t>
            </w:r>
          </w:p>
        </w:tc>
        <w:tc>
          <w:tcPr>
            <w:tcW w:w="0" w:type="dxa"/>
            <w:vAlign w:val="bottom"/>
          </w:tcPr>
          <w:p>
            <w:pPr>
              <w:spacing w:after="0"/>
              <w:rPr>
                <w:sz w:val="1"/>
                <w:szCs w:val="1"/>
                <w:color w:val="auto"/>
              </w:rPr>
            </w:pPr>
          </w:p>
        </w:tc>
      </w:tr>
      <w:tr>
        <w:trPr>
          <w:trHeight w:val="111"/>
        </w:trPr>
        <w:tc>
          <w:tcPr>
            <w:tcW w:w="728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20" w:type="dxa"/>
            <w:vAlign w:val="bottom"/>
            <w:vMerge w:val="restart"/>
            <w:shd w:val="clear" w:color="auto" w:fill="CFF0FC"/>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25,417,917</w:t>
            </w:r>
          </w:p>
        </w:tc>
        <w:tc>
          <w:tcPr>
            <w:tcW w:w="280" w:type="dxa"/>
            <w:vAlign w:val="bottom"/>
            <w:shd w:val="clear" w:color="auto" w:fill="CFF0FC"/>
          </w:tcPr>
          <w:p>
            <w:pPr>
              <w:spacing w:after="0"/>
              <w:rPr>
                <w:sz w:val="9"/>
                <w:szCs w:val="9"/>
                <w:color w:val="auto"/>
              </w:rPr>
            </w:pPr>
          </w:p>
        </w:tc>
        <w:tc>
          <w:tcPr>
            <w:tcW w:w="260" w:type="dxa"/>
            <w:vAlign w:val="bottom"/>
            <w:vMerge w:val="restart"/>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151,084,445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280" w:type="dxa"/>
            <w:vAlign w:val="bottom"/>
            <w:tcBorders>
              <w:bottom w:val="single" w:sz="8" w:color="CFF0FC"/>
            </w:tcBorders>
            <w:shd w:val="clear" w:color="auto" w:fill="CFF0FC"/>
          </w:tcPr>
          <w:p>
            <w:pPr>
              <w:ind w:left="80"/>
              <w:spacing w:after="0" w:line="107"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20" w:type="dxa"/>
            <w:vAlign w:val="bottom"/>
            <w:tcBorders>
              <w:bottom w:val="single" w:sz="8" w:color="auto"/>
            </w:tcBorders>
            <w:vMerge w:val="continue"/>
            <w:shd w:val="clear" w:color="auto" w:fill="CFF0FC"/>
          </w:tcPr>
          <w:p>
            <w:pPr>
              <w:spacing w:after="0"/>
              <w:rPr>
                <w:sz w:val="9"/>
                <w:szCs w:val="9"/>
                <w:color w:val="auto"/>
              </w:rPr>
            </w:pPr>
          </w:p>
        </w:tc>
        <w:tc>
          <w:tcPr>
            <w:tcW w:w="480" w:type="dxa"/>
            <w:vAlign w:val="bottom"/>
            <w:tcBorders>
              <w:bottom w:val="single" w:sz="8" w:color="auto"/>
            </w:tcBorders>
            <w:vMerge w:val="continue"/>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vMerge w:val="continue"/>
            <w:shd w:val="clear" w:color="auto" w:fill="CFF0FC"/>
          </w:tcPr>
          <w:p>
            <w:pPr>
              <w:spacing w:after="0"/>
              <w:rPr>
                <w:sz w:val="9"/>
                <w:szCs w:val="9"/>
                <w:color w:val="auto"/>
              </w:rPr>
            </w:pPr>
          </w:p>
        </w:tc>
        <w:tc>
          <w:tcPr>
            <w:tcW w:w="120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75" w:name="page276"/>
    <w:bookmarkEnd w:id="275"/>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rPr>
                <w:sz w:val="10"/>
                <w:szCs w:val="1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2023</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Formation and operating costs</w:t>
            </w:r>
          </w:p>
        </w:tc>
        <w:tc>
          <w:tcPr>
            <w:tcW w:w="92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2,570,872</w:t>
            </w: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4,391,263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218,254</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111,852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Loss from operations</w:t>
            </w:r>
          </w:p>
        </w:tc>
        <w:tc>
          <w:tcPr>
            <w:tcW w:w="9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0"/>
                <w:szCs w:val="10"/>
                <w:color w:val="auto"/>
              </w:rPr>
              <w:t>(2,789,126 )</w:t>
            </w:r>
          </w:p>
        </w:tc>
        <w:tc>
          <w:tcPr>
            <w:tcW w:w="5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0"/>
                <w:szCs w:val="10"/>
                <w:color w:val="auto"/>
              </w:rPr>
              <w:t>(4,503,115 )</w:t>
            </w: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Other income</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Trust interest income</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3,084,260</w:t>
            </w: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1,025,942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other income</w:t>
            </w:r>
          </w:p>
        </w:tc>
        <w:tc>
          <w:tcPr>
            <w:tcW w:w="9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3,084,260</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1,025,942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Income (loss) before income tax provision</w:t>
            </w:r>
          </w:p>
        </w:tc>
        <w:tc>
          <w:tcPr>
            <w:tcW w:w="9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295,134</w:t>
            </w: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0"/>
                <w:szCs w:val="10"/>
                <w:color w:val="auto"/>
              </w:rPr>
              <w:t>(3,477,173 )</w:t>
            </w:r>
          </w:p>
        </w:tc>
        <w:tc>
          <w:tcPr>
            <w:tcW w:w="0" w:type="dxa"/>
            <w:vAlign w:val="bottom"/>
          </w:tcPr>
          <w:p>
            <w:pPr>
              <w:spacing w:after="0"/>
              <w:rPr>
                <w:sz w:val="1"/>
                <w:szCs w:val="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Income tax provision</w:t>
            </w:r>
          </w:p>
        </w:tc>
        <w:tc>
          <w:tcPr>
            <w:tcW w:w="920" w:type="dxa"/>
            <w:vAlign w:val="bottom"/>
          </w:tcPr>
          <w:p>
            <w:pPr>
              <w:spacing w:after="0"/>
              <w:rPr>
                <w:sz w:val="11"/>
                <w:szCs w:val="11"/>
                <w:color w:val="auto"/>
              </w:rPr>
            </w:pPr>
          </w:p>
        </w:tc>
        <w:tc>
          <w:tcPr>
            <w:tcW w:w="860" w:type="dxa"/>
            <w:vAlign w:val="bottom"/>
            <w:gridSpan w:val="2"/>
          </w:tcPr>
          <w:p>
            <w:pPr>
              <w:jc w:val="right"/>
              <w:ind w:right="203"/>
              <w:spacing w:after="0"/>
              <w:rPr>
                <w:sz w:val="20"/>
                <w:szCs w:val="20"/>
                <w:color w:val="auto"/>
              </w:rPr>
            </w:pPr>
            <w:r>
              <w:rPr>
                <w:rFonts w:ascii="Times New Roman" w:cs="Times New Roman" w:eastAsia="Times New Roman" w:hAnsi="Times New Roman"/>
                <w:sz w:val="10"/>
                <w:szCs w:val="10"/>
                <w:color w:val="auto"/>
              </w:rPr>
              <w:t>(615,284 )</w:t>
            </w:r>
          </w:p>
        </w:tc>
        <w:tc>
          <w:tcPr>
            <w:tcW w:w="540" w:type="dxa"/>
            <w:vAlign w:val="bottom"/>
          </w:tcPr>
          <w:p>
            <w:pPr>
              <w:spacing w:after="0"/>
              <w:rPr>
                <w:sz w:val="11"/>
                <w:szCs w:val="11"/>
                <w:color w:val="auto"/>
              </w:rPr>
            </w:pPr>
          </w:p>
        </w:tc>
        <w:tc>
          <w:tcPr>
            <w:tcW w:w="1020" w:type="dxa"/>
            <w:vAlign w:val="bottom"/>
            <w:gridSpan w:val="2"/>
          </w:tcPr>
          <w:p>
            <w:pPr>
              <w:jc w:val="right"/>
              <w:ind w:right="23"/>
              <w:spacing w:after="0"/>
              <w:rPr>
                <w:sz w:val="20"/>
                <w:szCs w:val="20"/>
                <w:color w:val="auto"/>
              </w:rPr>
            </w:pPr>
            <w:r>
              <w:rPr>
                <w:rFonts w:ascii="Times New Roman" w:cs="Times New Roman" w:eastAsia="Times New Roman" w:hAnsi="Times New Roman"/>
                <w:sz w:val="10"/>
                <w:szCs w:val="10"/>
                <w:color w:val="auto"/>
              </w:rPr>
              <w:t>(145,621 )</w:t>
            </w:r>
          </w:p>
        </w:tc>
        <w:tc>
          <w:tcPr>
            <w:tcW w:w="0" w:type="dxa"/>
            <w:vAlign w:val="bottom"/>
          </w:tcPr>
          <w:p>
            <w:pPr>
              <w:spacing w:after="0"/>
              <w:rPr>
                <w:sz w:val="1"/>
                <w:szCs w:val="1"/>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92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FF0FC"/>
          </w:tcPr>
          <w:p>
            <w:pPr>
              <w:jc w:val="right"/>
              <w:ind w:right="203"/>
              <w:spacing w:after="0" w:line="129" w:lineRule="exact"/>
              <w:rPr>
                <w:sz w:val="20"/>
                <w:szCs w:val="20"/>
                <w:color w:val="auto"/>
              </w:rPr>
            </w:pPr>
            <w:r>
              <w:rPr>
                <w:rFonts w:ascii="Times New Roman" w:cs="Times New Roman" w:eastAsia="Times New Roman" w:hAnsi="Times New Roman"/>
                <w:sz w:val="8"/>
                <w:szCs w:val="8"/>
                <w:color w:val="auto"/>
              </w:rPr>
              <w:t xml:space="preserve">(320,150 </w:t>
            </w:r>
            <w:r>
              <w:rPr>
                <w:rFonts w:ascii="Times New Roman" w:cs="Times New Roman" w:eastAsia="Times New Roman" w:hAnsi="Times New Roman"/>
                <w:sz w:val="14"/>
                <w:szCs w:val="14"/>
                <w:color w:val="auto"/>
                <w:vertAlign w:val="subscript"/>
              </w:rPr>
              <w:t>)</w:t>
            </w:r>
          </w:p>
        </w:tc>
        <w:tc>
          <w:tcPr>
            <w:tcW w:w="54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2"/>
            <w:shd w:val="clear" w:color="auto" w:fill="CFF0FC"/>
          </w:tcPr>
          <w:p>
            <w:pPr>
              <w:jc w:val="right"/>
              <w:ind w:right="23"/>
              <w:spacing w:after="0" w:line="129" w:lineRule="exact"/>
              <w:rPr>
                <w:sz w:val="20"/>
                <w:szCs w:val="20"/>
                <w:color w:val="auto"/>
              </w:rPr>
            </w:pPr>
            <w:r>
              <w:rPr>
                <w:rFonts w:ascii="Times New Roman" w:cs="Times New Roman" w:eastAsia="Times New Roman" w:hAnsi="Times New Roman"/>
                <w:sz w:val="8"/>
                <w:szCs w:val="8"/>
                <w:color w:val="auto"/>
              </w:rPr>
              <w:t xml:space="preserve">(3,622,794 </w:t>
            </w:r>
            <w:r>
              <w:rPr>
                <w:rFonts w:ascii="Times New Roman" w:cs="Times New Roman" w:eastAsia="Times New Roman" w:hAnsi="Times New Roman"/>
                <w:sz w:val="14"/>
                <w:szCs w:val="14"/>
                <w:color w:val="auto"/>
                <w:vertAlign w:val="subscript"/>
              </w:rPr>
              <w:t>)</w:t>
            </w:r>
          </w:p>
        </w:tc>
        <w:tc>
          <w:tcPr>
            <w:tcW w:w="0" w:type="dxa"/>
            <w:vAlign w:val="bottom"/>
          </w:tcPr>
          <w:p>
            <w:pPr>
              <w:spacing w:after="0"/>
              <w:rPr>
                <w:sz w:val="1"/>
                <w:szCs w:val="1"/>
                <w:color w:val="auto"/>
              </w:rPr>
            </w:pPr>
          </w:p>
        </w:tc>
      </w:tr>
      <w:tr>
        <w:trPr>
          <w:trHeight w:val="113"/>
        </w:trPr>
        <w:tc>
          <w:tcPr>
            <w:tcW w:w="7280" w:type="dxa"/>
            <w:vAlign w:val="bottom"/>
            <w:tcBorders>
              <w:top w:val="single" w:sz="8" w:color="CFF0FC"/>
            </w:tcBorders>
          </w:tcPr>
          <w:p>
            <w:pPr>
              <w:spacing w:after="0" w:line="114"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9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7,259,013</w:t>
            </w:r>
          </w:p>
        </w:tc>
        <w:tc>
          <w:tcPr>
            <w:tcW w:w="28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280" w:type="dxa"/>
            <w:vAlign w:val="bottom"/>
          </w:tcPr>
          <w:p>
            <w:pPr>
              <w:ind w:left="80"/>
              <w:spacing w:after="0" w:line="104" w:lineRule="exact"/>
              <w:rPr>
                <w:sz w:val="20"/>
                <w:szCs w:val="20"/>
                <w:color w:val="auto"/>
              </w:rPr>
            </w:pPr>
            <w:r>
              <w:rPr>
                <w:rFonts w:ascii="Times New Roman" w:cs="Times New Roman" w:eastAsia="Times New Roman" w:hAnsi="Times New Roman"/>
                <w:sz w:val="10"/>
                <w:szCs w:val="10"/>
                <w:color w:val="auto"/>
              </w:rPr>
              <w:t>possible redemption</w:t>
            </w: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2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(0.02</w:t>
            </w:r>
          </w:p>
        </w:tc>
        <w:tc>
          <w:tcPr>
            <w:tcW w:w="280" w:type="dxa"/>
            <w:vAlign w:val="bottom"/>
            <w:tcBorders>
              <w:bottom w:val="single" w:sz="8" w:color="CFF0FC"/>
            </w:tcBorders>
            <w:shd w:val="clear" w:color="auto" w:fill="CFF0FC"/>
          </w:tcPr>
          <w:p>
            <w:pPr>
              <w:jc w:val="right"/>
              <w:ind w:right="20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9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2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(0.02</w:t>
            </w:r>
          </w:p>
        </w:tc>
        <w:tc>
          <w:tcPr>
            <w:tcW w:w="280" w:type="dxa"/>
            <w:vAlign w:val="bottom"/>
            <w:tcBorders>
              <w:bottom w:val="single" w:sz="8" w:color="CFF0FC"/>
            </w:tcBorders>
            <w:shd w:val="clear" w:color="auto" w:fill="CFF0FC"/>
          </w:tcPr>
          <w:p>
            <w:pPr>
              <w:jc w:val="right"/>
              <w:ind w:right="20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STATEMENTS OF CHANGES IN STOCKHOLDERS’ EQUITY (DEFICIT)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108"/>
        </w:trPr>
        <w:tc>
          <w:tcPr>
            <w:tcW w:w="4440" w:type="dxa"/>
            <w:vAlign w:val="bottom"/>
          </w:tcPr>
          <w:p>
            <w:pPr>
              <w:spacing w:after="0"/>
              <w:rPr>
                <w:sz w:val="9"/>
                <w:szCs w:val="9"/>
                <w:color w:val="auto"/>
              </w:rPr>
            </w:pPr>
          </w:p>
        </w:tc>
        <w:tc>
          <w:tcPr>
            <w:tcW w:w="154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60" w:type="dxa"/>
            <w:vAlign w:val="bottom"/>
          </w:tcPr>
          <w:p>
            <w:pPr>
              <w:spacing w:after="0"/>
              <w:rPr>
                <w:sz w:val="9"/>
                <w:szCs w:val="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9"/>
                <w:szCs w:val="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15"/>
        </w:trPr>
        <w:tc>
          <w:tcPr>
            <w:tcW w:w="4440" w:type="dxa"/>
            <w:vAlign w:val="bottom"/>
          </w:tcPr>
          <w:p>
            <w:pPr>
              <w:spacing w:after="0"/>
              <w:rPr>
                <w:sz w:val="10"/>
                <w:szCs w:val="10"/>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40" w:type="dxa"/>
            <w:vAlign w:val="bottom"/>
          </w:tcPr>
          <w:p>
            <w:pPr>
              <w:spacing w:after="0"/>
              <w:rPr>
                <w:sz w:val="10"/>
                <w:szCs w:val="10"/>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10"/>
                <w:szCs w:val="10"/>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60" w:type="dxa"/>
            <w:vAlign w:val="bottom"/>
          </w:tcPr>
          <w:p>
            <w:pPr>
              <w:spacing w:after="0"/>
              <w:rPr>
                <w:sz w:val="10"/>
                <w:szCs w:val="10"/>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10"/>
                <w:szCs w:val="1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Equity (Deficit)</w:t>
            </w:r>
          </w:p>
        </w:tc>
      </w:tr>
      <w:tr>
        <w:trPr>
          <w:trHeight w:val="131"/>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6,834,500</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683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1,378,693</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(468,899 )</w:t>
            </w: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910,477</w:t>
            </w:r>
          </w:p>
        </w:tc>
        <w:tc>
          <w:tcPr>
            <w:tcW w:w="100" w:type="dxa"/>
            <w:vAlign w:val="bottom"/>
            <w:shd w:val="clear" w:color="auto" w:fill="CFF0FC"/>
          </w:tcPr>
          <w:p>
            <w:pPr>
              <w:spacing w:after="0"/>
              <w:rPr>
                <w:sz w:val="11"/>
                <w:szCs w:val="1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color w:val="auto"/>
              </w:rPr>
              <w:t>Forfeiture of founder shares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(1,125,000 )</w:t>
            </w:r>
          </w:p>
        </w:tc>
        <w:tc>
          <w:tcPr>
            <w:tcW w:w="24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(113 )</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111,852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11"/>
                <w:szCs w:val="11"/>
                <w:color w:val="auto"/>
              </w:rPr>
            </w:pPr>
          </w:p>
        </w:tc>
      </w:tr>
      <w:tr>
        <w:trPr>
          <w:trHeight w:val="113"/>
        </w:trPr>
        <w:tc>
          <w:tcPr>
            <w:tcW w:w="444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(548,862 )</w:t>
            </w:r>
          </w:p>
        </w:tc>
        <w:tc>
          <w:tcPr>
            <w:tcW w:w="16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(548,862 )</w:t>
            </w:r>
          </w:p>
        </w:tc>
      </w:tr>
      <w:tr>
        <w:trPr>
          <w:trHeight w:val="128"/>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loss</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(3,622,794 )</w:t>
            </w:r>
          </w:p>
        </w:tc>
        <w:tc>
          <w:tcPr>
            <w:tcW w:w="1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(3,622,794 )</w:t>
            </w: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941,796</w:t>
            </w:r>
          </w:p>
        </w:tc>
        <w:tc>
          <w:tcPr>
            <w:tcW w:w="220" w:type="dxa"/>
            <w:vAlign w:val="bottom"/>
          </w:tcPr>
          <w:p>
            <w:pPr>
              <w:spacing w:after="0"/>
              <w:rPr>
                <w:sz w:val="11"/>
                <w:szCs w:val="11"/>
                <w:color w:val="auto"/>
              </w:rPr>
            </w:pP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444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10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100" w:type="dxa"/>
            <w:vAlign w:val="bottom"/>
            <w:shd w:val="clear" w:color="auto" w:fill="CFF0FC"/>
          </w:tcPr>
          <w:p>
            <w:pPr>
              <w:spacing w:after="0"/>
              <w:rPr>
                <w:sz w:val="11"/>
                <w:szCs w:val="11"/>
                <w:color w:val="auto"/>
              </w:rPr>
            </w:pPr>
          </w:p>
        </w:tc>
      </w:tr>
      <w:tr>
        <w:trPr>
          <w:trHeight w:val="113"/>
        </w:trPr>
        <w:tc>
          <w:tcPr>
            <w:tcW w:w="444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6"/>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6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(1,102,909 )</w:t>
            </w:r>
          </w:p>
        </w:tc>
      </w:tr>
      <w:tr>
        <w:trPr>
          <w:trHeight w:val="128"/>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Excise tax on redemptions</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(1,160,050 )</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(131,701 )</w:t>
            </w:r>
          </w:p>
        </w:tc>
        <w:tc>
          <w:tcPr>
            <w:tcW w:w="1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(1,291,751 )</w:t>
            </w: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218,254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218,254</w:t>
            </w:r>
          </w:p>
        </w:tc>
        <w:tc>
          <w:tcPr>
            <w:tcW w:w="100" w:type="dxa"/>
            <w:vAlign w:val="bottom"/>
          </w:tcPr>
          <w:p>
            <w:pPr>
              <w:spacing w:after="0"/>
              <w:rPr>
                <w:sz w:val="11"/>
                <w:szCs w:val="11"/>
                <w:color w:val="auto"/>
              </w:rPr>
            </w:pPr>
          </w:p>
        </w:tc>
      </w:tr>
      <w:tr>
        <w:trPr>
          <w:trHeight w:val="11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common stock</w:t>
            </w:r>
          </w:p>
        </w:tc>
        <w:tc>
          <w:tcPr>
            <w:tcW w:w="10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7"/>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(3,943,038 )</w:t>
            </w:r>
          </w:p>
        </w:tc>
        <w:tc>
          <w:tcPr>
            <w:tcW w:w="1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(3,943,038 )</w:t>
            </w: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(320,150 )</w:t>
            </w:r>
          </w:p>
        </w:tc>
        <w:tc>
          <w:tcPr>
            <w:tcW w:w="16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(320,150 )</w:t>
            </w:r>
          </w:p>
        </w:tc>
      </w:tr>
      <w:tr>
        <w:trPr>
          <w:trHeight w:val="128"/>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8"/>
                <w:szCs w:val="8"/>
                <w:b w:val="1"/>
                <w:bCs w:val="1"/>
                <w:color w:val="auto"/>
              </w:rPr>
              <w:t xml:space="preserve">(8,486,582 </w:t>
            </w:r>
            <w:r>
              <w:rPr>
                <w:rFonts w:ascii="Times New Roman" w:cs="Times New Roman" w:eastAsia="Times New Roman" w:hAnsi="Times New Roman"/>
                <w:sz w:val="14"/>
                <w:szCs w:val="14"/>
                <w:b w:val="1"/>
                <w:bCs w:val="1"/>
                <w:color w:val="auto"/>
                <w:vertAlign w:val="subscript"/>
              </w:rPr>
              <w:t>)</w:t>
            </w:r>
          </w:p>
        </w:tc>
        <w:tc>
          <w:tcPr>
            <w:tcW w:w="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8"/>
                <w:szCs w:val="8"/>
                <w:b w:val="1"/>
                <w:bCs w:val="1"/>
                <w:color w:val="auto"/>
              </w:rPr>
              <w:t xml:space="preserve">(8,486,012 </w:t>
            </w:r>
            <w:r>
              <w:rPr>
                <w:rFonts w:ascii="Times New Roman" w:cs="Times New Roman" w:eastAsia="Times New Roman" w:hAnsi="Times New Roman"/>
                <w:sz w:val="14"/>
                <w:szCs w:val="14"/>
                <w:b w:val="1"/>
                <w:bCs w:val="1"/>
                <w:color w:val="auto"/>
                <w:vertAlign w:val="subscript"/>
              </w:rPr>
              <w:t>)</w:t>
            </w:r>
          </w:p>
        </w:tc>
      </w:tr>
      <w:tr>
        <w:trPr>
          <w:trHeight w:val="23"/>
        </w:trPr>
        <w:tc>
          <w:tcPr>
            <w:tcW w:w="44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77" w:name="page278"/>
    <w:bookmarkEnd w:id="277"/>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CASH FLOWS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7280" w:type="dxa"/>
            <w:vAlign w:val="bottom"/>
          </w:tcPr>
          <w:p>
            <w:pPr>
              <w:spacing w:after="0"/>
              <w:rPr>
                <w:sz w:val="10"/>
                <w:szCs w:val="1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10"/>
                <w:szCs w:val="10"/>
                <w:color w:val="auto"/>
              </w:rPr>
            </w:pPr>
          </w:p>
        </w:tc>
      </w:tr>
      <w:tr>
        <w:trPr>
          <w:trHeight w:val="13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900" w:type="dxa"/>
            <w:vAlign w:val="bottom"/>
          </w:tcPr>
          <w:p>
            <w:pPr>
              <w:jc w:val="right"/>
              <w:ind w:right="793"/>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(320,150 )</w:t>
            </w:r>
          </w:p>
        </w:tc>
        <w:tc>
          <w:tcPr>
            <w:tcW w:w="540" w:type="dxa"/>
            <w:vAlign w:val="bottom"/>
          </w:tcPr>
          <w:p>
            <w:pPr>
              <w:jc w:val="right"/>
              <w:ind w:right="476"/>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(3,622,794 )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9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(3,084,260 )</w:t>
            </w:r>
          </w:p>
        </w:tc>
        <w:tc>
          <w:tcPr>
            <w:tcW w:w="54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(1,025,942 )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9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218,254</w:t>
            </w: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Changes in current assets and liabilities:</w:t>
            </w: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Prepaid expenses</w:t>
            </w:r>
          </w:p>
        </w:tc>
        <w:tc>
          <w:tcPr>
            <w:tcW w:w="9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28,337</w:t>
            </w: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398,920</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Accounts payable</w:t>
            </w:r>
          </w:p>
        </w:tc>
        <w:tc>
          <w:tcPr>
            <w:tcW w:w="9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1,570,515</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2,954,179</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Franchise tax payable</w:t>
            </w:r>
          </w:p>
        </w:tc>
        <w:tc>
          <w:tcPr>
            <w:tcW w:w="9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(137,900 )</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124,329</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Income tax payable</w:t>
            </w:r>
          </w:p>
        </w:tc>
        <w:tc>
          <w:tcPr>
            <w:tcW w:w="9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(134,838 )</w:t>
            </w: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145,621</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(1,860,042 )</w:t>
            </w:r>
          </w:p>
        </w:tc>
        <w:tc>
          <w:tcPr>
            <w:tcW w:w="5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(913,835 )</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Cash Flows from Investing Activities:</w:t>
            </w: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Withdrawals from Trust Account for redemptions of common stock</w:t>
            </w:r>
          </w:p>
        </w:tc>
        <w:tc>
          <w:tcPr>
            <w:tcW w:w="9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129,175,094</w:t>
            </w: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Withdrawals from Trust Account to pay for taxes</w:t>
            </w:r>
          </w:p>
        </w:tc>
        <w:tc>
          <w:tcPr>
            <w:tcW w:w="9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1,071,864</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182,069</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Extension deposits in Trust Account</w:t>
            </w:r>
          </w:p>
        </w:tc>
        <w:tc>
          <w:tcPr>
            <w:tcW w:w="9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(1,641,801 )</w:t>
            </w:r>
          </w:p>
        </w:tc>
        <w:tc>
          <w:tcPr>
            <w:tcW w:w="5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128,605,157</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182,069</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Cash Flows from Financing Activities:</w:t>
            </w:r>
          </w:p>
        </w:tc>
        <w:tc>
          <w:tcPr>
            <w:tcW w:w="9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9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2,316,985</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483,034</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Repayment of Promissory Notes to Related Party</w:t>
            </w:r>
          </w:p>
        </w:tc>
        <w:tc>
          <w:tcPr>
            <w:tcW w:w="9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(4,300 )</w:t>
            </w:r>
          </w:p>
        </w:tc>
        <w:tc>
          <w:tcPr>
            <w:tcW w:w="5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(231,280 )</w:t>
            </w: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Redemptions of common stock</w:t>
            </w:r>
          </w:p>
        </w:tc>
        <w:tc>
          <w:tcPr>
            <w:tcW w:w="9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(129,175,094 )</w:t>
            </w:r>
          </w:p>
        </w:tc>
        <w:tc>
          <w:tcPr>
            <w:tcW w:w="54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9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(126,862,409 )</w:t>
            </w: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251,754</w:t>
            </w:r>
          </w:p>
        </w:tc>
        <w:tc>
          <w:tcPr>
            <w:tcW w:w="100" w:type="dxa"/>
            <w:vAlign w:val="bottom"/>
            <w:shd w:val="clear" w:color="auto" w:fill="CFF0FC"/>
          </w:tcPr>
          <w:p>
            <w:pPr>
              <w:spacing w:after="0"/>
              <w:rPr>
                <w:sz w:val="11"/>
                <w:szCs w:val="11"/>
                <w:color w:val="auto"/>
              </w:rPr>
            </w:pPr>
          </w:p>
        </w:tc>
      </w:tr>
      <w:tr>
        <w:trPr>
          <w:trHeight w:val="127"/>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change in cash</w:t>
            </w:r>
          </w:p>
        </w:tc>
        <w:tc>
          <w:tcPr>
            <w:tcW w:w="9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(117,294 )</w:t>
            </w:r>
          </w:p>
        </w:tc>
        <w:tc>
          <w:tcPr>
            <w:tcW w:w="54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(480,012 )</w:t>
            </w: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Cash, beginning of the period</w:t>
            </w:r>
          </w:p>
        </w:tc>
        <w:tc>
          <w:tcPr>
            <w:tcW w:w="9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177,578</w:t>
            </w: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657,590</w:t>
            </w:r>
          </w:p>
        </w:tc>
        <w:tc>
          <w:tcPr>
            <w:tcW w:w="100" w:type="dxa"/>
            <w:vAlign w:val="bottom"/>
            <w:shd w:val="clear" w:color="auto" w:fill="CFF0FC"/>
          </w:tcPr>
          <w:p>
            <w:pPr>
              <w:spacing w:after="0"/>
              <w:rPr>
                <w:sz w:val="11"/>
                <w:szCs w:val="1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60,284</w:t>
            </w:r>
          </w:p>
        </w:tc>
        <w:tc>
          <w:tcPr>
            <w:tcW w:w="280" w:type="dxa"/>
            <w:vAlign w:val="bottom"/>
          </w:tcPr>
          <w:p>
            <w:pPr>
              <w:spacing w:after="0"/>
              <w:rPr>
                <w:sz w:val="11"/>
                <w:szCs w:val="11"/>
                <w:color w:val="auto"/>
              </w:rPr>
            </w:pPr>
          </w:p>
        </w:tc>
        <w:tc>
          <w:tcPr>
            <w:tcW w:w="5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177,578</w:t>
            </w:r>
          </w:p>
        </w:tc>
        <w:tc>
          <w:tcPr>
            <w:tcW w:w="100" w:type="dxa"/>
            <w:vAlign w:val="bottom"/>
          </w:tcPr>
          <w:p>
            <w:pPr>
              <w:spacing w:after="0"/>
              <w:rPr>
                <w:sz w:val="11"/>
                <w:szCs w:val="11"/>
                <w:color w:val="auto"/>
              </w:rPr>
            </w:pPr>
          </w:p>
        </w:tc>
      </w:tr>
      <w:tr>
        <w:trPr>
          <w:trHeight w:val="128"/>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Supplemental disclosure of noncash investing and financing activities</w:t>
            </w:r>
          </w:p>
        </w:tc>
        <w:tc>
          <w:tcPr>
            <w:tcW w:w="9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0"/>
        </w:trPr>
        <w:tc>
          <w:tcPr>
            <w:tcW w:w="7280" w:type="dxa"/>
            <w:vAlign w:val="bottom"/>
          </w:tcPr>
          <w:p>
            <w:pPr>
              <w:spacing w:after="0"/>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9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3,943,038</w:t>
            </w:r>
          </w:p>
        </w:tc>
        <w:tc>
          <w:tcPr>
            <w:tcW w:w="280" w:type="dxa"/>
            <w:vAlign w:val="bottom"/>
          </w:tcPr>
          <w:p>
            <w:pPr>
              <w:spacing w:after="0"/>
              <w:rPr>
                <w:sz w:val="11"/>
                <w:szCs w:val="11"/>
                <w:color w:val="auto"/>
              </w:rPr>
            </w:pPr>
          </w:p>
        </w:tc>
        <w:tc>
          <w:tcPr>
            <w:tcW w:w="5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100" w:type="dxa"/>
            <w:vAlign w:val="bottom"/>
          </w:tcPr>
          <w:p>
            <w:pPr>
              <w:spacing w:after="0"/>
              <w:rPr>
                <w:sz w:val="11"/>
                <w:szCs w:val="11"/>
                <w:color w:val="auto"/>
              </w:rPr>
            </w:pPr>
          </w:p>
        </w:tc>
      </w:tr>
      <w:tr>
        <w:trPr>
          <w:trHeight w:val="13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Excise tax on redemptions</w:t>
            </w:r>
          </w:p>
        </w:tc>
        <w:tc>
          <w:tcPr>
            <w:tcW w:w="900" w:type="dxa"/>
            <w:vAlign w:val="bottom"/>
            <w:tcBorders>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1,291,751</w:t>
            </w:r>
          </w:p>
        </w:tc>
        <w:tc>
          <w:tcPr>
            <w:tcW w:w="2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1"/>
                <w:szCs w:val="1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79" w:name="page280"/>
    <w:bookmarkEnd w:id="279"/>
    <w:p>
      <w:pPr>
        <w:spacing w:after="0" w:line="245" w:lineRule="auto"/>
        <w:rPr>
          <w:sz w:val="20"/>
          <w:szCs w:val="20"/>
          <w:color w:val="auto"/>
        </w:rPr>
      </w:pPr>
      <w:r>
        <w:rPr>
          <w:rFonts w:ascii="Times New Roman" w:cs="Times New Roman" w:eastAsia="Times New Roman" w:hAnsi="Times New Roman"/>
          <w:sz w:val="10"/>
          <w:szCs w:val="10"/>
          <w:color w:val="auto"/>
        </w:rPr>
        <w:t>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for six monthly periods or until no later than February 17, 2024. On August 8, 2023, the Company deposited $70,900 into the Trust Account thereby extending the Combination Period until September 17, 2023, and on each of September 8, 2023, October 11, 2023 and November 9, 2023, the Company deposited $70,900 into the Trust Account thereby extending the Combination Period for three additional months or until December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1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80" w:name="page281"/>
    <w:bookmarkEnd w:id="280"/>
    <w:p>
      <w:pPr>
        <w:ind w:right="320"/>
        <w:spacing w:after="0" w:line="255" w:lineRule="auto"/>
        <w:rPr>
          <w:sz w:val="20"/>
          <w:szCs w:val="20"/>
          <w:color w:val="auto"/>
        </w:rPr>
      </w:pPr>
      <w:r>
        <w:rPr>
          <w:rFonts w:ascii="Times New Roman" w:cs="Times New Roman" w:eastAsia="Times New Roman" w:hAnsi="Times New Roman"/>
          <w:sz w:val="10"/>
          <w:szCs w:val="10"/>
          <w:color w:val="auto"/>
        </w:rPr>
        <w:t>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0"/>
          <w:szCs w:val="10"/>
          <w:color w:val="auto"/>
        </w:rPr>
        <w:t>9, 2023 the Company borrowed $70,900 under the Extension Note on each such date and deposited the funds into the Trust Account thereby extending the Combination Period for three additional months or until December 17, 2023.</w:t>
      </w:r>
    </w:p>
    <w:p>
      <w:pPr>
        <w:spacing w:after="0" w:line="118"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2023, the Company had approximately $60,000 of cash in its bank operating account and a working capital deficiency of approximately $8.5 million (excluding income tax payable and franchise tax payable).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1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82" w:name="page283"/>
    <w:bookmarkEnd w:id="282"/>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2022, the assets held in the Trust Account were held in U.S. Treasury Bills with a maturity of 185 days or less.</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 decline in the market value of held-to- 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0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6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0"/>
          <w:szCs w:val="10"/>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56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September 30, 2023 and 2022, the common stock reflected in the balance sheets are reconciled in the following table:</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28"/>
        </w:trPr>
        <w:tc>
          <w:tcPr>
            <w:tcW w:w="1640" w:type="dxa"/>
            <w:vAlign w:val="bottom"/>
          </w:tcPr>
          <w:p>
            <w:pPr>
              <w:spacing w:after="0"/>
              <w:rPr>
                <w:sz w:val="11"/>
                <w:szCs w:val="1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Gross Proceeds</w:t>
            </w:r>
          </w:p>
        </w:tc>
        <w:tc>
          <w:tcPr>
            <w:tcW w:w="138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150,000,000</w:t>
            </w:r>
          </w:p>
        </w:tc>
      </w:tr>
      <w:tr>
        <w:trPr>
          <w:trHeight w:val="127"/>
        </w:trPr>
        <w:tc>
          <w:tcPr>
            <w:tcW w:w="1640" w:type="dxa"/>
            <w:vAlign w:val="bottom"/>
          </w:tcPr>
          <w:p>
            <w:pPr>
              <w:spacing w:after="0"/>
              <w:rPr>
                <w:sz w:val="11"/>
                <w:szCs w:val="11"/>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0"/>
                <w:szCs w:val="10"/>
                <w:color w:val="auto"/>
              </w:rPr>
              <w:t>Proceeds allocated to Public Warrants</w:t>
            </w:r>
          </w:p>
        </w:tc>
        <w:tc>
          <w:tcPr>
            <w:tcW w:w="13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(11,700,000 )</w:t>
            </w:r>
          </w:p>
        </w:tc>
      </w:tr>
      <w:tr>
        <w:trPr>
          <w:trHeight w:val="128"/>
        </w:trPr>
        <w:tc>
          <w:tcPr>
            <w:tcW w:w="1640" w:type="dxa"/>
            <w:vAlign w:val="bottom"/>
          </w:tcPr>
          <w:p>
            <w:pPr>
              <w:spacing w:after="0"/>
              <w:rPr>
                <w:sz w:val="11"/>
                <w:szCs w:val="1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Issuance costs related to common stock</w:t>
            </w:r>
          </w:p>
        </w:tc>
        <w:tc>
          <w:tcPr>
            <w:tcW w:w="13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(3,261,589 )</w:t>
            </w:r>
          </w:p>
        </w:tc>
      </w:tr>
      <w:tr>
        <w:trPr>
          <w:trHeight w:val="127"/>
        </w:trPr>
        <w:tc>
          <w:tcPr>
            <w:tcW w:w="1640" w:type="dxa"/>
            <w:vAlign w:val="bottom"/>
          </w:tcPr>
          <w:p>
            <w:pPr>
              <w:spacing w:after="0"/>
              <w:rPr>
                <w:sz w:val="11"/>
                <w:szCs w:val="11"/>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11"/>
                <w:szCs w:val="1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14,961,589</w:t>
            </w:r>
          </w:p>
        </w:tc>
      </w:tr>
      <w:tr>
        <w:trPr>
          <w:trHeight w:val="114"/>
        </w:trPr>
        <w:tc>
          <w:tcPr>
            <w:tcW w:w="1640" w:type="dxa"/>
            <w:vAlign w:val="bottom"/>
          </w:tcPr>
          <w:p>
            <w:pPr>
              <w:spacing w:after="0"/>
              <w:rPr>
                <w:sz w:val="9"/>
                <w:szCs w:val="9"/>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27"/>
        </w:trPr>
        <w:tc>
          <w:tcPr>
            <w:tcW w:w="1640" w:type="dxa"/>
            <w:vAlign w:val="bottom"/>
          </w:tcPr>
          <w:p>
            <w:pPr>
              <w:spacing w:after="0"/>
              <w:rPr>
                <w:sz w:val="11"/>
                <w:szCs w:val="11"/>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that can be withdrawn from Trust Account for taxes)</w:t>
            </w:r>
          </w:p>
        </w:tc>
        <w:tc>
          <w:tcPr>
            <w:tcW w:w="13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11"/>
        </w:trPr>
        <w:tc>
          <w:tcPr>
            <w:tcW w:w="1640" w:type="dxa"/>
            <w:vAlign w:val="bottom"/>
          </w:tcPr>
          <w:p>
            <w:pPr>
              <w:spacing w:after="0"/>
              <w:rPr>
                <w:sz w:val="9"/>
                <w:szCs w:val="9"/>
                <w:color w:val="auto"/>
              </w:rPr>
            </w:pPr>
          </w:p>
        </w:tc>
        <w:tc>
          <w:tcPr>
            <w:tcW w:w="4020" w:type="dxa"/>
            <w:vAlign w:val="bottom"/>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28"/>
        </w:trPr>
        <w:tc>
          <w:tcPr>
            <w:tcW w:w="1640" w:type="dxa"/>
            <w:vAlign w:val="bottom"/>
          </w:tcPr>
          <w:p>
            <w:pPr>
              <w:spacing w:after="0"/>
              <w:rPr>
                <w:sz w:val="11"/>
                <w:szCs w:val="11"/>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380" w:type="dxa"/>
            <w:vAlign w:val="bottom"/>
          </w:tcPr>
          <w:p>
            <w:pPr>
              <w:spacing w:after="0"/>
              <w:rPr>
                <w:sz w:val="11"/>
                <w:szCs w:val="1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28"/>
        </w:trPr>
        <w:tc>
          <w:tcPr>
            <w:tcW w:w="1640" w:type="dxa"/>
            <w:vAlign w:val="bottom"/>
          </w:tcPr>
          <w:p>
            <w:pPr>
              <w:spacing w:after="0"/>
              <w:rPr>
                <w:sz w:val="11"/>
                <w:szCs w:val="1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Redemptions</w:t>
            </w:r>
          </w:p>
        </w:tc>
        <w:tc>
          <w:tcPr>
            <w:tcW w:w="13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(129,175,094 )</w:t>
            </w:r>
          </w:p>
        </w:tc>
      </w:tr>
      <w:tr>
        <w:trPr>
          <w:trHeight w:val="127"/>
        </w:trPr>
        <w:tc>
          <w:tcPr>
            <w:tcW w:w="1640" w:type="dxa"/>
            <w:vAlign w:val="bottom"/>
          </w:tcPr>
          <w:p>
            <w:pPr>
              <w:spacing w:after="0"/>
              <w:rPr>
                <w:sz w:val="11"/>
                <w:szCs w:val="11"/>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11"/>
                <w:szCs w:val="1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3,943,038</w:t>
            </w:r>
          </w:p>
        </w:tc>
      </w:tr>
      <w:tr>
        <w:trPr>
          <w:trHeight w:val="112"/>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29"/>
        </w:trPr>
        <w:tc>
          <w:tcPr>
            <w:tcW w:w="1640" w:type="dxa"/>
            <w:vAlign w:val="bottom"/>
          </w:tcPr>
          <w:p>
            <w:pPr>
              <w:spacing w:after="0"/>
              <w:rPr>
                <w:sz w:val="11"/>
                <w:szCs w:val="11"/>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38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Per Common Stock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complies with accounting and disclosure requirements of FASB ASC Topic 260, “Earnings Per Share”. Net loss per common stock is computed by dividing net loss by the weighted average number of common stock outstanding for the period.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Remeasurement adjustments associated with the redeemable shares of common stock are excluded from earnings per share as the redemption value approximates fair value.</w:t>
      </w:r>
    </w:p>
    <w:p>
      <w:pPr>
        <w:spacing w:after="0" w:line="108"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85" w:name="page286"/>
    <w:bookmarkEnd w:id="285"/>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per common stock because the redemption value approximates fair value.</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30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gridSpan w:val="3"/>
          </w:tcPr>
          <w:p>
            <w:pPr>
              <w:jc w:val="right"/>
              <w:ind w:right="756"/>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13"/>
        </w:trPr>
        <w:tc>
          <w:tcPr>
            <w:tcW w:w="30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2022</w:t>
            </w: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02"/>
        </w:trPr>
        <w:tc>
          <w:tcPr>
            <w:tcW w:w="30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98"/>
        </w:trPr>
        <w:tc>
          <w:tcPr>
            <w:tcW w:w="30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100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110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111"/>
        </w:trPr>
        <w:tc>
          <w:tcPr>
            <w:tcW w:w="30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1000" w:type="dxa"/>
            <w:vAlign w:val="bottom"/>
          </w:tcPr>
          <w:p>
            <w:pPr>
              <w:jc w:val="right"/>
              <w:ind w:right="535"/>
              <w:spacing w:after="0"/>
              <w:rPr>
                <w:sz w:val="20"/>
                <w:szCs w:val="20"/>
                <w:color w:val="auto"/>
              </w:rPr>
            </w:pPr>
            <w:r>
              <w:rPr>
                <w:rFonts w:ascii="Times New Roman" w:cs="Times New Roman" w:eastAsia="Times New Roman" w:hAnsi="Times New Roman"/>
                <w:sz w:val="8"/>
                <w:szCs w:val="8"/>
                <w:b w:val="1"/>
                <w:bCs w:val="1"/>
                <w:color w:val="auto"/>
              </w:rPr>
              <w:t>stock</w:t>
            </w:r>
          </w:p>
        </w:tc>
        <w:tc>
          <w:tcPr>
            <w:tcW w:w="240" w:type="dxa"/>
            <w:vAlign w:val="bottom"/>
          </w:tcPr>
          <w:p>
            <w:pPr>
              <w:spacing w:after="0"/>
              <w:rPr>
                <w:sz w:val="9"/>
                <w:szCs w:val="9"/>
                <w:color w:val="auto"/>
              </w:rPr>
            </w:pPr>
          </w:p>
        </w:tc>
        <w:tc>
          <w:tcPr>
            <w:tcW w:w="110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60" w:type="dxa"/>
            <w:vAlign w:val="bottom"/>
          </w:tcPr>
          <w:p>
            <w:pPr>
              <w:spacing w:after="0"/>
              <w:rPr>
                <w:sz w:val="9"/>
                <w:szCs w:val="9"/>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Common stock</w:t>
            </w:r>
          </w:p>
        </w:tc>
      </w:tr>
      <w:tr>
        <w:trPr>
          <w:trHeight w:val="131"/>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27"/>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Numerator:</w:t>
            </w: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8"/>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Allocation of net loss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0"/>
                <w:szCs w:val="10"/>
                <w:color w:val="auto"/>
              </w:rPr>
              <w:t>(179,201 )</w:t>
            </w:r>
          </w:p>
        </w:tc>
        <w:tc>
          <w:tcPr>
            <w:tcW w:w="2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0"/>
                <w:szCs w:val="10"/>
                <w:color w:val="auto"/>
              </w:rPr>
              <w:t>(140,949 )</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0"/>
                <w:szCs w:val="10"/>
                <w:color w:val="auto"/>
              </w:rPr>
              <w:t>(2,624,009 )</w:t>
            </w:r>
          </w:p>
        </w:tc>
        <w:tc>
          <w:tcPr>
            <w:tcW w:w="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0"/>
                <w:szCs w:val="10"/>
                <w:color w:val="auto"/>
              </w:rPr>
              <w:t>(998,785 )</w:t>
            </w:r>
          </w:p>
        </w:tc>
      </w:tr>
      <w:tr>
        <w:trPr>
          <w:trHeight w:val="127"/>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Denominator</w:t>
            </w: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8"/>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Weighted-average shares outstanding</w:t>
            </w:r>
          </w:p>
        </w:tc>
        <w:tc>
          <w:tcPr>
            <w:tcW w:w="176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0"/>
                <w:szCs w:val="10"/>
                <w:color w:val="auto"/>
              </w:rPr>
              <w:t>7,259,013</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0"/>
                <w:szCs w:val="10"/>
                <w:color w:val="auto"/>
              </w:rPr>
              <w:t>15,000,000</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5,709,500</w:t>
            </w:r>
          </w:p>
        </w:tc>
      </w:tr>
      <w:tr>
        <w:trPr>
          <w:trHeight w:val="126"/>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(0.02 )</w:t>
            </w: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(0.02 )</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0"/>
                <w:szCs w:val="10"/>
                <w:color w:val="auto"/>
              </w:rPr>
              <w:t>(0.17 )</w:t>
            </w:r>
          </w:p>
        </w:tc>
        <w:tc>
          <w:tcPr>
            <w:tcW w:w="1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(0.17 )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05"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$218,254 and $111,852 of stock-based compensation for the fiscal years ended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4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86" w:name="page287"/>
    <w:bookmarkEnd w:id="286"/>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87" w:name="page288"/>
    <w:bookmarkEnd w:id="287"/>
    <w:p>
      <w:pPr>
        <w:ind w:left="10"/>
        <w:spacing w:after="0"/>
        <w:rPr>
          <w:sz w:val="20"/>
          <w:szCs w:val="20"/>
          <w:color w:val="auto"/>
        </w:rPr>
      </w:pPr>
      <w:r>
        <w:rPr>
          <w:rFonts w:ascii="Times New Roman" w:cs="Times New Roman" w:eastAsia="Times New Roman" w:hAnsi="Times New Roman"/>
          <w:sz w:val="10"/>
          <w:szCs w:val="10"/>
          <w:color w:val="auto"/>
        </w:rPr>
        <w:t>Sponsor under the remaining promissory note. As of September 30, 2023 and 2022, the net amount outstanding under the promissory note was $247,454 and $251,754, respectively.</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400" w:hanging="10"/>
        <w:spacing w:after="0" w:line="237" w:lineRule="auto"/>
        <w:tabs>
          <w:tab w:leader="none" w:pos="153"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jc w:val="both"/>
        <w:ind w:left="10" w:hanging="10"/>
        <w:spacing w:after="0" w:line="236" w:lineRule="auto"/>
        <w:tabs>
          <w:tab w:leader="none" w:pos="153" w:val="left"/>
        </w:tabs>
        <w:numPr>
          <w:ilvl w:val="0"/>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08" w:lineRule="exact"/>
        <w:rPr>
          <w:sz w:val="20"/>
          <w:szCs w:val="20"/>
          <w:color w:val="auto"/>
        </w:rPr>
      </w:pPr>
    </w:p>
    <w:p>
      <w:pPr>
        <w:ind w:left="10" w:right="140" w:firstLine="480"/>
        <w:spacing w:after="0" w:line="255" w:lineRule="auto"/>
        <w:rPr>
          <w:sz w:val="20"/>
          <w:szCs w:val="20"/>
          <w:color w:val="auto"/>
        </w:rPr>
      </w:pPr>
      <w:r>
        <w:rPr>
          <w:rFonts w:ascii="Times New Roman" w:cs="Times New Roman" w:eastAsia="Times New Roman" w:hAnsi="Times New Roman"/>
          <w:sz w:val="10"/>
          <w:szCs w:val="10"/>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01" w:lineRule="exact"/>
        <w:rPr>
          <w:sz w:val="20"/>
          <w:szCs w:val="20"/>
          <w:color w:val="auto"/>
        </w:rPr>
      </w:pPr>
    </w:p>
    <w:p>
      <w:pPr>
        <w:ind w:left="10" w:right="28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Note 4 — Commitments and Contingencies</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left="10"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4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95" w:right="640" w:bottom="1440" w:gutter="0" w:footer="0" w:header="0"/>
        </w:sectPr>
      </w:pPr>
    </w:p>
    <w:bookmarkStart w:id="288" w:name="page289"/>
    <w:bookmarkEnd w:id="288"/>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89" w:name="page290"/>
    <w:bookmarkEnd w:id="289"/>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Fair Value</w:t>
            </w:r>
          </w:p>
        </w:tc>
      </w:tr>
      <w:tr>
        <w:trPr>
          <w:trHeight w:val="98"/>
        </w:trPr>
        <w:tc>
          <w:tcPr>
            <w:tcW w:w="4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20" w:type="dxa"/>
            <w:vAlign w:val="bottom"/>
          </w:tcPr>
          <w:p>
            <w:pPr>
              <w:spacing w:after="0"/>
              <w:rPr>
                <w:sz w:val="8"/>
                <w:szCs w:val="8"/>
                <w:color w:val="auto"/>
              </w:rPr>
            </w:pPr>
          </w:p>
        </w:tc>
        <w:tc>
          <w:tcPr>
            <w:tcW w:w="860" w:type="dxa"/>
            <w:vAlign w:val="bottom"/>
          </w:tcPr>
          <w:p>
            <w:pPr>
              <w:jc w:val="center"/>
              <w:ind w:left="177"/>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left="177"/>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20" w:type="dxa"/>
            <w:vAlign w:val="bottom"/>
          </w:tcPr>
          <w:p>
            <w:pPr>
              <w:spacing w:after="0"/>
              <w:rPr>
                <w:sz w:val="8"/>
                <w:szCs w:val="8"/>
                <w:color w:val="auto"/>
              </w:rPr>
            </w:pPr>
          </w:p>
        </w:tc>
        <w:tc>
          <w:tcPr>
            <w:tcW w:w="860" w:type="dxa"/>
            <w:vAlign w:val="bottom"/>
          </w:tcPr>
          <w:p>
            <w:pPr>
              <w:jc w:val="center"/>
              <w:ind w:left="17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left="19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108"/>
        </w:trPr>
        <w:tc>
          <w:tcPr>
            <w:tcW w:w="4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220" w:type="dxa"/>
            <w:vAlign w:val="bottom"/>
          </w:tcPr>
          <w:p>
            <w:pPr>
              <w:spacing w:after="0"/>
              <w:rPr>
                <w:sz w:val="9"/>
                <w:szCs w:val="9"/>
                <w:color w:val="auto"/>
              </w:rPr>
            </w:pPr>
          </w:p>
        </w:tc>
        <w:tc>
          <w:tcPr>
            <w:tcW w:w="860" w:type="dxa"/>
            <w:vAlign w:val="bottom"/>
          </w:tcPr>
          <w:p>
            <w:pPr>
              <w:jc w:val="center"/>
              <w:ind w:left="177"/>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jc w:val="center"/>
              <w:ind w:left="177"/>
              <w:spacing w:after="0"/>
              <w:rPr>
                <w:sz w:val="20"/>
                <w:szCs w:val="20"/>
                <w:color w:val="auto"/>
              </w:rPr>
            </w:pPr>
            <w:r>
              <w:rPr>
                <w:rFonts w:ascii="Times New Roman" w:cs="Times New Roman" w:eastAsia="Times New Roman" w:hAnsi="Times New Roman"/>
                <w:sz w:val="8"/>
                <w:szCs w:val="8"/>
                <w:b w:val="1"/>
                <w:bCs w:val="1"/>
                <w:color w:val="auto"/>
              </w:rPr>
              <w:t>Losses</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w w:val="99"/>
              </w:rPr>
              <w:t>2023</w:t>
            </w:r>
          </w:p>
        </w:tc>
      </w:tr>
      <w:tr>
        <w:trPr>
          <w:trHeight w:val="133"/>
        </w:trPr>
        <w:tc>
          <w:tcPr>
            <w:tcW w:w="4500" w:type="dxa"/>
            <w:vAlign w:val="bottom"/>
          </w:tcPr>
          <w:p>
            <w:pPr>
              <w:spacing w:after="0"/>
              <w:rPr>
                <w:sz w:val="20"/>
                <w:szCs w:val="20"/>
                <w:color w:val="auto"/>
              </w:rPr>
            </w:pPr>
            <w:r>
              <w:rPr>
                <w:rFonts w:ascii="Times New Roman" w:cs="Times New Roman" w:eastAsia="Times New Roman" w:hAnsi="Times New Roman"/>
                <w:sz w:val="10"/>
                <w:szCs w:val="10"/>
                <w:color w:val="auto"/>
              </w:rPr>
              <w:t>Interest bearing demand deposit account</w:t>
            </w: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25,324,028</w:t>
            </w:r>
          </w:p>
        </w:tc>
        <w:tc>
          <w:tcPr>
            <w:tcW w:w="220" w:type="dxa"/>
            <w:vAlign w:val="bottom"/>
          </w:tcPr>
          <w:p>
            <w:pPr>
              <w:spacing w:after="0"/>
              <w:rPr>
                <w:sz w:val="11"/>
                <w:szCs w:val="11"/>
                <w:color w:val="auto"/>
              </w:rPr>
            </w:pPr>
          </w:p>
        </w:tc>
        <w:tc>
          <w:tcPr>
            <w:tcW w:w="860" w:type="dxa"/>
            <w:vAlign w:val="bottom"/>
          </w:tcPr>
          <w:p>
            <w:pPr>
              <w:jc w:val="right"/>
              <w:ind w:right="757"/>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Pr>
          <w:p>
            <w:pPr>
              <w:spacing w:after="0"/>
              <w:rPr>
                <w:sz w:val="11"/>
                <w:szCs w:val="11"/>
                <w:color w:val="auto"/>
              </w:rPr>
            </w:pPr>
          </w:p>
        </w:tc>
        <w:tc>
          <w:tcPr>
            <w:tcW w:w="860" w:type="dxa"/>
            <w:vAlign w:val="bottom"/>
          </w:tcPr>
          <w:p>
            <w:pPr>
              <w:jc w:val="right"/>
              <w:ind w:right="757"/>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25,324,028</w:t>
            </w:r>
          </w:p>
        </w:tc>
      </w:tr>
      <w:tr>
        <w:trPr>
          <w:trHeight w:val="23"/>
        </w:trPr>
        <w:tc>
          <w:tcPr>
            <w:tcW w:w="4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90" w:name="page291"/>
    <w:bookmarkEnd w:id="290"/>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invested in U.S. Treasury securities as of September 30, 2022, and classified as held-to-maturity and Level 1 in the hierarchy of fair value measurements as follows:</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Fair Value</w:t>
            </w:r>
          </w:p>
        </w:tc>
      </w:tr>
      <w:tr>
        <w:trPr>
          <w:trHeight w:val="98"/>
        </w:trPr>
        <w:tc>
          <w:tcPr>
            <w:tcW w:w="4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111"/>
        </w:trPr>
        <w:tc>
          <w:tcPr>
            <w:tcW w:w="4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Losses</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100" w:type="dxa"/>
            <w:vAlign w:val="bottom"/>
          </w:tcPr>
          <w:p>
            <w:pPr>
              <w:spacing w:after="0"/>
              <w:rPr>
                <w:sz w:val="9"/>
                <w:szCs w:val="9"/>
                <w:color w:val="auto"/>
              </w:rPr>
            </w:pPr>
          </w:p>
        </w:tc>
      </w:tr>
      <w:tr>
        <w:trPr>
          <w:trHeight w:val="131"/>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Cash</w:t>
            </w:r>
          </w:p>
        </w:tc>
        <w:tc>
          <w:tcPr>
            <w:tcW w:w="1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320</w:t>
            </w:r>
          </w:p>
        </w:tc>
        <w:tc>
          <w:tcPr>
            <w:tcW w:w="42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320</w:t>
            </w:r>
          </w:p>
        </w:tc>
        <w:tc>
          <w:tcPr>
            <w:tcW w:w="100" w:type="dxa"/>
            <w:vAlign w:val="bottom"/>
            <w:shd w:val="clear" w:color="auto" w:fill="CFF0FC"/>
          </w:tcPr>
          <w:p>
            <w:pPr>
              <w:spacing w:after="0"/>
              <w:rPr>
                <w:sz w:val="11"/>
                <w:szCs w:val="11"/>
                <w:color w:val="auto"/>
              </w:rPr>
            </w:pPr>
          </w:p>
        </w:tc>
      </w:tr>
      <w:tr>
        <w:trPr>
          <w:trHeight w:val="126"/>
        </w:trPr>
        <w:tc>
          <w:tcPr>
            <w:tcW w:w="4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 Treasury Bills</w:t>
            </w:r>
          </w:p>
        </w:tc>
        <w:tc>
          <w:tcPr>
            <w:tcW w:w="16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150,844,605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19,242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150,863,847</w:t>
            </w:r>
          </w:p>
        </w:tc>
        <w:tc>
          <w:tcPr>
            <w:tcW w:w="100" w:type="dxa"/>
            <w:vAlign w:val="bottom"/>
          </w:tcPr>
          <w:p>
            <w:pPr>
              <w:spacing w:after="0"/>
              <w:rPr>
                <w:sz w:val="10"/>
                <w:szCs w:val="10"/>
                <w:color w:val="auto"/>
              </w:rPr>
            </w:pPr>
          </w:p>
        </w:tc>
      </w:tr>
      <w:tr>
        <w:trPr>
          <w:trHeight w:val="129"/>
        </w:trPr>
        <w:tc>
          <w:tcPr>
            <w:tcW w:w="4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45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150,844,925</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19,242</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150,864,167</w:t>
            </w:r>
          </w:p>
        </w:tc>
        <w:tc>
          <w:tcPr>
            <w:tcW w:w="100" w:type="dxa"/>
            <w:vAlign w:val="bottom"/>
            <w:shd w:val="clear" w:color="auto" w:fill="CFF0FC"/>
          </w:tcPr>
          <w:p>
            <w:pPr>
              <w:spacing w:after="0"/>
              <w:rPr>
                <w:sz w:val="11"/>
                <w:szCs w:val="11"/>
                <w:color w:val="auto"/>
              </w:rPr>
            </w:pPr>
          </w:p>
        </w:tc>
      </w:tr>
      <w:tr>
        <w:trPr>
          <w:trHeight w:val="23"/>
        </w:trPr>
        <w:tc>
          <w:tcPr>
            <w:tcW w:w="45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transfers between Levels 1, 2 or 3 during the years ended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6 — Stockholders’ Equity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5" w:right="66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0"/>
          <w:szCs w:val="10"/>
          <w:color w:val="auto"/>
        </w:rPr>
        <w:t>day prior to the date of exercise. The warrants will expire on the fifth anniversary of the completion of an initial Business Combination, at 5:00 p.m., New York City time, or earlier upon redemption or liquidation.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Income Tax</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net deferred tax assets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880" w:type="dxa"/>
            <w:vAlign w:val="bottom"/>
            <w:gridSpan w:val="2"/>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10"/>
                <w:szCs w:val="10"/>
                <w:color w:val="auto"/>
              </w:rPr>
            </w:pPr>
          </w:p>
        </w:tc>
      </w:tr>
      <w:tr>
        <w:trPr>
          <w:trHeight w:val="131"/>
        </w:trPr>
        <w:tc>
          <w:tcPr>
            <w:tcW w:w="1580" w:type="dxa"/>
            <w:vAlign w:val="bottom"/>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Deferred tax asset</w:t>
            </w:r>
          </w:p>
        </w:tc>
        <w:tc>
          <w:tcPr>
            <w:tcW w:w="3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Organizational costs/Startup expenses</w:t>
            </w:r>
          </w:p>
        </w:tc>
        <w:tc>
          <w:tcPr>
            <w:tcW w:w="320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504,667</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351,592</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32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129,350</w:t>
            </w:r>
          </w:p>
        </w:tc>
        <w:tc>
          <w:tcPr>
            <w:tcW w:w="3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83,517</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deferred tax asset</w:t>
            </w:r>
          </w:p>
        </w:tc>
        <w:tc>
          <w:tcPr>
            <w:tcW w:w="3200" w:type="dxa"/>
            <w:vAlign w:val="bottom"/>
          </w:tcPr>
          <w:p>
            <w:pPr>
              <w:spacing w:after="0"/>
              <w:rPr>
                <w:sz w:val="11"/>
                <w:szCs w:val="11"/>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634,017</w:t>
            </w:r>
          </w:p>
        </w:tc>
        <w:tc>
          <w:tcPr>
            <w:tcW w:w="36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435,209</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Valuation allowance</w:t>
            </w:r>
          </w:p>
        </w:tc>
        <w:tc>
          <w:tcPr>
            <w:tcW w:w="32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(634,017 )</w:t>
            </w:r>
          </w:p>
        </w:tc>
        <w:tc>
          <w:tcPr>
            <w:tcW w:w="3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(435,209 )</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Deferred tax asset, net of allowance</w:t>
            </w:r>
          </w:p>
        </w:tc>
        <w:tc>
          <w:tcPr>
            <w:tcW w:w="320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261"/>
        </w:trPr>
        <w:tc>
          <w:tcPr>
            <w:tcW w:w="414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The income tax provision consists of the following:</w:t>
            </w:r>
          </w:p>
        </w:tc>
        <w:tc>
          <w:tcPr>
            <w:tcW w:w="3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8"/>
        </w:trPr>
        <w:tc>
          <w:tcPr>
            <w:tcW w:w="15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880" w:type="dxa"/>
            <w:vAlign w:val="bottom"/>
            <w:gridSpan w:val="2"/>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15"/>
        </w:trPr>
        <w:tc>
          <w:tcPr>
            <w:tcW w:w="15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10"/>
                <w:szCs w:val="10"/>
                <w:color w:val="auto"/>
              </w:rPr>
            </w:pPr>
          </w:p>
        </w:tc>
      </w:tr>
      <w:tr>
        <w:trPr>
          <w:trHeight w:val="131"/>
        </w:trPr>
        <w:tc>
          <w:tcPr>
            <w:tcW w:w="1580" w:type="dxa"/>
            <w:vAlign w:val="bottom"/>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Federal</w:t>
            </w:r>
          </w:p>
        </w:tc>
        <w:tc>
          <w:tcPr>
            <w:tcW w:w="3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Current</w:t>
            </w:r>
          </w:p>
        </w:tc>
        <w:tc>
          <w:tcPr>
            <w:tcW w:w="320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Deferred</w:t>
            </w:r>
          </w:p>
        </w:tc>
        <w:tc>
          <w:tcPr>
            <w:tcW w:w="32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(198,808 )</w:t>
            </w:r>
          </w:p>
        </w:tc>
        <w:tc>
          <w:tcPr>
            <w:tcW w:w="3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(336,741 )</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State</w:t>
            </w:r>
          </w:p>
        </w:tc>
        <w:tc>
          <w:tcPr>
            <w:tcW w:w="3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Current</w:t>
            </w:r>
          </w:p>
        </w:tc>
        <w:tc>
          <w:tcPr>
            <w:tcW w:w="32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Deferred</w:t>
            </w:r>
          </w:p>
        </w:tc>
        <w:tc>
          <w:tcPr>
            <w:tcW w:w="3200" w:type="dxa"/>
            <w:vAlign w:val="bottom"/>
          </w:tcPr>
          <w:p>
            <w:pPr>
              <w:spacing w:after="0"/>
              <w:rPr>
                <w:sz w:val="11"/>
                <w:szCs w:val="11"/>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r>
      <w:tr>
        <w:trPr>
          <w:trHeight w:val="128"/>
        </w:trPr>
        <w:tc>
          <w:tcPr>
            <w:tcW w:w="1580" w:type="dxa"/>
            <w:vAlign w:val="bottom"/>
          </w:tcPr>
          <w:p>
            <w:pPr>
              <w:spacing w:after="0"/>
              <w:rPr>
                <w:sz w:val="11"/>
                <w:szCs w:val="11"/>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Change in valuation allowance</w:t>
            </w:r>
          </w:p>
        </w:tc>
        <w:tc>
          <w:tcPr>
            <w:tcW w:w="32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198,808</w:t>
            </w:r>
          </w:p>
        </w:tc>
        <w:tc>
          <w:tcPr>
            <w:tcW w:w="3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336,741</w:t>
            </w:r>
          </w:p>
        </w:tc>
        <w:tc>
          <w:tcPr>
            <w:tcW w:w="1600" w:type="dxa"/>
            <w:vAlign w:val="bottom"/>
          </w:tcPr>
          <w:p>
            <w:pPr>
              <w:spacing w:after="0"/>
              <w:rPr>
                <w:sz w:val="11"/>
                <w:szCs w:val="1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320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11"/>
                <w:szCs w:val="11"/>
                <w:color w:val="auto"/>
              </w:rPr>
            </w:pPr>
          </w:p>
        </w:tc>
      </w:tr>
      <w:tr>
        <w:trPr>
          <w:trHeight w:val="291"/>
        </w:trPr>
        <w:tc>
          <w:tcPr>
            <w:tcW w:w="1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0" w:type="dxa"/>
            <w:vAlign w:val="bottom"/>
          </w:tcPr>
          <w:p>
            <w:pPr>
              <w:jc w:val="right"/>
              <w:ind w:right="1873"/>
              <w:spacing w:after="0"/>
              <w:rPr>
                <w:sz w:val="20"/>
                <w:szCs w:val="20"/>
                <w:color w:val="auto"/>
              </w:rPr>
            </w:pPr>
            <w:r>
              <w:rPr>
                <w:rFonts w:ascii="Times New Roman" w:cs="Times New Roman" w:eastAsia="Times New Roman" w:hAnsi="Times New Roman"/>
                <w:sz w:val="10"/>
                <w:szCs w:val="10"/>
                <w:color w:val="auto"/>
              </w:rPr>
              <w:t>F-145</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60" w:type="dxa"/>
            <w:vAlign w:val="bottom"/>
            <w:tcBorders>
              <w:bottom w:val="single" w:sz="8" w:color="EEEEEE"/>
            </w:tcBorders>
          </w:tcPr>
          <w:p>
            <w:pPr>
              <w:spacing w:after="0"/>
              <w:rPr>
                <w:sz w:val="24"/>
                <w:szCs w:val="24"/>
                <w:color w:val="auto"/>
              </w:rPr>
            </w:pPr>
          </w:p>
        </w:tc>
        <w:tc>
          <w:tcPr>
            <w:tcW w:w="32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92" w:name="page293"/>
    <w:bookmarkEnd w:id="292"/>
    <w:p>
      <w:pPr>
        <w:ind w:left="480"/>
        <w:spacing w:after="0"/>
        <w:rPr>
          <w:sz w:val="20"/>
          <w:szCs w:val="20"/>
          <w:color w:val="auto"/>
        </w:rPr>
      </w:pPr>
      <w:r>
        <w:rPr>
          <w:rFonts w:ascii="Times New Roman" w:cs="Times New Roman" w:eastAsia="Times New Roman" w:hAnsi="Times New Roman"/>
          <w:sz w:val="10"/>
          <w:szCs w:val="10"/>
          <w:color w:val="auto"/>
        </w:rPr>
        <w:t>As of September 30, 2023 and 2022, the Company had $0 of U.S. federal net operating loss carryovers, which do not expire, and no state net operating loss carryovers available to offset future taxable income.</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reconciliation of the federal income tax rate to the Company’s effective tax rate at September 30, 2023 and 2022 are as follows:</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5800" w:type="dxa"/>
            <w:vAlign w:val="bottom"/>
          </w:tcPr>
          <w:p>
            <w:pPr>
              <w:spacing w:after="0"/>
              <w:rPr>
                <w:sz w:val="9"/>
                <w:szCs w:val="9"/>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3"/>
        </w:trPr>
        <w:tc>
          <w:tcPr>
            <w:tcW w:w="5800" w:type="dxa"/>
            <w:vAlign w:val="bottom"/>
          </w:tcPr>
          <w:p>
            <w:pPr>
              <w:ind w:left="5540"/>
              <w:spacing w:after="0"/>
              <w:rPr>
                <w:sz w:val="20"/>
                <w:szCs w:val="20"/>
                <w:color w:val="auto"/>
              </w:rPr>
            </w:pPr>
            <w:r>
              <w:rPr>
                <w:rFonts w:ascii="Times New Roman" w:cs="Times New Roman" w:eastAsia="Times New Roman" w:hAnsi="Times New Roman"/>
                <w:sz w:val="8"/>
                <w:szCs w:val="8"/>
                <w:b w:val="1"/>
                <w:bCs w:val="1"/>
                <w:color w:val="auto"/>
              </w:rPr>
              <w:t>2023</w:t>
            </w:r>
          </w:p>
        </w:tc>
        <w:tc>
          <w:tcPr>
            <w:tcW w:w="820" w:type="dxa"/>
            <w:vAlign w:val="bottom"/>
          </w:tcPr>
          <w:p>
            <w:pPr>
              <w:spacing w:after="0"/>
              <w:rPr>
                <w:sz w:val="9"/>
                <w:szCs w:val="9"/>
                <w:color w:val="auto"/>
              </w:rPr>
            </w:pPr>
          </w:p>
        </w:tc>
        <w:tc>
          <w:tcPr>
            <w:tcW w:w="82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2022</w:t>
            </w:r>
          </w:p>
        </w:tc>
        <w:tc>
          <w:tcPr>
            <w:tcW w:w="60" w:type="dxa"/>
            <w:vAlign w:val="bottom"/>
          </w:tcPr>
          <w:p>
            <w:pPr>
              <w:spacing w:after="0"/>
              <w:rPr>
                <w:sz w:val="9"/>
                <w:szCs w:val="9"/>
                <w:color w:val="auto"/>
              </w:rPr>
            </w:pPr>
          </w:p>
        </w:tc>
      </w:tr>
      <w:tr>
        <w:trPr>
          <w:trHeight w:val="132"/>
        </w:trPr>
        <w:tc>
          <w:tcPr>
            <w:tcW w:w="5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Statutory federal income tax rate</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21.00 %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21.00 %</w:t>
            </w:r>
          </w:p>
        </w:tc>
      </w:tr>
      <w:tr>
        <w:trPr>
          <w:trHeight w:val="128"/>
        </w:trPr>
        <w:tc>
          <w:tcPr>
            <w:tcW w:w="5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State taxes, net of federal tax benefit</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0.00 %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0.00 %</w:t>
            </w:r>
          </w:p>
        </w:tc>
      </w:tr>
      <w:tr>
        <w:trPr>
          <w:trHeight w:val="128"/>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Prior year true up</w:t>
            </w:r>
          </w:p>
        </w:tc>
        <w:tc>
          <w:tcPr>
            <w:tcW w:w="82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0"/>
                <w:szCs w:val="10"/>
                <w:color w:val="auto"/>
              </w:rPr>
              <w:t>0.99 %</w:t>
            </w: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r>
      <w:tr>
        <w:trPr>
          <w:trHeight w:val="126"/>
        </w:trPr>
        <w:tc>
          <w:tcPr>
            <w:tcW w:w="5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Business combination expenses</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119.13 %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(15.50 )%</w:t>
            </w:r>
          </w:p>
        </w:tc>
      </w:tr>
      <w:tr>
        <w:trPr>
          <w:trHeight w:val="128"/>
        </w:trPr>
        <w:tc>
          <w:tcPr>
            <w:tcW w:w="5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Change in valuation allowance</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67.40 %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(9.70 )%</w:t>
            </w:r>
          </w:p>
        </w:tc>
      </w:tr>
      <w:tr>
        <w:trPr>
          <w:trHeight w:val="128"/>
        </w:trPr>
        <w:tc>
          <w:tcPr>
            <w:tcW w:w="5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207.49 %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-483870</wp:posOffset>
            </wp:positionV>
            <wp:extent cx="4724400" cy="812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24400" cy="8128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-160020</wp:posOffset>
            </wp:positionV>
            <wp:extent cx="4724400" cy="812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24400" cy="81280"/>
                    </a:xfrm>
                    <a:prstGeom prst="rect">
                      <a:avLst/>
                    </a:prstGeom>
                    <a:noFill/>
                  </pic:spPr>
                </pic:pic>
              </a:graphicData>
            </a:graphic>
          </wp:anchor>
        </w:drawing>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files income tax returns in the U.S. federal jurisdiction in various state and local jurisdictions and is subject to examination by the various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 Subsequent Events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October 11, 2023, the Company borrowed $70,900 under the Extension Note and deposited the funds into the Trust Account thereby extending the Termination Date to November 17,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November 9, 2023, the Company borrowed $70,900 under the Extension Note and deposited the funds into the Trust Account thereby extending the Termination Date to December 17, 2023.</w:t>
      </w:r>
    </w:p>
    <w:p>
      <w:pPr>
        <w:spacing w:after="0" w:line="11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78" w:right="660"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0"/>
          <w:szCs w:val="10"/>
          <w:b w:val="1"/>
          <w:bCs w:val="1"/>
          <w:color w:val="auto"/>
        </w:rPr>
        <w:t>PART 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INFORMATION NOT REQUIRED IN PROSPECTUS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6. Indemnification of Directors and Officers.</w:t>
      </w:r>
    </w:p>
    <w:p>
      <w:pPr>
        <w:spacing w:after="0" w:line="60" w:lineRule="exact"/>
        <w:rPr>
          <w:sz w:val="20"/>
          <w:szCs w:val="20"/>
          <w:color w:val="auto"/>
        </w:rPr>
      </w:pPr>
    </w:p>
    <w:p>
      <w:pPr>
        <w:ind w:right="80" w:firstLine="480"/>
        <w:spacing w:after="0" w:line="310" w:lineRule="auto"/>
        <w:rPr>
          <w:sz w:val="20"/>
          <w:szCs w:val="20"/>
          <w:color w:val="auto"/>
        </w:rPr>
      </w:pPr>
      <w:r>
        <w:rPr>
          <w:rFonts w:ascii="Times New Roman" w:cs="Times New Roman" w:eastAsia="Times New Roman" w:hAnsi="Times New Roman"/>
          <w:sz w:val="9"/>
          <w:szCs w:val="9"/>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7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7. Recent Sales of Unregistered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1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9"/>
          <w:szCs w:val="9"/>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8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0"/>
          <w:szCs w:val="10"/>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8. Exhibits and Financial Statements</w:t>
      </w:r>
    </w:p>
    <w:p>
      <w:pPr>
        <w:spacing w:after="0" w:line="58" w:lineRule="exact"/>
        <w:rPr>
          <w:sz w:val="20"/>
          <w:szCs w:val="20"/>
          <w:color w:val="auto"/>
        </w:rPr>
      </w:pPr>
    </w:p>
    <w:tbl>
      <w:tblPr>
        <w:tblLayout w:type="fixed"/>
        <w:tblInd w:w="400" w:type="dxa"/>
        <w:tblCellMar>
          <w:top w:w="0" w:type="dxa"/>
          <w:left w:w="0" w:type="dxa"/>
          <w:bottom w:w="0" w:type="dxa"/>
          <w:right w:w="0" w:type="dxa"/>
        </w:tblCellMar>
      </w:tblPr>
      <w:tr>
        <w:trPr>
          <w:trHeight w:val="127"/>
        </w:trPr>
        <w:tc>
          <w:tcPr>
            <w:tcW w:w="1060" w:type="dxa"/>
            <w:vAlign w:val="bottom"/>
          </w:tcPr>
          <w:p>
            <w:pPr>
              <w:ind w:left="80"/>
              <w:spacing w:after="0"/>
              <w:rPr>
                <w:sz w:val="20"/>
                <w:szCs w:val="20"/>
                <w:color w:val="auto"/>
              </w:rPr>
            </w:pPr>
            <w:r>
              <w:rPr>
                <w:rFonts w:ascii="Times New Roman" w:cs="Times New Roman" w:eastAsia="Times New Roman" w:hAnsi="Times New Roman"/>
                <w:sz w:val="10"/>
                <w:szCs w:val="10"/>
                <w:i w:val="1"/>
                <w:iCs w:val="1"/>
                <w:color w:val="auto"/>
              </w:rPr>
              <w:t>(a)Exhibits</w:t>
            </w:r>
          </w:p>
        </w:tc>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Number</w:t>
            </w:r>
          </w:p>
        </w:tc>
        <w:tc>
          <w:tcPr>
            <w:tcW w:w="8980" w:type="dxa"/>
            <w:vAlign w:val="bottom"/>
            <w:gridSpan w:val="8"/>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67"/>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2.1*</w:t>
            </w:r>
          </w:p>
        </w:tc>
        <w:tc>
          <w:tcPr>
            <w:tcW w:w="894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342">
              <w:r>
                <w:rPr>
                  <w:rFonts w:ascii="Times New Roman" w:cs="Times New Roman" w:eastAsia="Times New Roman" w:hAnsi="Times New Roman"/>
                  <w:sz w:val="10"/>
                  <w:szCs w:val="10"/>
                  <w:color w:val="0000FF"/>
                  <w:w w:val="97"/>
                </w:rPr>
                <w:t>Business Combination Agreement, dated December 17, 2021, as amended on November 10, 2022 and as further amended and restated on June 16, 2023, as amended on August 4, 2023 (incorporated by reference to Exhibit 2.1 of</w:t>
              </w:r>
            </w:hyperlink>
          </w:p>
        </w:tc>
        <w:tc>
          <w:tcPr>
            <w:tcW w:w="40" w:type="dxa"/>
            <w:vAlign w:val="bottom"/>
          </w:tcPr>
          <w:p>
            <w:pPr>
              <w:spacing w:after="0"/>
              <w:rPr>
                <w:sz w:val="14"/>
                <w:szCs w:val="14"/>
                <w:color w:val="auto"/>
              </w:rPr>
            </w:pPr>
          </w:p>
        </w:tc>
      </w:tr>
      <w:tr>
        <w:trPr>
          <w:trHeight w:val="93"/>
        </w:trPr>
        <w:tc>
          <w:tcPr>
            <w:tcW w:w="1060" w:type="dxa"/>
            <w:vAlign w:val="bottom"/>
          </w:tcPr>
          <w:p>
            <w:pPr>
              <w:spacing w:after="0"/>
              <w:rPr>
                <w:sz w:val="8"/>
                <w:szCs w:val="8"/>
                <w:color w:val="auto"/>
              </w:rPr>
            </w:pPr>
          </w:p>
        </w:tc>
        <w:tc>
          <w:tcPr>
            <w:tcW w:w="8980" w:type="dxa"/>
            <w:vAlign w:val="bottom"/>
            <w:gridSpan w:val="8"/>
          </w:tcPr>
          <w:p>
            <w:pPr>
              <w:spacing w:after="0" w:line="93" w:lineRule="exact"/>
              <w:rPr>
                <w:rFonts w:ascii="Times New Roman" w:cs="Times New Roman" w:eastAsia="Times New Roman" w:hAnsi="Times New Roman"/>
                <w:sz w:val="10"/>
                <w:szCs w:val="10"/>
                <w:color w:val="0000FF"/>
              </w:rPr>
            </w:pPr>
            <w:hyperlink r:id="rId342">
              <w:r>
                <w:rPr>
                  <w:rFonts w:ascii="Times New Roman" w:cs="Times New Roman" w:eastAsia="Times New Roman" w:hAnsi="Times New Roman"/>
                  <w:sz w:val="10"/>
                  <w:szCs w:val="10"/>
                  <w:color w:val="0000FF"/>
                </w:rPr>
                <w:t>Rezolve AI Limited’s Registration Statement on Form F-4, Amendment No. 2, filed with the SEC on September 25, 2023).</w:t>
              </w:r>
            </w:hyperlink>
          </w:p>
        </w:tc>
      </w:tr>
      <w:tr>
        <w:trPr>
          <w:trHeight w:val="20"/>
        </w:trPr>
        <w:tc>
          <w:tcPr>
            <w:tcW w:w="106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68"/>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2.2*</w:t>
            </w:r>
          </w:p>
        </w:tc>
        <w:tc>
          <w:tcPr>
            <w:tcW w:w="898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r:id="rId343">
              <w:r>
                <w:rPr>
                  <w:rFonts w:ascii="Times New Roman" w:cs="Times New Roman" w:eastAsia="Times New Roman" w:hAnsi="Times New Roman"/>
                  <w:sz w:val="10"/>
                  <w:szCs w:val="10"/>
                  <w:color w:val="0000FF"/>
                  <w:w w:val="97"/>
                </w:rPr>
                <w:t>First Amendment to the Business Combination Agreement, dated as of August 4, 2023, by and among Armada Rezolve Limited, Rezolve and Rezolve Merger Sub (incorporated by reference to Exhibit 2.2 of Rezolve AI Limited’s</w:t>
              </w:r>
            </w:hyperlink>
          </w:p>
        </w:tc>
      </w:tr>
      <w:tr>
        <w:trPr>
          <w:trHeight w:val="93"/>
        </w:trPr>
        <w:tc>
          <w:tcPr>
            <w:tcW w:w="1060" w:type="dxa"/>
            <w:vAlign w:val="bottom"/>
          </w:tcPr>
          <w:p>
            <w:pPr>
              <w:spacing w:after="0"/>
              <w:rPr>
                <w:sz w:val="8"/>
                <w:szCs w:val="8"/>
                <w:color w:val="auto"/>
              </w:rPr>
            </w:pPr>
          </w:p>
        </w:tc>
        <w:tc>
          <w:tcPr>
            <w:tcW w:w="394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7"/>
              </w:rPr>
            </w:pPr>
            <w:hyperlink r:id="rId343">
              <w:r>
                <w:rPr>
                  <w:rFonts w:ascii="Times New Roman" w:cs="Times New Roman" w:eastAsia="Times New Roman" w:hAnsi="Times New Roman"/>
                  <w:sz w:val="10"/>
                  <w:szCs w:val="10"/>
                  <w:color w:val="0000FF"/>
                  <w:w w:val="97"/>
                </w:rPr>
                <w:t>Registration Statement on Form F-4, Amendment No. 2, filed with the SEC on September 25, 2023).</w:t>
              </w:r>
            </w:hyperlink>
          </w:p>
        </w:tc>
        <w:tc>
          <w:tcPr>
            <w:tcW w:w="5040" w:type="dxa"/>
            <w:vAlign w:val="bottom"/>
            <w:gridSpan w:val="6"/>
          </w:tcPr>
          <w:p>
            <w:pPr>
              <w:spacing w:after="0"/>
              <w:rPr>
                <w:sz w:val="8"/>
                <w:szCs w:val="8"/>
                <w:color w:val="auto"/>
              </w:rPr>
            </w:pPr>
          </w:p>
        </w:tc>
      </w:tr>
      <w:tr>
        <w:trPr>
          <w:trHeight w:val="168"/>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3.1*</w:t>
            </w:r>
          </w:p>
        </w:tc>
        <w:tc>
          <w:tcPr>
            <w:tcW w:w="8740" w:type="dxa"/>
            <w:vAlign w:val="bottom"/>
            <w:tcBorders>
              <w:bottom w:val="single" w:sz="8" w:color="0000FF"/>
            </w:tcBorders>
            <w:gridSpan w:val="6"/>
          </w:tcPr>
          <w:p>
            <w:pPr>
              <w:spacing w:after="0"/>
              <w:rPr>
                <w:rFonts w:ascii="Times New Roman" w:cs="Times New Roman" w:eastAsia="Times New Roman" w:hAnsi="Times New Roman"/>
                <w:sz w:val="10"/>
                <w:szCs w:val="10"/>
                <w:color w:val="0000FF"/>
                <w:w w:val="97"/>
              </w:rPr>
            </w:pPr>
            <w:hyperlink r:id="rId344">
              <w:r>
                <w:rPr>
                  <w:rFonts w:ascii="Times New Roman" w:cs="Times New Roman" w:eastAsia="Times New Roman" w:hAnsi="Times New Roman"/>
                  <w:sz w:val="10"/>
                  <w:szCs w:val="10"/>
                  <w:color w:val="0000FF"/>
                  <w:w w:val="97"/>
                </w:rPr>
                <w:t>Amended and Restated Memorandum and Articles of Association of Rezolve (incorporated by reference to Exhibit 1.1 of Rezolve AI Limited’s Shell Company Report on Form 20-F, filed with the SEC on August 22, 2024).</w:t>
              </w:r>
            </w:hyperlink>
          </w:p>
        </w:tc>
        <w:tc>
          <w:tcPr>
            <w:tcW w:w="240" w:type="dxa"/>
            <w:vAlign w:val="bottom"/>
            <w:gridSpan w:val="2"/>
          </w:tcPr>
          <w:p>
            <w:pPr>
              <w:spacing w:after="0"/>
              <w:rPr>
                <w:sz w:val="14"/>
                <w:szCs w:val="14"/>
                <w:color w:val="auto"/>
              </w:rPr>
            </w:pPr>
          </w:p>
        </w:tc>
      </w:tr>
      <w:tr>
        <w:trPr>
          <w:trHeight w:val="168"/>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4.1*</w:t>
            </w:r>
          </w:p>
        </w:tc>
        <w:tc>
          <w:tcPr>
            <w:tcW w:w="8980" w:type="dxa"/>
            <w:vAlign w:val="bottom"/>
            <w:gridSpan w:val="8"/>
          </w:tcPr>
          <w:p>
            <w:pPr>
              <w:spacing w:after="0"/>
              <w:rPr>
                <w:rFonts w:ascii="Times New Roman" w:cs="Times New Roman" w:eastAsia="Times New Roman" w:hAnsi="Times New Roman"/>
                <w:sz w:val="10"/>
                <w:szCs w:val="10"/>
                <w:color w:val="0000FF"/>
              </w:rPr>
            </w:pPr>
            <w:hyperlink r:id="rId345">
              <w:r>
                <w:rPr>
                  <w:rFonts w:ascii="Times New Roman" w:cs="Times New Roman" w:eastAsia="Times New Roman" w:hAnsi="Times New Roman"/>
                  <w:sz w:val="10"/>
                  <w:szCs w:val="10"/>
                  <w:color w:val="0000FF"/>
                </w:rPr>
                <w:t>Specimen of Ordinary Share Certificate (incorporated by reference to Exhibit 2.1 of Rezolve AI Limited’s Shell Company Report on Form 20-F, filed with the SEC on August 22, 2024).</w:t>
              </w:r>
            </w:hyperlink>
          </w:p>
        </w:tc>
      </w:tr>
      <w:tr>
        <w:trPr>
          <w:trHeight w:val="168"/>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4.2*</w:t>
            </w:r>
          </w:p>
        </w:tc>
        <w:tc>
          <w:tcPr>
            <w:tcW w:w="7240" w:type="dxa"/>
            <w:vAlign w:val="bottom"/>
            <w:tcBorders>
              <w:top w:val="single" w:sz="8" w:color="0000FF"/>
            </w:tcBorders>
            <w:gridSpan w:val="5"/>
          </w:tcPr>
          <w:p>
            <w:pPr>
              <w:spacing w:after="0"/>
              <w:rPr>
                <w:rFonts w:ascii="Times New Roman" w:cs="Times New Roman" w:eastAsia="Times New Roman" w:hAnsi="Times New Roman"/>
                <w:sz w:val="10"/>
                <w:szCs w:val="10"/>
                <w:color w:val="0000FF"/>
                <w:w w:val="97"/>
              </w:rPr>
            </w:pPr>
            <w:hyperlink r:id="rId346">
              <w:r>
                <w:rPr>
                  <w:rFonts w:ascii="Times New Roman" w:cs="Times New Roman" w:eastAsia="Times New Roman" w:hAnsi="Times New Roman"/>
                  <w:sz w:val="10"/>
                  <w:szCs w:val="10"/>
                  <w:color w:val="0000FF"/>
                  <w:w w:val="97"/>
                </w:rPr>
                <w:t>Specimen Rezolve Warrant Certificate (incorporated by reference to Exhibit 2.2 of Rezolve AI Limited’s Shell Company Report on Form 20-F, filed with the SEC on August 22, 2024)</w:t>
              </w:r>
            </w:hyperlink>
            <w:r>
              <w:rPr>
                <w:rFonts w:ascii="Times New Roman" w:cs="Times New Roman" w:eastAsia="Times New Roman" w:hAnsi="Times New Roman"/>
                <w:sz w:val="10"/>
                <w:szCs w:val="10"/>
                <w:color w:val="0000FF"/>
                <w:w w:val="97"/>
              </w:rPr>
              <w:t>.</w:t>
            </w:r>
          </w:p>
        </w:tc>
        <w:tc>
          <w:tcPr>
            <w:tcW w:w="1740" w:type="dxa"/>
            <w:vAlign w:val="bottom"/>
            <w:gridSpan w:val="3"/>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168"/>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4.3*</w:t>
            </w:r>
          </w:p>
        </w:tc>
        <w:tc>
          <w:tcPr>
            <w:tcW w:w="894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342">
              <w:r>
                <w:rPr>
                  <w:rFonts w:ascii="Times New Roman" w:cs="Times New Roman" w:eastAsia="Times New Roman" w:hAnsi="Times New Roman"/>
                  <w:sz w:val="10"/>
                  <w:szCs w:val="10"/>
                  <w:color w:val="0000FF"/>
                  <w:w w:val="97"/>
                </w:rPr>
                <w:t>Business Combination Agreement, dated December 17, 2021, as amended on November 10, 2022 and as further amended and restated on June 16, 2023, as amended on August 4, 2023 (incorporated by reference to Exhibit 2.1 of</w:t>
              </w:r>
            </w:hyperlink>
          </w:p>
        </w:tc>
        <w:tc>
          <w:tcPr>
            <w:tcW w:w="40" w:type="dxa"/>
            <w:vAlign w:val="bottom"/>
          </w:tcPr>
          <w:p>
            <w:pPr>
              <w:spacing w:after="0"/>
              <w:rPr>
                <w:sz w:val="14"/>
                <w:szCs w:val="14"/>
                <w:color w:val="auto"/>
              </w:rPr>
            </w:pPr>
          </w:p>
        </w:tc>
      </w:tr>
      <w:tr>
        <w:trPr>
          <w:trHeight w:val="93"/>
        </w:trPr>
        <w:tc>
          <w:tcPr>
            <w:tcW w:w="1060" w:type="dxa"/>
            <w:vAlign w:val="bottom"/>
          </w:tcPr>
          <w:p>
            <w:pPr>
              <w:spacing w:after="0"/>
              <w:rPr>
                <w:sz w:val="8"/>
                <w:szCs w:val="8"/>
                <w:color w:val="auto"/>
              </w:rPr>
            </w:pPr>
          </w:p>
        </w:tc>
        <w:tc>
          <w:tcPr>
            <w:tcW w:w="374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7"/>
              </w:rPr>
            </w:pPr>
            <w:hyperlink r:id="rId342">
              <w:r>
                <w:rPr>
                  <w:rFonts w:ascii="Times New Roman" w:cs="Times New Roman" w:eastAsia="Times New Roman" w:hAnsi="Times New Roman"/>
                  <w:sz w:val="10"/>
                  <w:szCs w:val="10"/>
                  <w:color w:val="0000FF"/>
                  <w:w w:val="97"/>
                </w:rPr>
                <w:t>Rezolve AI Limited’s Registration Statement on Form F-4, filed with the SEC on July 5, 2024).</w:t>
              </w:r>
            </w:hyperlink>
          </w:p>
        </w:tc>
        <w:tc>
          <w:tcPr>
            <w:tcW w:w="5240" w:type="dxa"/>
            <w:vAlign w:val="bottom"/>
            <w:gridSpan w:val="7"/>
          </w:tcPr>
          <w:p>
            <w:pPr>
              <w:spacing w:after="0"/>
              <w:rPr>
                <w:sz w:val="8"/>
                <w:szCs w:val="8"/>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15"/>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4.4*</w:t>
            </w:r>
          </w:p>
        </w:tc>
        <w:tc>
          <w:tcPr>
            <w:tcW w:w="898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43">
              <w:r>
                <w:rPr>
                  <w:rFonts w:ascii="Times New Roman" w:cs="Times New Roman" w:eastAsia="Times New Roman" w:hAnsi="Times New Roman"/>
                  <w:sz w:val="10"/>
                  <w:szCs w:val="10"/>
                  <w:color w:val="0000FF"/>
                  <w:w w:val="97"/>
                </w:rPr>
                <w:t>First Amendment to the Business Combination Agreement, dated as of August 4, 2023, by and among Armada Rezolve Limited, Rezolve and Rezolve Merger Sub (incorporated by reference to Exhibit 2.2 of Rezolve AI Limited’s</w:t>
              </w:r>
            </w:hyperlink>
          </w:p>
        </w:tc>
        <w:tc>
          <w:tcPr>
            <w:tcW w:w="180" w:type="dxa"/>
            <w:vAlign w:val="bottom"/>
            <w:gridSpan w:val="8"/>
          </w:tcPr>
          <w:p>
            <w:pPr>
              <w:spacing w:after="0"/>
              <w:rPr>
                <w:sz w:val="10"/>
                <w:szCs w:val="10"/>
                <w:color w:val="auto"/>
              </w:rPr>
            </w:pPr>
          </w:p>
        </w:tc>
      </w:tr>
      <w:tr>
        <w:trPr>
          <w:trHeight w:val="93"/>
        </w:trPr>
        <w:tc>
          <w:tcPr>
            <w:tcW w:w="1460" w:type="dxa"/>
            <w:vAlign w:val="bottom"/>
          </w:tcPr>
          <w:p>
            <w:pPr>
              <w:spacing w:after="0"/>
              <w:rPr>
                <w:sz w:val="8"/>
                <w:szCs w:val="8"/>
                <w:color w:val="auto"/>
              </w:rPr>
            </w:pPr>
          </w:p>
        </w:tc>
        <w:tc>
          <w:tcPr>
            <w:tcW w:w="288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7"/>
              </w:rPr>
            </w:pPr>
            <w:hyperlink r:id="rId343">
              <w:r>
                <w:rPr>
                  <w:rFonts w:ascii="Times New Roman" w:cs="Times New Roman" w:eastAsia="Times New Roman" w:hAnsi="Times New Roman"/>
                  <w:sz w:val="10"/>
                  <w:szCs w:val="10"/>
                  <w:color w:val="0000FF"/>
                  <w:w w:val="97"/>
                </w:rPr>
                <w:t>Registration Statement on Form F-4, filed with the SEC on July 5, 2024).</w:t>
              </w:r>
            </w:hyperlink>
          </w:p>
        </w:tc>
        <w:tc>
          <w:tcPr>
            <w:tcW w:w="6280" w:type="dxa"/>
            <w:vAlign w:val="bottom"/>
            <w:gridSpan w:val="18"/>
          </w:tcPr>
          <w:p>
            <w:pPr>
              <w:spacing w:after="0"/>
              <w:rPr>
                <w:sz w:val="8"/>
                <w:szCs w:val="8"/>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4.5*</w:t>
            </w:r>
          </w:p>
        </w:tc>
        <w:tc>
          <w:tcPr>
            <w:tcW w:w="9040" w:type="dxa"/>
            <w:vAlign w:val="bottom"/>
            <w:tcBorders>
              <w:bottom w:val="single" w:sz="8" w:color="0000FF"/>
            </w:tcBorders>
            <w:gridSpan w:val="21"/>
          </w:tcPr>
          <w:p>
            <w:pPr>
              <w:spacing w:after="0"/>
              <w:rPr>
                <w:rFonts w:ascii="Times New Roman" w:cs="Times New Roman" w:eastAsia="Times New Roman" w:hAnsi="Times New Roman"/>
                <w:sz w:val="10"/>
                <w:szCs w:val="10"/>
                <w:color w:val="0000FF"/>
                <w:w w:val="97"/>
              </w:rPr>
            </w:pPr>
            <w:hyperlink r:id="rId348">
              <w:r>
                <w:rPr>
                  <w:rFonts w:ascii="Times New Roman" w:cs="Times New Roman" w:eastAsia="Times New Roman" w:hAnsi="Times New Roman"/>
                  <w:sz w:val="10"/>
                  <w:szCs w:val="10"/>
                  <w:color w:val="0000FF"/>
                  <w:w w:val="97"/>
                </w:rPr>
                <w:t>Warrant Agreement, dated August 15, 2024, by and among Rezolve AI Limited and Computershare Inc. and its affiliate, Computershare Trust Company, N.A. (incorporated by reference to Exhibit 4.3 of Rezolve AI Limited’s Shell</w:t>
              </w:r>
            </w:hyperlink>
          </w:p>
        </w:tc>
        <w:tc>
          <w:tcPr>
            <w:tcW w:w="120" w:type="dxa"/>
            <w:vAlign w:val="bottom"/>
            <w:gridSpan w:val="6"/>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286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6"/>
              </w:rPr>
            </w:pPr>
            <w:hyperlink r:id="rId348">
              <w:r>
                <w:rPr>
                  <w:rFonts w:ascii="Times New Roman" w:cs="Times New Roman" w:eastAsia="Times New Roman" w:hAnsi="Times New Roman"/>
                  <w:sz w:val="10"/>
                  <w:szCs w:val="10"/>
                  <w:color w:val="0000FF"/>
                  <w:w w:val="96"/>
                </w:rPr>
                <w:t>Company Report on Form 20-F, filed with the SEC on August 22, 2024).</w:t>
              </w:r>
            </w:hyperlink>
          </w:p>
        </w:tc>
        <w:tc>
          <w:tcPr>
            <w:tcW w:w="6300" w:type="dxa"/>
            <w:vAlign w:val="bottom"/>
            <w:gridSpan w:val="19"/>
          </w:tcPr>
          <w:p>
            <w:pPr>
              <w:spacing w:after="0"/>
              <w:rPr>
                <w:sz w:val="8"/>
                <w:szCs w:val="8"/>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4.6*</w:t>
            </w:r>
          </w:p>
        </w:tc>
        <w:tc>
          <w:tcPr>
            <w:tcW w:w="9080" w:type="dxa"/>
            <w:vAlign w:val="bottom"/>
            <w:tcBorders>
              <w:bottom w:val="single" w:sz="8" w:color="0000FF"/>
            </w:tcBorders>
            <w:gridSpan w:val="23"/>
          </w:tcPr>
          <w:p>
            <w:pPr>
              <w:spacing w:after="0"/>
              <w:rPr>
                <w:rFonts w:ascii="Times New Roman" w:cs="Times New Roman" w:eastAsia="Times New Roman" w:hAnsi="Times New Roman"/>
                <w:sz w:val="10"/>
                <w:szCs w:val="10"/>
                <w:color w:val="0000FF"/>
                <w:w w:val="97"/>
              </w:rPr>
            </w:pPr>
            <w:hyperlink r:id="rId349">
              <w:r>
                <w:rPr>
                  <w:rFonts w:ascii="Times New Roman" w:cs="Times New Roman" w:eastAsia="Times New Roman" w:hAnsi="Times New Roman"/>
                  <w:sz w:val="10"/>
                  <w:szCs w:val="10"/>
                  <w:color w:val="0000FF"/>
                  <w:w w:val="97"/>
                </w:rPr>
                <w:t>Warrant Assignment, Assumption and Amendment Agreement, dated August 15, 2024, by and among Rezolve AI Limited and Computershare Inc. and its affiliate, Computershare Trust Company, N.A. (incorporated by reference to</w:t>
              </w:r>
            </w:hyperlink>
          </w:p>
        </w:tc>
        <w:tc>
          <w:tcPr>
            <w:tcW w:w="80" w:type="dxa"/>
            <w:vAlign w:val="bottom"/>
            <w:gridSpan w:val="4"/>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4520" w:type="dxa"/>
            <w:vAlign w:val="bottom"/>
            <w:tcBorders>
              <w:bottom w:val="single" w:sz="8" w:color="0000FF"/>
            </w:tcBorders>
            <w:gridSpan w:val="13"/>
          </w:tcPr>
          <w:p>
            <w:pPr>
              <w:spacing w:after="0" w:line="93" w:lineRule="exact"/>
              <w:rPr>
                <w:rFonts w:ascii="Times New Roman" w:cs="Times New Roman" w:eastAsia="Times New Roman" w:hAnsi="Times New Roman"/>
                <w:sz w:val="10"/>
                <w:szCs w:val="10"/>
                <w:color w:val="0000FF"/>
                <w:w w:val="97"/>
              </w:rPr>
            </w:pPr>
            <w:hyperlink r:id="rId349">
              <w:r>
                <w:rPr>
                  <w:rFonts w:ascii="Times New Roman" w:cs="Times New Roman" w:eastAsia="Times New Roman" w:hAnsi="Times New Roman"/>
                  <w:sz w:val="10"/>
                  <w:szCs w:val="10"/>
                  <w:color w:val="0000FF"/>
                  <w:w w:val="97"/>
                </w:rPr>
                <w:t>Exhibit 4.4 of Rezolve AI Limited’s Shell Company Report on Form 20-F, filed with the SEC on August 22, 2024).</w:t>
              </w:r>
            </w:hyperlink>
          </w:p>
        </w:tc>
        <w:tc>
          <w:tcPr>
            <w:tcW w:w="4640" w:type="dxa"/>
            <w:vAlign w:val="bottom"/>
            <w:gridSpan w:val="14"/>
          </w:tcPr>
          <w:p>
            <w:pPr>
              <w:spacing w:after="0"/>
              <w:rPr>
                <w:sz w:val="8"/>
                <w:szCs w:val="8"/>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4.7*</w:t>
            </w:r>
          </w:p>
        </w:tc>
        <w:tc>
          <w:tcPr>
            <w:tcW w:w="9080" w:type="dxa"/>
            <w:vAlign w:val="bottom"/>
            <w:tcBorders>
              <w:bottom w:val="single" w:sz="8" w:color="0000FF"/>
            </w:tcBorders>
            <w:gridSpan w:val="23"/>
          </w:tcPr>
          <w:p>
            <w:pPr>
              <w:spacing w:after="0"/>
              <w:rPr>
                <w:rFonts w:ascii="Times New Roman" w:cs="Times New Roman" w:eastAsia="Times New Roman" w:hAnsi="Times New Roman"/>
                <w:sz w:val="10"/>
                <w:szCs w:val="10"/>
                <w:color w:val="0000FF"/>
                <w:w w:val="97"/>
              </w:rPr>
            </w:pPr>
            <w:hyperlink r:id="rId350">
              <w:r>
                <w:rPr>
                  <w:rFonts w:ascii="Times New Roman" w:cs="Times New Roman" w:eastAsia="Times New Roman" w:hAnsi="Times New Roman"/>
                  <w:sz w:val="10"/>
                  <w:szCs w:val="10"/>
                  <w:color w:val="0000FF"/>
                  <w:w w:val="97"/>
                </w:rPr>
                <w:t>Investor Rights Agreement, dated August 15, 2024, by and among Rezolve AI Limited and the holders party thereto (incorporated by reference to Exhibit 4.6 of Rezolve AI Limited’s Shell Company Report on Form 20-F, filed with</w:t>
              </w:r>
            </w:hyperlink>
          </w:p>
        </w:tc>
        <w:tc>
          <w:tcPr>
            <w:tcW w:w="80" w:type="dxa"/>
            <w:vAlign w:val="bottom"/>
            <w:gridSpan w:val="4"/>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118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6"/>
              </w:rPr>
            </w:pPr>
            <w:hyperlink r:id="rId350">
              <w:r>
                <w:rPr>
                  <w:rFonts w:ascii="Times New Roman" w:cs="Times New Roman" w:eastAsia="Times New Roman" w:hAnsi="Times New Roman"/>
                  <w:sz w:val="10"/>
                  <w:szCs w:val="10"/>
                  <w:color w:val="0000FF"/>
                  <w:w w:val="96"/>
                </w:rPr>
                <w:t>the SEC on August 22, 2024).</w:t>
              </w:r>
            </w:hyperlink>
          </w:p>
        </w:tc>
        <w:tc>
          <w:tcPr>
            <w:tcW w:w="7980" w:type="dxa"/>
            <w:vAlign w:val="bottom"/>
            <w:gridSpan w:val="25"/>
          </w:tcPr>
          <w:p>
            <w:pPr>
              <w:spacing w:after="0"/>
              <w:rPr>
                <w:sz w:val="8"/>
                <w:szCs w:val="8"/>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4.8*</w:t>
            </w:r>
          </w:p>
        </w:tc>
        <w:tc>
          <w:tcPr>
            <w:tcW w:w="9120" w:type="dxa"/>
            <w:vAlign w:val="bottom"/>
            <w:tcBorders>
              <w:bottom w:val="single" w:sz="8" w:color="0000FF"/>
            </w:tcBorders>
            <w:gridSpan w:val="25"/>
          </w:tcPr>
          <w:p>
            <w:pPr>
              <w:spacing w:after="0"/>
              <w:rPr>
                <w:rFonts w:ascii="Times New Roman" w:cs="Times New Roman" w:eastAsia="Times New Roman" w:hAnsi="Times New Roman"/>
                <w:sz w:val="10"/>
                <w:szCs w:val="10"/>
                <w:color w:val="0000FF"/>
                <w:w w:val="97"/>
              </w:rPr>
            </w:pPr>
            <w:hyperlink r:id="rId351">
              <w:r>
                <w:rPr>
                  <w:rFonts w:ascii="Times New Roman" w:cs="Times New Roman" w:eastAsia="Times New Roman" w:hAnsi="Times New Roman"/>
                  <w:sz w:val="10"/>
                  <w:szCs w:val="10"/>
                  <w:color w:val="0000FF"/>
                  <w:w w:val="97"/>
                </w:rPr>
                <w:t>Form of Lock-In Agreement, dated August 15, 2024, by and among Rezolve AI Limited and the holders party thereto (incorporated by reference to Exhibit 4.7 of Rezolve AI Limited’s Shell Company Report on Form 20-F, filed with</w:t>
              </w:r>
            </w:hyperlink>
          </w:p>
        </w:tc>
        <w:tc>
          <w:tcPr>
            <w:tcW w:w="40" w:type="dxa"/>
            <w:vAlign w:val="bottom"/>
            <w:gridSpan w:val="2"/>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118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6"/>
              </w:rPr>
            </w:pPr>
            <w:hyperlink r:id="rId351">
              <w:r>
                <w:rPr>
                  <w:rFonts w:ascii="Times New Roman" w:cs="Times New Roman" w:eastAsia="Times New Roman" w:hAnsi="Times New Roman"/>
                  <w:sz w:val="10"/>
                  <w:szCs w:val="10"/>
                  <w:color w:val="0000FF"/>
                  <w:w w:val="96"/>
                </w:rPr>
                <w:t>the SEC on August 22, 2024).</w:t>
              </w:r>
            </w:hyperlink>
          </w:p>
        </w:tc>
        <w:tc>
          <w:tcPr>
            <w:tcW w:w="7980" w:type="dxa"/>
            <w:vAlign w:val="bottom"/>
            <w:gridSpan w:val="25"/>
          </w:tcPr>
          <w:p>
            <w:pPr>
              <w:spacing w:after="0"/>
              <w:rPr>
                <w:sz w:val="8"/>
                <w:szCs w:val="8"/>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5.1</w:t>
            </w:r>
          </w:p>
        </w:tc>
        <w:tc>
          <w:tcPr>
            <w:tcW w:w="1300" w:type="dxa"/>
            <w:vAlign w:val="bottom"/>
            <w:tcBorders>
              <w:bottom w:val="single" w:sz="8" w:color="0000FF"/>
            </w:tcBorders>
            <w:gridSpan w:val="3"/>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Opinion of Taylor Wessing LLP.</w:t>
              </w:r>
            </w:hyperlink>
          </w:p>
        </w:tc>
        <w:tc>
          <w:tcPr>
            <w:tcW w:w="7860" w:type="dxa"/>
            <w:vAlign w:val="bottom"/>
            <w:gridSpan w:val="24"/>
          </w:tcPr>
          <w:p>
            <w:pPr>
              <w:spacing w:after="0"/>
              <w:rPr>
                <w:sz w:val="14"/>
                <w:szCs w:val="14"/>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w:t>
            </w:r>
          </w:p>
        </w:tc>
        <w:tc>
          <w:tcPr>
            <w:tcW w:w="8680" w:type="dxa"/>
            <w:vAlign w:val="bottom"/>
            <w:tcBorders>
              <w:bottom w:val="single" w:sz="8" w:color="0000FF"/>
            </w:tcBorders>
            <w:gridSpan w:val="16"/>
          </w:tcPr>
          <w:p>
            <w:pPr>
              <w:spacing w:after="0"/>
              <w:rPr>
                <w:rFonts w:ascii="Times New Roman" w:cs="Times New Roman" w:eastAsia="Times New Roman" w:hAnsi="Times New Roman"/>
                <w:sz w:val="10"/>
                <w:szCs w:val="10"/>
                <w:color w:val="0000FF"/>
                <w:w w:val="97"/>
              </w:rPr>
            </w:pPr>
            <w:hyperlink r:id="rId352">
              <w:r>
                <w:rPr>
                  <w:rFonts w:ascii="Times New Roman" w:cs="Times New Roman" w:eastAsia="Times New Roman" w:hAnsi="Times New Roman"/>
                  <w:sz w:val="10"/>
                  <w:szCs w:val="10"/>
                  <w:color w:val="0000FF"/>
                  <w:w w:val="97"/>
                </w:rPr>
                <w:t>Loan Note Instrument dated December 16, 2021, as amended and restated on November 21, 2022, and as further amended and restated on May 23, 2023 (incorporated by reference to Exhibit 10.17 of Rezolve AI Limited’s</w:t>
              </w:r>
            </w:hyperlink>
          </w:p>
        </w:tc>
        <w:tc>
          <w:tcPr>
            <w:tcW w:w="480" w:type="dxa"/>
            <w:vAlign w:val="bottom"/>
            <w:gridSpan w:val="11"/>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3700" w:type="dxa"/>
            <w:vAlign w:val="bottom"/>
            <w:tcBorders>
              <w:bottom w:val="single" w:sz="8" w:color="0000FF"/>
            </w:tcBorders>
            <w:gridSpan w:val="11"/>
          </w:tcPr>
          <w:p>
            <w:pPr>
              <w:spacing w:after="0" w:line="93" w:lineRule="exact"/>
              <w:rPr>
                <w:rFonts w:ascii="Times New Roman" w:cs="Times New Roman" w:eastAsia="Times New Roman" w:hAnsi="Times New Roman"/>
                <w:sz w:val="10"/>
                <w:szCs w:val="10"/>
                <w:color w:val="0000FF"/>
                <w:w w:val="96"/>
              </w:rPr>
            </w:pPr>
            <w:hyperlink r:id="rId352">
              <w:r>
                <w:rPr>
                  <w:rFonts w:ascii="Times New Roman" w:cs="Times New Roman" w:eastAsia="Times New Roman" w:hAnsi="Times New Roman"/>
                  <w:sz w:val="10"/>
                  <w:szCs w:val="10"/>
                  <w:color w:val="0000FF"/>
                  <w:w w:val="96"/>
                </w:rPr>
                <w:t>Registration Statement on Form F-4, Amendment No. 6, filed with the SEC on June 11, 2024).</w:t>
              </w:r>
            </w:hyperlink>
          </w:p>
        </w:tc>
        <w:tc>
          <w:tcPr>
            <w:tcW w:w="5460" w:type="dxa"/>
            <w:vAlign w:val="bottom"/>
            <w:gridSpan w:val="16"/>
          </w:tcPr>
          <w:p>
            <w:pPr>
              <w:spacing w:after="0"/>
              <w:rPr>
                <w:sz w:val="8"/>
                <w:szCs w:val="8"/>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10.2*</w:t>
            </w:r>
          </w:p>
        </w:tc>
        <w:tc>
          <w:tcPr>
            <w:tcW w:w="9000" w:type="dxa"/>
            <w:vAlign w:val="bottom"/>
            <w:tcBorders>
              <w:bottom w:val="single" w:sz="8" w:color="0000FF"/>
            </w:tcBorders>
            <w:gridSpan w:val="20"/>
          </w:tcPr>
          <w:p>
            <w:pPr>
              <w:spacing w:after="0"/>
              <w:rPr>
                <w:rFonts w:ascii="Times New Roman" w:cs="Times New Roman" w:eastAsia="Times New Roman" w:hAnsi="Times New Roman"/>
                <w:sz w:val="10"/>
                <w:szCs w:val="10"/>
                <w:color w:val="0000FF"/>
                <w:w w:val="97"/>
              </w:rPr>
            </w:pPr>
            <w:hyperlink r:id="rId353">
              <w:r>
                <w:rPr>
                  <w:rFonts w:ascii="Times New Roman" w:cs="Times New Roman" w:eastAsia="Times New Roman" w:hAnsi="Times New Roman"/>
                  <w:sz w:val="10"/>
                  <w:szCs w:val="10"/>
                  <w:color w:val="0000FF"/>
                  <w:w w:val="97"/>
                </w:rPr>
                <w:t>Binding Term Sheet, dated August 30, 2021, by and among Rezolve, Radio Group and the other parties thereto (incorporated by reference to Exhibit 10.18 of Rezolve AI Limited’s Registration Statement on Form F-4, Amendment</w:t>
              </w:r>
            </w:hyperlink>
          </w:p>
        </w:tc>
        <w:tc>
          <w:tcPr>
            <w:tcW w:w="160" w:type="dxa"/>
            <w:vAlign w:val="bottom"/>
            <w:gridSpan w:val="7"/>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1740" w:type="dxa"/>
            <w:vAlign w:val="bottom"/>
            <w:tcBorders>
              <w:bottom w:val="single" w:sz="8" w:color="0000FF"/>
            </w:tcBorders>
            <w:gridSpan w:val="5"/>
          </w:tcPr>
          <w:p>
            <w:pPr>
              <w:spacing w:after="0" w:line="93" w:lineRule="exact"/>
              <w:rPr>
                <w:rFonts w:ascii="Times New Roman" w:cs="Times New Roman" w:eastAsia="Times New Roman" w:hAnsi="Times New Roman"/>
                <w:sz w:val="10"/>
                <w:szCs w:val="10"/>
                <w:color w:val="0000FF"/>
                <w:w w:val="96"/>
              </w:rPr>
            </w:pPr>
            <w:hyperlink r:id="rId353">
              <w:r>
                <w:rPr>
                  <w:rFonts w:ascii="Times New Roman" w:cs="Times New Roman" w:eastAsia="Times New Roman" w:hAnsi="Times New Roman"/>
                  <w:sz w:val="10"/>
                  <w:szCs w:val="10"/>
                  <w:color w:val="0000FF"/>
                  <w:w w:val="96"/>
                </w:rPr>
                <w:t>No. 5, filed with the SEC on May 20, 2024).</w:t>
              </w:r>
            </w:hyperlink>
          </w:p>
        </w:tc>
        <w:tc>
          <w:tcPr>
            <w:tcW w:w="7420" w:type="dxa"/>
            <w:vAlign w:val="bottom"/>
            <w:gridSpan w:val="22"/>
          </w:tcPr>
          <w:p>
            <w:pPr>
              <w:spacing w:after="0"/>
              <w:rPr>
                <w:sz w:val="8"/>
                <w:szCs w:val="8"/>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10.3*</w:t>
            </w:r>
          </w:p>
        </w:tc>
        <w:tc>
          <w:tcPr>
            <w:tcW w:w="9000" w:type="dxa"/>
            <w:vAlign w:val="bottom"/>
            <w:tcBorders>
              <w:bottom w:val="single" w:sz="8" w:color="0000FF"/>
            </w:tcBorders>
            <w:gridSpan w:val="20"/>
          </w:tcPr>
          <w:p>
            <w:pPr>
              <w:spacing w:after="0"/>
              <w:rPr>
                <w:rFonts w:ascii="Times New Roman" w:cs="Times New Roman" w:eastAsia="Times New Roman" w:hAnsi="Times New Roman"/>
                <w:sz w:val="10"/>
                <w:szCs w:val="10"/>
                <w:color w:val="0000FF"/>
                <w:w w:val="97"/>
              </w:rPr>
            </w:pPr>
            <w:hyperlink r:id="rId354">
              <w:r>
                <w:rPr>
                  <w:rFonts w:ascii="Times New Roman" w:cs="Times New Roman" w:eastAsia="Times New Roman" w:hAnsi="Times New Roman"/>
                  <w:sz w:val="10"/>
                  <w:szCs w:val="10"/>
                  <w:color w:val="0000FF"/>
                  <w:w w:val="97"/>
                </w:rPr>
                <w:t>Amendment to Binding Term Sheet, dated May 24, 2023, by and among Rezolve, Radio Group and the other parties thereto (incorporated by reference to Exhibit 10.19 of Rezolve AI Limited’s Registration Statement on Form F-4,</w:t>
              </w:r>
            </w:hyperlink>
          </w:p>
        </w:tc>
        <w:tc>
          <w:tcPr>
            <w:tcW w:w="160" w:type="dxa"/>
            <w:vAlign w:val="bottom"/>
            <w:gridSpan w:val="7"/>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9160" w:type="dxa"/>
            <w:vAlign w:val="bottom"/>
            <w:gridSpan w:val="27"/>
          </w:tcPr>
          <w:p>
            <w:pPr>
              <w:spacing w:after="0" w:line="93" w:lineRule="exact"/>
              <w:rPr>
                <w:rFonts w:ascii="Times New Roman" w:cs="Times New Roman" w:eastAsia="Times New Roman" w:hAnsi="Times New Roman"/>
                <w:sz w:val="10"/>
                <w:szCs w:val="10"/>
                <w:color w:val="0000FF"/>
              </w:rPr>
            </w:pPr>
            <w:hyperlink r:id="rId354">
              <w:r>
                <w:rPr>
                  <w:rFonts w:ascii="Times New Roman" w:cs="Times New Roman" w:eastAsia="Times New Roman" w:hAnsi="Times New Roman"/>
                  <w:sz w:val="10"/>
                  <w:szCs w:val="10"/>
                  <w:color w:val="0000FF"/>
                </w:rPr>
                <w:t>Amendment No. 5, filed with the SEC on May 20,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10.4*</w:t>
            </w:r>
          </w:p>
        </w:tc>
        <w:tc>
          <w:tcPr>
            <w:tcW w:w="9120" w:type="dxa"/>
            <w:vAlign w:val="bottom"/>
            <w:tcBorders>
              <w:bottom w:val="single" w:sz="8" w:color="0000FF"/>
            </w:tcBorders>
            <w:gridSpan w:val="25"/>
          </w:tcPr>
          <w:p>
            <w:pPr>
              <w:spacing w:after="0"/>
              <w:rPr>
                <w:rFonts w:ascii="Times New Roman" w:cs="Times New Roman" w:eastAsia="Times New Roman" w:hAnsi="Times New Roman"/>
                <w:sz w:val="10"/>
                <w:szCs w:val="10"/>
                <w:color w:val="0000FF"/>
                <w:w w:val="97"/>
              </w:rPr>
            </w:pPr>
            <w:hyperlink r:id="rId355">
              <w:r>
                <w:rPr>
                  <w:rFonts w:ascii="Times New Roman" w:cs="Times New Roman" w:eastAsia="Times New Roman" w:hAnsi="Times New Roman"/>
                  <w:sz w:val="10"/>
                  <w:szCs w:val="10"/>
                  <w:color w:val="0000FF"/>
                  <w:w w:val="97"/>
                </w:rPr>
                <w:t>Agreement in Context of the Binding Term Sheet, dated May 24, 2023, by and among Rezolve, Radio Group and the other parties thereto (incorporated by reference to Exhibit 10.20 of Rezolve AI Limited’s Registration Statement on</w:t>
              </w:r>
            </w:hyperlink>
          </w:p>
        </w:tc>
        <w:tc>
          <w:tcPr>
            <w:tcW w:w="40" w:type="dxa"/>
            <w:vAlign w:val="bottom"/>
            <w:gridSpan w:val="2"/>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9160" w:type="dxa"/>
            <w:vAlign w:val="bottom"/>
            <w:gridSpan w:val="27"/>
          </w:tcPr>
          <w:p>
            <w:pPr>
              <w:spacing w:after="0" w:line="93" w:lineRule="exact"/>
              <w:rPr>
                <w:rFonts w:ascii="Times New Roman" w:cs="Times New Roman" w:eastAsia="Times New Roman" w:hAnsi="Times New Roman"/>
                <w:sz w:val="10"/>
                <w:szCs w:val="10"/>
                <w:color w:val="0000FF"/>
              </w:rPr>
            </w:pPr>
            <w:hyperlink r:id="rId355">
              <w:r>
                <w:rPr>
                  <w:rFonts w:ascii="Times New Roman" w:cs="Times New Roman" w:eastAsia="Times New Roman" w:hAnsi="Times New Roman"/>
                  <w:sz w:val="10"/>
                  <w:szCs w:val="10"/>
                  <w:color w:val="0000FF"/>
                </w:rPr>
                <w:t>Form F-4, Amendment No. 6, filed with the SEC on June 11,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10.5*</w:t>
            </w:r>
          </w:p>
        </w:tc>
        <w:tc>
          <w:tcPr>
            <w:tcW w:w="9140" w:type="dxa"/>
            <w:vAlign w:val="bottom"/>
            <w:tcBorders>
              <w:bottom w:val="single" w:sz="8" w:color="0000FF"/>
            </w:tcBorders>
            <w:gridSpan w:val="26"/>
          </w:tcPr>
          <w:p>
            <w:pPr>
              <w:spacing w:after="0"/>
              <w:rPr>
                <w:rFonts w:ascii="Times New Roman" w:cs="Times New Roman" w:eastAsia="Times New Roman" w:hAnsi="Times New Roman"/>
                <w:sz w:val="10"/>
                <w:szCs w:val="10"/>
                <w:color w:val="0000FF"/>
                <w:w w:val="97"/>
              </w:rPr>
            </w:pPr>
            <w:hyperlink r:id="rId356">
              <w:r>
                <w:rPr>
                  <w:rFonts w:ascii="Times New Roman" w:cs="Times New Roman" w:eastAsia="Times New Roman" w:hAnsi="Times New Roman"/>
                  <w:sz w:val="10"/>
                  <w:szCs w:val="10"/>
                  <w:color w:val="0000FF"/>
                  <w:w w:val="97"/>
                </w:rPr>
                <w:t>Contractual Agreement, dated August 30, 2021, by and among Rezolve, Radio Group and the other parties thereto (incorporated by reference to Exhibit 10.21 of Rezolve AI Limited’s Registration Statement on Form F-4, Amendment</w:t>
              </w:r>
            </w:hyperlink>
          </w:p>
        </w:tc>
        <w:tc>
          <w:tcPr>
            <w:tcW w:w="20" w:type="dxa"/>
            <w:vAlign w:val="bottom"/>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1740" w:type="dxa"/>
            <w:vAlign w:val="bottom"/>
            <w:tcBorders>
              <w:bottom w:val="single" w:sz="8" w:color="0000FF"/>
            </w:tcBorders>
            <w:gridSpan w:val="5"/>
          </w:tcPr>
          <w:p>
            <w:pPr>
              <w:spacing w:after="0" w:line="93" w:lineRule="exact"/>
              <w:rPr>
                <w:rFonts w:ascii="Times New Roman" w:cs="Times New Roman" w:eastAsia="Times New Roman" w:hAnsi="Times New Roman"/>
                <w:sz w:val="10"/>
                <w:szCs w:val="10"/>
                <w:color w:val="0000FF"/>
                <w:w w:val="96"/>
              </w:rPr>
            </w:pPr>
            <w:hyperlink r:id="rId356">
              <w:r>
                <w:rPr>
                  <w:rFonts w:ascii="Times New Roman" w:cs="Times New Roman" w:eastAsia="Times New Roman" w:hAnsi="Times New Roman"/>
                  <w:sz w:val="10"/>
                  <w:szCs w:val="10"/>
                  <w:color w:val="0000FF"/>
                  <w:w w:val="96"/>
                </w:rPr>
                <w:t>No. 6, filed with the SEC on June 11, 2024).</w:t>
              </w:r>
            </w:hyperlink>
          </w:p>
        </w:tc>
        <w:tc>
          <w:tcPr>
            <w:tcW w:w="7420" w:type="dxa"/>
            <w:vAlign w:val="bottom"/>
            <w:gridSpan w:val="22"/>
          </w:tcPr>
          <w:p>
            <w:pPr>
              <w:spacing w:after="0"/>
              <w:rPr>
                <w:sz w:val="8"/>
                <w:szCs w:val="8"/>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10.6*</w:t>
            </w:r>
          </w:p>
        </w:tc>
        <w:tc>
          <w:tcPr>
            <w:tcW w:w="9160" w:type="dxa"/>
            <w:vAlign w:val="bottom"/>
            <w:gridSpan w:val="27"/>
          </w:tcPr>
          <w:p>
            <w:pPr>
              <w:spacing w:after="0"/>
              <w:rPr>
                <w:rFonts w:ascii="Times New Roman" w:cs="Times New Roman" w:eastAsia="Times New Roman" w:hAnsi="Times New Roman"/>
                <w:sz w:val="10"/>
                <w:szCs w:val="10"/>
                <w:color w:val="0000FF"/>
              </w:rPr>
            </w:pPr>
            <w:hyperlink r:id="rId357">
              <w:r>
                <w:rPr>
                  <w:rFonts w:ascii="Times New Roman" w:cs="Times New Roman" w:eastAsia="Times New Roman" w:hAnsi="Times New Roman"/>
                  <w:sz w:val="10"/>
                  <w:szCs w:val="10"/>
                  <w:color w:val="0000FF"/>
                </w:rPr>
                <w:t>Contractual Relationship, dated April 30, 2023 (incorporated by reference to Exhibit 10.22 of Rezolve AI Limited’s Registration Statement on Form F-4, Amendment No. 5, filed with the SEC on May 20,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10.7*</w:t>
            </w:r>
          </w:p>
        </w:tc>
        <w:tc>
          <w:tcPr>
            <w:tcW w:w="9160" w:type="dxa"/>
            <w:vAlign w:val="bottom"/>
            <w:gridSpan w:val="27"/>
          </w:tcPr>
          <w:p>
            <w:pPr>
              <w:spacing w:after="0"/>
              <w:rPr>
                <w:rFonts w:ascii="Times New Roman" w:cs="Times New Roman" w:eastAsia="Times New Roman" w:hAnsi="Times New Roman"/>
                <w:sz w:val="10"/>
                <w:szCs w:val="10"/>
                <w:color w:val="0000FF"/>
                <w:w w:val="99"/>
              </w:rPr>
            </w:pPr>
            <w:hyperlink r:id="rId358">
              <w:r>
                <w:rPr>
                  <w:rFonts w:ascii="Times New Roman" w:cs="Times New Roman" w:eastAsia="Times New Roman" w:hAnsi="Times New Roman"/>
                  <w:sz w:val="10"/>
                  <w:szCs w:val="10"/>
                  <w:color w:val="0000FF"/>
                  <w:w w:val="99"/>
                </w:rPr>
                <w:t>Power of Disposal over ANY Lifestyle Marketing GmbH, dated November 17, 2023 (incorporated by reference to Exhibit 10.23 of Rezolve AI Limited’s Registration Statement on Form F-4, filed with the SEC on May 20, 2024)</w:t>
              </w:r>
            </w:hyperlink>
            <w:r>
              <w:rPr>
                <w:rFonts w:ascii="Times New Roman" w:cs="Times New Roman" w:eastAsia="Times New Roman" w:hAnsi="Times New Roman"/>
                <w:sz w:val="10"/>
                <w:szCs w:val="10"/>
                <w:color w:val="0000FF"/>
                <w:w w:val="99"/>
              </w:rPr>
              <w:t>.</w:t>
            </w:r>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10.8*</w:t>
            </w:r>
          </w:p>
        </w:tc>
        <w:tc>
          <w:tcPr>
            <w:tcW w:w="9060" w:type="dxa"/>
            <w:vAlign w:val="bottom"/>
            <w:tcBorders>
              <w:bottom w:val="single" w:sz="8" w:color="0000FF"/>
            </w:tcBorders>
            <w:gridSpan w:val="22"/>
          </w:tcPr>
          <w:p>
            <w:pPr>
              <w:spacing w:after="0"/>
              <w:rPr>
                <w:rFonts w:ascii="Times New Roman" w:cs="Times New Roman" w:eastAsia="Times New Roman" w:hAnsi="Times New Roman"/>
                <w:sz w:val="10"/>
                <w:szCs w:val="10"/>
                <w:color w:val="0000FF"/>
                <w:w w:val="97"/>
              </w:rPr>
            </w:pPr>
            <w:hyperlink r:id="rId359">
              <w:r>
                <w:rPr>
                  <w:rFonts w:ascii="Times New Roman" w:cs="Times New Roman" w:eastAsia="Times New Roman" w:hAnsi="Times New Roman"/>
                  <w:sz w:val="10"/>
                  <w:szCs w:val="10"/>
                  <w:color w:val="0000FF"/>
                  <w:w w:val="97"/>
                </w:rPr>
                <w:t>Loan Agreement, dated September 28, 2023, by and among Rezolve, Radio Group and the other parties thereto (incorporated by reference to Exhibit 10.24 of Rezolve AI Limited’s Registration Statement on Form F-4, filed with the</w:t>
              </w:r>
            </w:hyperlink>
          </w:p>
        </w:tc>
        <w:tc>
          <w:tcPr>
            <w:tcW w:w="100" w:type="dxa"/>
            <w:vAlign w:val="bottom"/>
            <w:gridSpan w:val="5"/>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9160" w:type="dxa"/>
            <w:vAlign w:val="bottom"/>
            <w:gridSpan w:val="27"/>
          </w:tcPr>
          <w:p>
            <w:pPr>
              <w:spacing w:after="0" w:line="93" w:lineRule="exact"/>
              <w:rPr>
                <w:rFonts w:ascii="Times New Roman" w:cs="Times New Roman" w:eastAsia="Times New Roman" w:hAnsi="Times New Roman"/>
                <w:sz w:val="10"/>
                <w:szCs w:val="10"/>
                <w:color w:val="0000FF"/>
              </w:rPr>
            </w:pPr>
            <w:hyperlink r:id="rId359">
              <w:r>
                <w:rPr>
                  <w:rFonts w:ascii="Times New Roman" w:cs="Times New Roman" w:eastAsia="Times New Roman" w:hAnsi="Times New Roman"/>
                  <w:sz w:val="10"/>
                  <w:szCs w:val="10"/>
                  <w:color w:val="0000FF"/>
                </w:rPr>
                <w:t>SEC on May 20,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10.9*</w:t>
            </w:r>
          </w:p>
        </w:tc>
        <w:tc>
          <w:tcPr>
            <w:tcW w:w="9100" w:type="dxa"/>
            <w:vAlign w:val="bottom"/>
            <w:tcBorders>
              <w:bottom w:val="single" w:sz="8" w:color="0000FF"/>
            </w:tcBorders>
            <w:gridSpan w:val="24"/>
          </w:tcPr>
          <w:p>
            <w:pPr>
              <w:spacing w:after="0"/>
              <w:rPr>
                <w:rFonts w:ascii="Times New Roman" w:cs="Times New Roman" w:eastAsia="Times New Roman" w:hAnsi="Times New Roman"/>
                <w:sz w:val="10"/>
                <w:szCs w:val="10"/>
                <w:color w:val="0000FF"/>
                <w:w w:val="97"/>
              </w:rPr>
            </w:pPr>
            <w:hyperlink r:id="rId360">
              <w:r>
                <w:rPr>
                  <w:rFonts w:ascii="Times New Roman" w:cs="Times New Roman" w:eastAsia="Times New Roman" w:hAnsi="Times New Roman"/>
                  <w:sz w:val="10"/>
                  <w:szCs w:val="10"/>
                  <w:color w:val="0000FF"/>
                  <w:w w:val="97"/>
                </w:rPr>
                <w:t>Amended and Restated Standby Equity Purchase Agreement, dated as of February 2, 2024, by and between YA II PN, Ltd., Armada Acquisition Corp. I, Rezolve Limited and Rezolve AI Limited (incorporated by reference to Exhibit</w:t>
              </w:r>
            </w:hyperlink>
          </w:p>
        </w:tc>
        <w:tc>
          <w:tcPr>
            <w:tcW w:w="60" w:type="dxa"/>
            <w:vAlign w:val="bottom"/>
            <w:gridSpan w:val="3"/>
          </w:tcPr>
          <w:p>
            <w:pPr>
              <w:spacing w:after="0"/>
              <w:rPr>
                <w:sz w:val="14"/>
                <w:szCs w:val="14"/>
                <w:color w:val="auto"/>
              </w:rPr>
            </w:pPr>
          </w:p>
        </w:tc>
      </w:tr>
      <w:tr>
        <w:trPr>
          <w:trHeight w:val="93"/>
        </w:trPr>
        <w:tc>
          <w:tcPr>
            <w:tcW w:w="1460" w:type="dxa"/>
            <w:vAlign w:val="bottom"/>
          </w:tcPr>
          <w:p>
            <w:pPr>
              <w:spacing w:after="0"/>
              <w:rPr>
                <w:sz w:val="8"/>
                <w:szCs w:val="8"/>
                <w:color w:val="auto"/>
              </w:rPr>
            </w:pPr>
          </w:p>
        </w:tc>
        <w:tc>
          <w:tcPr>
            <w:tcW w:w="3480" w:type="dxa"/>
            <w:vAlign w:val="bottom"/>
            <w:tcBorders>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r:id="rId360">
              <w:r>
                <w:rPr>
                  <w:rFonts w:ascii="Times New Roman" w:cs="Times New Roman" w:eastAsia="Times New Roman" w:hAnsi="Times New Roman"/>
                  <w:sz w:val="10"/>
                  <w:szCs w:val="10"/>
                  <w:color w:val="0000FF"/>
                  <w:w w:val="97"/>
                </w:rPr>
                <w:t>2.</w:t>
              </w:r>
              <w:r>
                <w:rPr>
                  <w:rFonts w:ascii="Times New Roman" w:cs="Times New Roman" w:eastAsia="Times New Roman" w:hAnsi="Times New Roman"/>
                  <w:sz w:val="10"/>
                  <w:szCs w:val="10"/>
                  <w:u w:val="single" w:color="auto"/>
                  <w:color w:val="0000FF"/>
                  <w:w w:val="97"/>
                </w:rPr>
                <w:t>1</w:t>
              </w:r>
              <w:r>
                <w:rPr>
                  <w:rFonts w:ascii="Times New Roman" w:cs="Times New Roman" w:eastAsia="Times New Roman" w:hAnsi="Times New Roman"/>
                  <w:sz w:val="10"/>
                  <w:szCs w:val="10"/>
                  <w:color w:val="0000FF"/>
                  <w:w w:val="97"/>
                </w:rPr>
                <w:t xml:space="preserve"> of Aramada's Current Report on Form 8-K, filed with the SEC on February 9, 2024).</w:t>
              </w:r>
            </w:hyperlink>
          </w:p>
        </w:tc>
        <w:tc>
          <w:tcPr>
            <w:tcW w:w="5680" w:type="dxa"/>
            <w:vAlign w:val="bottom"/>
            <w:gridSpan w:val="17"/>
          </w:tcPr>
          <w:p>
            <w:pPr>
              <w:spacing w:after="0"/>
              <w:rPr>
                <w:sz w:val="8"/>
                <w:szCs w:val="8"/>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10.10*</w:t>
            </w:r>
          </w:p>
        </w:tc>
        <w:tc>
          <w:tcPr>
            <w:tcW w:w="6180" w:type="dxa"/>
            <w:vAlign w:val="bottom"/>
            <w:tcBorders>
              <w:bottom w:val="single" w:sz="8" w:color="0000FF"/>
            </w:tcBorders>
            <w:gridSpan w:val="14"/>
          </w:tcPr>
          <w:p>
            <w:pPr>
              <w:spacing w:after="0"/>
              <w:rPr>
                <w:rFonts w:ascii="Times New Roman" w:cs="Times New Roman" w:eastAsia="Times New Roman" w:hAnsi="Times New Roman"/>
                <w:sz w:val="10"/>
                <w:szCs w:val="10"/>
                <w:color w:val="0000FF"/>
                <w:w w:val="97"/>
              </w:rPr>
            </w:pPr>
            <w:hyperlink r:id="rId361">
              <w:r>
                <w:rPr>
                  <w:rFonts w:ascii="Times New Roman" w:cs="Times New Roman" w:eastAsia="Times New Roman" w:hAnsi="Times New Roman"/>
                  <w:sz w:val="10"/>
                  <w:szCs w:val="10"/>
                  <w:color w:val="0000FF"/>
                  <w:w w:val="97"/>
                </w:rPr>
                <w:t>Second Amended and Restated Standby Equity Purchase Agreement, dated as of September 6, 2024, by and between YA II PN, Ltd. and Rezolve AI Limited.</w:t>
              </w:r>
            </w:hyperlink>
          </w:p>
        </w:tc>
        <w:tc>
          <w:tcPr>
            <w:tcW w:w="2980" w:type="dxa"/>
            <w:vAlign w:val="bottom"/>
            <w:gridSpan w:val="13"/>
          </w:tcPr>
          <w:p>
            <w:pPr>
              <w:spacing w:after="0"/>
              <w:rPr>
                <w:sz w:val="14"/>
                <w:szCs w:val="14"/>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10.11</w:t>
            </w:r>
          </w:p>
        </w:tc>
        <w:tc>
          <w:tcPr>
            <w:tcW w:w="8840" w:type="dxa"/>
            <w:vAlign w:val="bottom"/>
            <w:tcBorders>
              <w:bottom w:val="single" w:sz="8" w:color="0000FF"/>
            </w:tcBorders>
            <w:gridSpan w:val="17"/>
          </w:tcPr>
          <w:p>
            <w:pPr>
              <w:spacing w:after="0"/>
              <w:rPr>
                <w:rFonts w:ascii="Times New Roman" w:cs="Times New Roman" w:eastAsia="Times New Roman" w:hAnsi="Times New Roman"/>
                <w:sz w:val="10"/>
                <w:szCs w:val="10"/>
                <w:color w:val="0000FF"/>
                <w:w w:val="97"/>
              </w:rPr>
            </w:pPr>
            <w:hyperlink r:id="rId362">
              <w:r>
                <w:rPr>
                  <w:rFonts w:ascii="Times New Roman" w:cs="Times New Roman" w:eastAsia="Times New Roman" w:hAnsi="Times New Roman"/>
                  <w:sz w:val="10"/>
                  <w:szCs w:val="10"/>
                  <w:color w:val="0000FF"/>
                  <w:w w:val="97"/>
                </w:rPr>
                <w:t>Promissory Note, dated as of September 9, 2024, by and among YA II PN, Ltd. and Rezolve AI Limited (incorporated by reference to Exhibit 99.2 of Rezolve’s Report on Form 6-K, filed with the SEC on September 13, 2024).</w:t>
              </w:r>
            </w:hyperlink>
          </w:p>
        </w:tc>
        <w:tc>
          <w:tcPr>
            <w:tcW w:w="320" w:type="dxa"/>
            <w:vAlign w:val="bottom"/>
            <w:gridSpan w:val="10"/>
          </w:tcPr>
          <w:p>
            <w:pPr>
              <w:spacing w:after="0"/>
              <w:rPr>
                <w:sz w:val="14"/>
                <w:szCs w:val="14"/>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23.1</w:t>
            </w:r>
          </w:p>
        </w:tc>
        <w:tc>
          <w:tcPr>
            <w:tcW w:w="1440" w:type="dxa"/>
            <w:vAlign w:val="bottom"/>
            <w:tcBorders>
              <w:bottom w:val="single" w:sz="8" w:color="0000FF"/>
            </w:tcBorders>
            <w:gridSpan w:val="4"/>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Consent of Grassi &amp; Co., CPAs, PC.</w:t>
              </w:r>
            </w:hyperlink>
          </w:p>
        </w:tc>
        <w:tc>
          <w:tcPr>
            <w:tcW w:w="7720" w:type="dxa"/>
            <w:vAlign w:val="bottom"/>
            <w:gridSpan w:val="23"/>
          </w:tcPr>
          <w:p>
            <w:pPr>
              <w:spacing w:after="0"/>
              <w:rPr>
                <w:sz w:val="14"/>
                <w:szCs w:val="14"/>
                <w:color w:val="auto"/>
              </w:rPr>
            </w:pPr>
          </w:p>
        </w:tc>
      </w:tr>
      <w:tr>
        <w:trPr>
          <w:trHeight w:val="168"/>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23.2</w:t>
            </w:r>
          </w:p>
        </w:tc>
        <w:tc>
          <w:tcPr>
            <w:tcW w:w="3840" w:type="dxa"/>
            <w:vAlign w:val="bottom"/>
            <w:tcBorders>
              <w:bottom w:val="single" w:sz="8" w:color="0000FF"/>
            </w:tcBorders>
            <w:gridSpan w:val="12"/>
          </w:tcPr>
          <w:p>
            <w:pPr>
              <w:spacing w:after="0"/>
              <w:rPr>
                <w:rFonts w:ascii="Times New Roman" w:cs="Times New Roman" w:eastAsia="Times New Roman" w:hAnsi="Times New Roman"/>
                <w:sz w:val="10"/>
                <w:szCs w:val="10"/>
                <w:color w:val="0000FF"/>
                <w:w w:val="97"/>
              </w:rPr>
            </w:pPr>
            <w:hyperlink w:anchor="page1">
              <w:r>
                <w:rPr>
                  <w:rFonts w:ascii="Times New Roman" w:cs="Times New Roman" w:eastAsia="Times New Roman" w:hAnsi="Times New Roman"/>
                  <w:sz w:val="10"/>
                  <w:szCs w:val="10"/>
                  <w:color w:val="0000FF"/>
                  <w:w w:val="97"/>
                </w:rPr>
                <w:t>Consent of Marcum LLP, independent registered accounting firm for Armada Acquisition Corp. I.</w:t>
              </w:r>
            </w:hyperlink>
          </w:p>
        </w:tc>
        <w:tc>
          <w:tcPr>
            <w:tcW w:w="5320" w:type="dxa"/>
            <w:vAlign w:val="bottom"/>
            <w:gridSpan w:val="15"/>
          </w:tcPr>
          <w:p>
            <w:pPr>
              <w:spacing w:after="0"/>
              <w:rPr>
                <w:sz w:val="14"/>
                <w:szCs w:val="14"/>
                <w:color w:val="auto"/>
              </w:rPr>
            </w:pPr>
          </w:p>
        </w:tc>
      </w:tr>
      <w:tr>
        <w:trPr>
          <w:trHeight w:val="241"/>
        </w:trPr>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gridSpan w:val="16"/>
          </w:tcPr>
          <w:p>
            <w:pPr>
              <w:ind w:left="80"/>
              <w:spacing w:after="0"/>
              <w:rPr>
                <w:sz w:val="20"/>
                <w:szCs w:val="20"/>
                <w:color w:val="auto"/>
              </w:rPr>
            </w:pPr>
            <w:r>
              <w:rPr>
                <w:rFonts w:ascii="Times New Roman" w:cs="Times New Roman" w:eastAsia="Times New Roman" w:hAnsi="Times New Roman"/>
                <w:sz w:val="10"/>
                <w:szCs w:val="10"/>
                <w:color w:val="auto"/>
              </w:rPr>
              <w:t>II-2</w:t>
            </w:r>
          </w:p>
        </w:tc>
      </w:tr>
      <w:tr>
        <w:trPr>
          <w:trHeight w:val="422"/>
        </w:trPr>
        <w:tc>
          <w:tcPr>
            <w:tcW w:w="146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47" w:right="640" w:bottom="1440" w:gutter="0" w:footer="0" w:header="0"/>
        </w:sectPr>
      </w:pPr>
    </w:p>
    <w:bookmarkStart w:id="295" w:name="page296"/>
    <w:bookmarkEnd w:id="295"/>
    <w:tbl>
      <w:tblPr>
        <w:tblLayout w:type="fixed"/>
        <w:tblInd w:w="400" w:type="dxa"/>
        <w:tblCellMar>
          <w:top w:w="0" w:type="dxa"/>
          <w:left w:w="0" w:type="dxa"/>
          <w:bottom w:w="0" w:type="dxa"/>
          <w:right w:w="0" w:type="dxa"/>
        </w:tblCellMar>
      </w:tblPr>
      <w:tr>
        <w:trPr>
          <w:trHeight w:val="115"/>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23.3</w:t>
            </w:r>
          </w:p>
        </w:tc>
        <w:tc>
          <w:tcPr>
            <w:tcW w:w="2280" w:type="dxa"/>
            <w:vAlign w:val="bottom"/>
            <w:tcBorders>
              <w:bottom w:val="single" w:sz="8" w:color="0000FF"/>
            </w:tcBorders>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Consent of Taylor Wessing LLP (included in Exhibit 5.1).</w:t>
              </w:r>
            </w:hyperlink>
          </w:p>
        </w:tc>
        <w:tc>
          <w:tcPr>
            <w:tcW w:w="4560" w:type="dxa"/>
            <w:vAlign w:val="bottom"/>
          </w:tcPr>
          <w:p>
            <w:pPr>
              <w:spacing w:after="0"/>
              <w:rPr>
                <w:sz w:val="10"/>
                <w:szCs w:val="10"/>
                <w:color w:val="auto"/>
              </w:rPr>
            </w:pP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101.INS</w:t>
            </w:r>
          </w:p>
        </w:tc>
        <w:tc>
          <w:tcPr>
            <w:tcW w:w="684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7"/>
              </w:rPr>
              <w:t>Inline XBRL Instance Document – the instance document does not appear in the Interactive Data File because its XBRL tags are embedded within the Inline XBRL document.</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101.SCH</w:t>
            </w:r>
          </w:p>
        </w:tc>
        <w:tc>
          <w:tcPr>
            <w:tcW w:w="6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Inline XBRL Taxonomy Extension Schema With Embedded Linkbase Documents.</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104</w:t>
            </w:r>
          </w:p>
        </w:tc>
        <w:tc>
          <w:tcPr>
            <w:tcW w:w="6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Cover Page Interactive Data File.</w:t>
            </w:r>
          </w:p>
        </w:tc>
      </w:tr>
    </w:tbl>
    <w:p>
      <w:pPr>
        <w:spacing w:after="0" w:line="63" w:lineRule="exact"/>
        <w:rPr>
          <w:sz w:val="20"/>
          <w:szCs w:val="20"/>
          <w:color w:val="auto"/>
        </w:rPr>
      </w:pPr>
    </w:p>
    <w:p>
      <w:pPr>
        <w:ind w:left="1460" w:hanging="1065"/>
        <w:spacing w:after="0"/>
        <w:tabs>
          <w:tab w:leader="none" w:pos="1460" w:val="left"/>
        </w:tabs>
        <w:numPr>
          <w:ilvl w:val="0"/>
          <w:numId w:val="24"/>
        </w:numPr>
        <w:rPr>
          <w:rFonts w:ascii="Times New Roman" w:cs="Times New Roman" w:eastAsia="Times New Roman" w:hAnsi="Times New Roman"/>
          <w:sz w:val="10"/>
          <w:szCs w:val="10"/>
          <w:u w:val="single" w:color="auto"/>
          <w:color w:val="0000FF"/>
        </w:rPr>
      </w:pPr>
      <w:hyperlink w:anchor="page1">
        <w:r>
          <w:rPr>
            <w:rFonts w:ascii="Times New Roman" w:cs="Times New Roman" w:eastAsia="Times New Roman" w:hAnsi="Times New Roman"/>
            <w:sz w:val="10"/>
            <w:szCs w:val="10"/>
            <w:u w:val="single" w:color="auto"/>
            <w:color w:val="0000FF"/>
          </w:rPr>
          <w:t>Calculation of Fee Table.</w:t>
        </w:r>
      </w:hyperlink>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 As previously filed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9. Undertakings.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undersigned registrant, hereby undertakes: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(1)To file, during any period in which offers or sales are being made, a post-effective amendment to this registration statement:</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(i)To include any prospectus required by Section 10(a)(3) of the Securities Act of 1933, as amended;</w:t>
      </w:r>
    </w:p>
    <w:p>
      <w:pPr>
        <w:spacing w:after="0" w:line="58" w:lineRule="exact"/>
        <w:rPr>
          <w:sz w:val="20"/>
          <w:szCs w:val="20"/>
          <w:color w:val="auto"/>
        </w:rPr>
      </w:pPr>
    </w:p>
    <w:p>
      <w:pPr>
        <w:ind w:left="1020" w:right="20"/>
        <w:spacing w:after="0" w:line="241" w:lineRule="auto"/>
        <w:rPr>
          <w:sz w:val="20"/>
          <w:szCs w:val="20"/>
          <w:color w:val="auto"/>
        </w:rPr>
      </w:pPr>
      <w:r>
        <w:rPr>
          <w:rFonts w:ascii="Times New Roman" w:cs="Times New Roman" w:eastAsia="Times New Roman" w:hAnsi="Times New Roman"/>
          <w:sz w:val="10"/>
          <w:szCs w:val="10"/>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(iii)To include any material information with respect to the plan of distribution not previously disclosed in the registration statement or any material change to such information in the registration statement.</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(3)To remove from registration by means of a post-effective amendment any of the securities being registered which remain unsold at the termination of the offering.</w:t>
      </w:r>
    </w:p>
    <w:p>
      <w:pPr>
        <w:spacing w:after="0" w:line="58" w:lineRule="exact"/>
        <w:rPr>
          <w:sz w:val="20"/>
          <w:szCs w:val="20"/>
          <w:color w:val="auto"/>
        </w:rPr>
      </w:pPr>
    </w:p>
    <w:p>
      <w:pPr>
        <w:ind w:left="480" w:right="60"/>
        <w:spacing w:after="0" w:line="241" w:lineRule="auto"/>
        <w:rPr>
          <w:sz w:val="20"/>
          <w:szCs w:val="20"/>
          <w:color w:val="auto"/>
        </w:rPr>
      </w:pPr>
      <w:r>
        <w:rPr>
          <w:rFonts w:ascii="Times New Roman" w:cs="Times New Roman" w:eastAsia="Times New Roman" w:hAnsi="Times New Roman"/>
          <w:sz w:val="10"/>
          <w:szCs w:val="10"/>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48" w:lineRule="exact"/>
        <w:rPr>
          <w:sz w:val="20"/>
          <w:szCs w:val="20"/>
          <w:color w:val="auto"/>
        </w:rPr>
      </w:pPr>
    </w:p>
    <w:p>
      <w:pPr>
        <w:jc w:val="both"/>
        <w:ind w:left="480" w:right="120"/>
        <w:spacing w:after="0" w:line="245" w:lineRule="auto"/>
        <w:rPr>
          <w:sz w:val="20"/>
          <w:szCs w:val="20"/>
          <w:color w:val="auto"/>
        </w:rPr>
      </w:pPr>
      <w:r>
        <w:rPr>
          <w:rFonts w:ascii="Times New Roman" w:cs="Times New Roman" w:eastAsia="Times New Roman" w:hAnsi="Times New Roman"/>
          <w:sz w:val="10"/>
          <w:szCs w:val="10"/>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45" w:lineRule="exact"/>
        <w:rPr>
          <w:sz w:val="20"/>
          <w:szCs w:val="20"/>
          <w:color w:val="auto"/>
        </w:rPr>
      </w:pPr>
    </w:p>
    <w:p>
      <w:pPr>
        <w:ind w:left="480" w:right="20"/>
        <w:spacing w:after="0" w:line="245" w:lineRule="auto"/>
        <w:rPr>
          <w:sz w:val="20"/>
          <w:szCs w:val="20"/>
          <w:color w:val="auto"/>
        </w:rPr>
      </w:pPr>
      <w:r>
        <w:rPr>
          <w:rFonts w:ascii="Times New Roman" w:cs="Times New Roman" w:eastAsia="Times New Roman" w:hAnsi="Times New Roman"/>
          <w:sz w:val="10"/>
          <w:szCs w:val="10"/>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5" w:lineRule="exact"/>
        <w:rPr>
          <w:sz w:val="20"/>
          <w:szCs w:val="20"/>
          <w:color w:val="auto"/>
        </w:rPr>
      </w:pPr>
    </w:p>
    <w:p>
      <w:pPr>
        <w:ind w:left="5240" w:right="4220" w:hanging="4214"/>
        <w:spacing w:after="0" w:line="380" w:lineRule="auto"/>
        <w:rPr>
          <w:sz w:val="20"/>
          <w:szCs w:val="20"/>
          <w:color w:val="auto"/>
        </w:rPr>
      </w:pPr>
      <w:r>
        <w:rPr>
          <w:rFonts w:ascii="Times New Roman" w:cs="Times New Roman" w:eastAsia="Times New Roman" w:hAnsi="Times New Roman"/>
          <w:sz w:val="10"/>
          <w:szCs w:val="10"/>
          <w:color w:val="auto"/>
        </w:rPr>
        <w:t>(i)Any preliminary prospectus or prospectus of the undersigned registrant relating to the offering required to be filed pursuant to Rule 424;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47" w:right="620" w:bottom="1440" w:gutter="0" w:footer="0" w:header="0"/>
        </w:sectPr>
      </w:pPr>
    </w:p>
    <w:bookmarkStart w:id="296" w:name="page297"/>
    <w:bookmarkEnd w:id="296"/>
    <w:p>
      <w:pPr>
        <w:ind w:left="1020"/>
        <w:spacing w:after="0"/>
        <w:rPr>
          <w:sz w:val="20"/>
          <w:szCs w:val="20"/>
          <w:color w:val="auto"/>
        </w:rPr>
      </w:pPr>
      <w:r>
        <w:rPr>
          <w:rFonts w:ascii="Times New Roman" w:cs="Times New Roman" w:eastAsia="Times New Roman" w:hAnsi="Times New Roman"/>
          <w:sz w:val="10"/>
          <w:szCs w:val="10"/>
          <w:color w:val="auto"/>
        </w:rPr>
        <w:t>(ii)Any free writing prospectus relating to the offering prepared by or on behalf of the undersigned registrant or used or referred to by the undersigned registrant;</w:t>
      </w:r>
    </w:p>
    <w:p>
      <w:pPr>
        <w:spacing w:after="0" w:line="58" w:lineRule="exact"/>
        <w:rPr>
          <w:sz w:val="20"/>
          <w:szCs w:val="20"/>
          <w:color w:val="auto"/>
        </w:rPr>
      </w:pPr>
    </w:p>
    <w:p>
      <w:pPr>
        <w:ind w:left="1020" w:right="1220"/>
        <w:spacing w:after="0" w:line="380" w:lineRule="auto"/>
        <w:rPr>
          <w:sz w:val="20"/>
          <w:szCs w:val="20"/>
          <w:color w:val="auto"/>
        </w:rPr>
      </w:pPr>
      <w:r>
        <w:rPr>
          <w:rFonts w:ascii="Times New Roman" w:cs="Times New Roman" w:eastAsia="Times New Roman" w:hAnsi="Times New Roman"/>
          <w:sz w:val="10"/>
          <w:szCs w:val="10"/>
          <w:color w:val="auto"/>
        </w:rPr>
        <w:t>(iii)The portion of any other free writing prospectus relating to the offering containing material information about the undersigned registrant or its securities provided by or on behalf of the undersigned registrant; and (iv)Any other communication that is an offer in the offering made by the undersigned registrant to the purchaser.</w:t>
      </w:r>
    </w:p>
    <w:p>
      <w:pPr>
        <w:spacing w:after="0" w:line="41"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0"/>
          <w:szCs w:val="10"/>
          <w:b w:val="1"/>
          <w:bCs w:val="1"/>
          <w:color w:val="auto"/>
        </w:rPr>
        <w:t>SIGNATURES</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London, United Kingdom, on the 28th day of October, 2024.</w:t>
      </w:r>
    </w:p>
    <w:p>
      <w:pPr>
        <w:spacing w:after="0" w:line="30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42" w:lineRule="exact"/>
        <w:rPr>
          <w:sz w:val="20"/>
          <w:szCs w:val="20"/>
          <w:color w:val="auto"/>
        </w:rPr>
      </w:pPr>
    </w:p>
    <w:tbl>
      <w:tblPr>
        <w:tblLayout w:type="fixed"/>
        <w:tblInd w:w="6380" w:type="dxa"/>
        <w:tblCellMar>
          <w:top w:w="0" w:type="dxa"/>
          <w:left w:w="0" w:type="dxa"/>
          <w:bottom w:w="0" w:type="dxa"/>
          <w:right w:w="0" w:type="dxa"/>
        </w:tblCellMar>
      </w:tblPr>
      <w:tr>
        <w:trPr>
          <w:trHeight w:val="127"/>
        </w:trPr>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/s/ Daniel Wagner</w:t>
            </w:r>
          </w:p>
        </w:tc>
      </w:tr>
      <w:tr>
        <w:trPr>
          <w:trHeight w:val="113"/>
        </w:trPr>
        <w:tc>
          <w:tcPr>
            <w:tcW w:w="400" w:type="dxa"/>
            <w:vAlign w:val="bottom"/>
          </w:tcPr>
          <w:p>
            <w:pPr>
              <w:spacing w:after="0"/>
              <w:rPr>
                <w:sz w:val="9"/>
                <w:szCs w:val="9"/>
                <w:color w:val="auto"/>
              </w:rPr>
            </w:pPr>
          </w:p>
        </w:tc>
        <w:tc>
          <w:tcPr>
            <w:tcW w:w="38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r>
      <w:tr>
        <w:trPr>
          <w:trHeight w:val="128"/>
        </w:trPr>
        <w:tc>
          <w:tcPr>
            <w:tcW w:w="400" w:type="dxa"/>
            <w:vAlign w:val="bottom"/>
          </w:tcPr>
          <w:p>
            <w:pPr>
              <w:spacing w:after="0"/>
              <w:rPr>
                <w:sz w:val="11"/>
                <w:szCs w:val="11"/>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0"/>
                <w:szCs w:val="10"/>
                <w:color w:val="auto"/>
              </w:rPr>
              <w:t>Chief Executive Officer</w:t>
            </w:r>
          </w:p>
        </w:tc>
      </w:tr>
    </w:tbl>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Pursuant to the requirements of the Securities Act of 1933, this Registration Statement has been signed by the following persons in the capacities and on the dates indicated.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48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Name</w:t>
            </w:r>
          </w:p>
        </w:tc>
        <w:tc>
          <w:tcPr>
            <w:tcW w:w="80" w:type="dxa"/>
            <w:vAlign w:val="bottom"/>
          </w:tcPr>
          <w:p>
            <w:pPr>
              <w:spacing w:after="0"/>
              <w:rPr>
                <w:sz w:val="9"/>
                <w:szCs w:val="9"/>
                <w:color w:val="auto"/>
              </w:rPr>
            </w:pPr>
          </w:p>
        </w:tc>
        <w:tc>
          <w:tcPr>
            <w:tcW w:w="37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8"/>
                <w:szCs w:val="8"/>
                <w:b w:val="1"/>
                <w:bCs w:val="1"/>
                <w:color w:val="auto"/>
              </w:rPr>
              <w:t>Title</w:t>
            </w:r>
          </w:p>
        </w:tc>
        <w:tc>
          <w:tcPr>
            <w:tcW w:w="220" w:type="dxa"/>
            <w:vAlign w:val="bottom"/>
          </w:tcPr>
          <w:p>
            <w:pPr>
              <w:spacing w:after="0"/>
              <w:rPr>
                <w:sz w:val="9"/>
                <w:szCs w:val="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0" w:type="dxa"/>
            <w:vAlign w:val="bottom"/>
          </w:tcPr>
          <w:p>
            <w:pPr>
              <w:spacing w:after="0"/>
              <w:rPr>
                <w:sz w:val="1"/>
                <w:szCs w:val="1"/>
                <w:color w:val="auto"/>
              </w:rPr>
            </w:pPr>
          </w:p>
        </w:tc>
      </w:tr>
      <w:tr>
        <w:trPr>
          <w:trHeight w:val="242"/>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Daniel Wagner</w:t>
            </w:r>
          </w:p>
        </w:tc>
        <w:tc>
          <w:tcPr>
            <w:tcW w:w="8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Executive Officer and Director</w:t>
            </w:r>
          </w:p>
        </w:tc>
        <w:tc>
          <w:tcPr>
            <w:tcW w:w="2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October 28,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Daniel Wagner</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Executive Officer)</w:t>
            </w: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8"/>
              </w:rPr>
              <w:t>/s/ Richard Burchill</w:t>
            </w:r>
          </w:p>
        </w:tc>
        <w:tc>
          <w:tcPr>
            <w:tcW w:w="8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Financial Officer</w:t>
            </w:r>
          </w:p>
        </w:tc>
        <w:tc>
          <w:tcPr>
            <w:tcW w:w="2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October 28,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Richard Burchill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Financial and Accounting Officer)</w:t>
            </w: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/s/ Anthony Sharp</w:t>
            </w:r>
          </w:p>
        </w:tc>
        <w:tc>
          <w:tcPr>
            <w:tcW w:w="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October 28, 2024</w:t>
            </w:r>
          </w:p>
        </w:tc>
        <w:tc>
          <w:tcPr>
            <w:tcW w:w="0" w:type="dxa"/>
            <w:vAlign w:val="bottom"/>
          </w:tcPr>
          <w:p>
            <w:pPr>
              <w:spacing w:after="0"/>
              <w:rPr>
                <w:sz w:val="1"/>
                <w:szCs w:val="1"/>
                <w:color w:val="auto"/>
              </w:rPr>
            </w:pPr>
          </w:p>
        </w:tc>
      </w:tr>
      <w:tr>
        <w:trPr>
          <w:trHeight w:val="112"/>
        </w:trPr>
        <w:tc>
          <w:tcPr>
            <w:tcW w:w="4780" w:type="dxa"/>
            <w:vAlign w:val="bottom"/>
            <w:tcBorders>
              <w:bottom w:val="single" w:sz="8" w:color="auto"/>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8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Anthony Sharp</w:t>
            </w:r>
          </w:p>
        </w:tc>
        <w:tc>
          <w:tcPr>
            <w:tcW w:w="80" w:type="dxa"/>
            <w:vAlign w:val="bottom"/>
          </w:tcPr>
          <w:p>
            <w:pPr>
              <w:spacing w:after="0"/>
              <w:rPr>
                <w:sz w:val="10"/>
                <w:szCs w:val="1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October 28, 2024</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/s/ Sir David Wright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8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Sir David Wright</w:t>
            </w:r>
          </w:p>
        </w:tc>
        <w:tc>
          <w:tcPr>
            <w:tcW w:w="80" w:type="dxa"/>
            <w:vAlign w:val="bottom"/>
          </w:tcPr>
          <w:p>
            <w:pPr>
              <w:spacing w:after="0"/>
              <w:rPr>
                <w:sz w:val="10"/>
                <w:szCs w:val="1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October 28, 2024</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/s/ Stephen Perry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8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Stephen Perry</w:t>
            </w:r>
          </w:p>
        </w:tc>
        <w:tc>
          <w:tcPr>
            <w:tcW w:w="80" w:type="dxa"/>
            <w:vAlign w:val="bottom"/>
          </w:tcPr>
          <w:p>
            <w:pPr>
              <w:spacing w:after="0"/>
              <w:rPr>
                <w:sz w:val="10"/>
                <w:szCs w:val="1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October 28, 2024</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John Wagner</w:t>
            </w:r>
          </w:p>
        </w:tc>
        <w:tc>
          <w:tcPr>
            <w:tcW w:w="80" w:type="dxa"/>
            <w:vAlign w:val="bottom"/>
          </w:tcPr>
          <w:p>
            <w:pPr>
              <w:spacing w:after="0"/>
              <w:rPr>
                <w:sz w:val="10"/>
                <w:szCs w:val="1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October 28, 2024</w:t>
            </w:r>
          </w:p>
        </w:tc>
        <w:tc>
          <w:tcPr>
            <w:tcW w:w="0" w:type="dxa"/>
            <w:vAlign w:val="bottom"/>
          </w:tcPr>
          <w:p>
            <w:pPr>
              <w:spacing w:after="0"/>
              <w:rPr>
                <w:sz w:val="1"/>
                <w:szCs w:val="1"/>
                <w:color w:val="auto"/>
              </w:rPr>
            </w:pPr>
          </w:p>
        </w:tc>
      </w:tr>
      <w:tr>
        <w:trPr>
          <w:trHeight w:val="332"/>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8"/>
              </w:rPr>
              <w:t>/s/ Derek Smith</w:t>
            </w: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October 28, 2024</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0"/>
                <w:szCs w:val="10"/>
                <w:b w:val="1"/>
                <w:bCs w:val="1"/>
                <w:color w:val="auto"/>
              </w:rPr>
              <w:t>Derek Smith</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 Stephen Herbert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7"/>
              </w:rPr>
              <w:t>Stephen Herbert</w:t>
            </w:r>
          </w:p>
        </w:tc>
        <w:tc>
          <w:tcPr>
            <w:tcW w:w="80" w:type="dxa"/>
            <w:vAlign w:val="bottom"/>
          </w:tcPr>
          <w:p>
            <w:pPr>
              <w:spacing w:after="0"/>
              <w:rPr>
                <w:sz w:val="10"/>
                <w:szCs w:val="1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October 28, 2024</w:t>
            </w:r>
          </w:p>
        </w:tc>
        <w:tc>
          <w:tcPr>
            <w:tcW w:w="0" w:type="dxa"/>
            <w:vAlign w:val="bottom"/>
          </w:tcPr>
          <w:p>
            <w:pPr>
              <w:spacing w:after="0"/>
              <w:rPr>
                <w:sz w:val="1"/>
                <w:szCs w:val="1"/>
                <w:color w:val="auto"/>
              </w:rPr>
            </w:pPr>
          </w:p>
        </w:tc>
      </w:tr>
      <w:tr>
        <w:trPr>
          <w:trHeight w:val="112"/>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8"/>
        </w:trPr>
        <w:tc>
          <w:tcPr>
            <w:tcW w:w="47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7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98" w:name="page299"/>
    <w:bookmarkEnd w:id="298"/>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SIGNATURE OF AUTHORIZED U.S. REPRESENTATIVE OF THE REGISTRANT</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New York, New York, on the 28th day of October, 2024.</w:t>
      </w:r>
    </w:p>
    <w:p>
      <w:pPr>
        <w:spacing w:after="0" w:line="30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150" w:lineRule="exact"/>
        <w:rPr>
          <w:sz w:val="20"/>
          <w:szCs w:val="20"/>
          <w:color w:val="auto"/>
        </w:rPr>
      </w:pPr>
    </w:p>
    <w:p>
      <w:pPr>
        <w:ind w:left="6380"/>
        <w:spacing w:after="0"/>
        <w:tabs>
          <w:tab w:leader="none" w:pos="6760" w:val="left"/>
        </w:tabs>
        <w:rPr>
          <w:sz w:val="20"/>
          <w:szCs w:val="20"/>
          <w:color w:val="auto"/>
        </w:rPr>
      </w:pPr>
      <w:r>
        <w:rPr>
          <w:rFonts w:ascii="Times New Roman" w:cs="Times New Roman" w:eastAsia="Times New Roman" w:hAnsi="Times New Roman"/>
          <w:sz w:val="10"/>
          <w:szCs w:val="10"/>
          <w:color w:val="auto"/>
        </w:rPr>
        <w:t>By:</w:t>
      </w:r>
      <w:r>
        <w:rPr>
          <w:sz w:val="20"/>
          <w:szCs w:val="20"/>
          <w:color w:val="auto"/>
        </w:rPr>
        <w:tab/>
      </w:r>
      <w:r>
        <w:rPr>
          <w:rFonts w:ascii="Times New Roman" w:cs="Times New Roman" w:eastAsia="Times New Roman" w:hAnsi="Times New Roman"/>
          <w:sz w:val="10"/>
          <w:szCs w:val="10"/>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7620</wp:posOffset>
            </wp:positionV>
            <wp:extent cx="2443480" cy="50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7">
                      <a:extLst>
                        <a:ext uri="{28A0092B-C50C-407E-A947-70E740481C1C}"/>
                      </a:extLst>
                    </a:blip>
                    <a:srcRect/>
                    <a:stretch>
                      <a:fillRect/>
                    </a:stretch>
                  </pic:blipFill>
                  <pic:spPr bwMode="auto">
                    <a:xfrm>
                      <a:off x="0" y="0"/>
                      <a:ext cx="2443480" cy="508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0"/>
          <w:szCs w:val="10"/>
          <w:color w:val="auto"/>
        </w:rPr>
        <w:t>Colleen A. DeVries</w:t>
      </w:r>
    </w:p>
    <w:p>
      <w:pPr>
        <w:spacing w:after="0" w:line="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0"/>
          <w:szCs w:val="10"/>
          <w:color w:val="auto"/>
        </w:rPr>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447040</wp:posOffset>
            </wp:positionV>
            <wp:extent cx="6778625" cy="349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33" w:right="680" w:bottom="1440" w:gutter="0" w:footer="0" w:header="0"/>
        </w:sectPr>
      </w:pPr>
    </w:p>
    <w:bookmarkStart w:id="299" w:name="page300"/>
    <w:bookmarkEnd w:id="299"/>
    <w:p>
      <w:pPr>
        <w:jc w:val="right"/>
        <w:spacing w:after="0"/>
        <w:rPr>
          <w:sz w:val="20"/>
          <w:szCs w:val="20"/>
          <w:color w:val="auto"/>
        </w:rPr>
      </w:pPr>
      <w:r>
        <w:rPr>
          <w:rFonts w:ascii="Arial" w:cs="Arial" w:eastAsia="Arial" w:hAnsi="Arial"/>
          <w:sz w:val="11"/>
          <w:szCs w:val="1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85725</wp:posOffset>
            </wp:positionV>
            <wp:extent cx="852805" cy="1289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9">
                      <a:extLst>
                        <a:ext uri="{28A0092B-C50C-407E-A947-70E740481C1C}"/>
                      </a:extLst>
                    </a:blip>
                    <a:srcRect/>
                    <a:stretch>
                      <a:fillRect/>
                    </a:stretch>
                  </pic:blipFill>
                  <pic:spPr bwMode="auto">
                    <a:xfrm>
                      <a:off x="0" y="0"/>
                      <a:ext cx="852805" cy="12890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28 October 2024 Rezolve AI Limited</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5 New Street Square London EC4A 3TW United Kingdom</w:t>
      </w: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 Rezolve AI Limited – Registration Statement on Form F-1</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Dear Addressee</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1.Introduction</w:t>
      </w:r>
    </w:p>
    <w:p>
      <w:pPr>
        <w:spacing w:after="0" w:line="106" w:lineRule="exact"/>
        <w:rPr>
          <w:sz w:val="20"/>
          <w:szCs w:val="20"/>
          <w:color w:val="auto"/>
        </w:rPr>
      </w:pPr>
    </w:p>
    <w:p>
      <w:pPr>
        <w:ind w:right="1140"/>
        <w:spacing w:after="0" w:line="238" w:lineRule="auto"/>
        <w:rPr>
          <w:sz w:val="20"/>
          <w:szCs w:val="20"/>
          <w:color w:val="auto"/>
        </w:rPr>
      </w:pPr>
      <w:r>
        <w:rPr>
          <w:rFonts w:ascii="Arial" w:cs="Arial" w:eastAsia="Arial" w:hAnsi="Arial"/>
          <w:sz w:val="11"/>
          <w:szCs w:val="11"/>
          <w:color w:val="auto"/>
        </w:rPr>
        <w:t>1.1We have acted as English legal advisers to Rezolve AI Limited, a private limited company incorporated in England and Wales with company number 14573691 and with its registered office at 5 New Street Square, London, United Kingdom, EC4A 3TW (the “</w:t>
      </w:r>
      <w:r>
        <w:rPr>
          <w:rFonts w:ascii="Arial" w:cs="Arial" w:eastAsia="Arial" w:hAnsi="Arial"/>
          <w:sz w:val="11"/>
          <w:szCs w:val="11"/>
          <w:b w:val="1"/>
          <w:bCs w:val="1"/>
          <w:color w:val="auto"/>
        </w:rPr>
        <w:t>Company</w:t>
      </w:r>
      <w:r>
        <w:rPr>
          <w:rFonts w:ascii="Arial" w:cs="Arial" w:eastAsia="Arial" w:hAnsi="Arial"/>
          <w:sz w:val="11"/>
          <w:szCs w:val="11"/>
          <w:color w:val="auto"/>
        </w:rPr>
        <w:t xml:space="preserve"> ”), in connection with the registration statement (as amended through the date hereof, the “</w:t>
      </w:r>
      <w:r>
        <w:rPr>
          <w:rFonts w:ascii="Arial" w:cs="Arial" w:eastAsia="Arial" w:hAnsi="Arial"/>
          <w:sz w:val="11"/>
          <w:szCs w:val="11"/>
          <w:b w:val="1"/>
          <w:bCs w:val="1"/>
          <w:color w:val="auto"/>
        </w:rPr>
        <w:t>Registration Statement</w:t>
      </w:r>
      <w:r>
        <w:rPr>
          <w:rFonts w:ascii="Arial" w:cs="Arial" w:eastAsia="Arial" w:hAnsi="Arial"/>
          <w:sz w:val="11"/>
          <w:szCs w:val="11"/>
          <w:color w:val="auto"/>
        </w:rPr>
        <w:t>”) of the Company on Form F-1 filed with the Securities and Exchange Commission (the “</w:t>
      </w:r>
      <w:r>
        <w:rPr>
          <w:rFonts w:ascii="Arial" w:cs="Arial" w:eastAsia="Arial" w:hAnsi="Arial"/>
          <w:sz w:val="11"/>
          <w:szCs w:val="11"/>
          <w:b w:val="1"/>
          <w:bCs w:val="1"/>
          <w:color w:val="auto"/>
        </w:rPr>
        <w:t>Commission</w:t>
      </w:r>
      <w:r>
        <w:rPr>
          <w:rFonts w:ascii="Arial" w:cs="Arial" w:eastAsia="Arial" w:hAnsi="Arial"/>
          <w:sz w:val="11"/>
          <w:szCs w:val="11"/>
          <w:color w:val="auto"/>
        </w:rPr>
        <w:t>”) pursuant to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 and the rules and regulations thereunder (the “</w:t>
      </w:r>
      <w:r>
        <w:rPr>
          <w:rFonts w:ascii="Arial" w:cs="Arial" w:eastAsia="Arial" w:hAnsi="Arial"/>
          <w:sz w:val="11"/>
          <w:szCs w:val="11"/>
          <w:b w:val="1"/>
          <w:bCs w:val="1"/>
          <w:color w:val="auto"/>
        </w:rPr>
        <w:t>Rules</w:t>
      </w:r>
      <w:r>
        <w:rPr>
          <w:rFonts w:ascii="Arial" w:cs="Arial" w:eastAsia="Arial" w:hAnsi="Arial"/>
          <w:sz w:val="11"/>
          <w:szCs w:val="11"/>
          <w:color w:val="auto"/>
        </w:rPr>
        <w:t>”).</w:t>
      </w:r>
    </w:p>
    <w:p>
      <w:pPr>
        <w:spacing w:after="0" w:line="98" w:lineRule="exact"/>
        <w:rPr>
          <w:sz w:val="20"/>
          <w:szCs w:val="20"/>
          <w:color w:val="auto"/>
        </w:rPr>
      </w:pPr>
    </w:p>
    <w:p>
      <w:pPr>
        <w:ind w:right="1160"/>
        <w:spacing w:after="0" w:line="243" w:lineRule="auto"/>
        <w:rPr>
          <w:sz w:val="20"/>
          <w:szCs w:val="20"/>
          <w:color w:val="auto"/>
        </w:rPr>
      </w:pPr>
      <w:r>
        <w:rPr>
          <w:rFonts w:ascii="Arial" w:cs="Arial" w:eastAsia="Arial" w:hAnsi="Arial"/>
          <w:sz w:val="11"/>
          <w:szCs w:val="11"/>
          <w:color w:val="auto"/>
        </w:rPr>
        <w:t>1.2On 4 July 2024, a demerger pursuant to section 110 of the UK Insolvency Act 1986 was effected, pursuant to which substantially all the assets and liabilities of Rezolve Limited were transferred to the Company in exchange for the issue of shares of the same classes in the capital of the Company for distribution amongst the shareholders of Rezolve Limited in proportion to their holdings of shares of each class in Rezolve Limited (the "</w:t>
      </w:r>
      <w:r>
        <w:rPr>
          <w:rFonts w:ascii="Arial" w:cs="Arial" w:eastAsia="Arial" w:hAnsi="Arial"/>
          <w:sz w:val="11"/>
          <w:szCs w:val="11"/>
          <w:b w:val="1"/>
          <w:bCs w:val="1"/>
          <w:color w:val="auto"/>
        </w:rPr>
        <w:t>Demerger</w:t>
      </w:r>
      <w:r>
        <w:rPr>
          <w:rFonts w:ascii="Arial" w:cs="Arial" w:eastAsia="Arial" w:hAnsi="Arial"/>
          <w:sz w:val="11"/>
          <w:szCs w:val="11"/>
          <w:color w:val="auto"/>
        </w:rPr>
        <w:t>").</w:t>
      </w:r>
    </w:p>
    <w:p>
      <w:pPr>
        <w:spacing w:after="0" w:line="96" w:lineRule="exact"/>
        <w:rPr>
          <w:sz w:val="20"/>
          <w:szCs w:val="20"/>
          <w:color w:val="auto"/>
        </w:rPr>
      </w:pPr>
    </w:p>
    <w:p>
      <w:pPr>
        <w:ind w:right="1040"/>
        <w:spacing w:after="0" w:line="259" w:lineRule="auto"/>
        <w:rPr>
          <w:sz w:val="20"/>
          <w:szCs w:val="20"/>
          <w:color w:val="auto"/>
        </w:rPr>
      </w:pPr>
      <w:r>
        <w:rPr>
          <w:rFonts w:ascii="Arial" w:cs="Arial" w:eastAsia="Arial" w:hAnsi="Arial"/>
          <w:sz w:val="11"/>
          <w:szCs w:val="11"/>
          <w:color w:val="auto"/>
        </w:rPr>
        <w:t>1.3The Company closed on the transactions contemplated in the Business Combination Agreement (being the agreement dated as of 17 December 2021 (as subsequently amendment) entered into by and among Armada Acquisition Corp. I ("</w:t>
      </w:r>
      <w:r>
        <w:rPr>
          <w:rFonts w:ascii="Arial" w:cs="Arial" w:eastAsia="Arial" w:hAnsi="Arial"/>
          <w:sz w:val="11"/>
          <w:szCs w:val="11"/>
          <w:b w:val="1"/>
          <w:bCs w:val="1"/>
          <w:color w:val="auto"/>
        </w:rPr>
        <w:t>Armada</w:t>
      </w:r>
      <w:r>
        <w:rPr>
          <w:rFonts w:ascii="Arial" w:cs="Arial" w:eastAsia="Arial" w:hAnsi="Arial"/>
          <w:sz w:val="11"/>
          <w:szCs w:val="11"/>
          <w:color w:val="auto"/>
        </w:rPr>
        <w:t>"), Rezolve Limited, the Company and certain other parties) on 15 August 2024 ("</w:t>
      </w:r>
      <w:r>
        <w:rPr>
          <w:rFonts w:ascii="Arial" w:cs="Arial" w:eastAsia="Arial" w:hAnsi="Arial"/>
          <w:sz w:val="11"/>
          <w:szCs w:val="11"/>
          <w:b w:val="1"/>
          <w:bCs w:val="1"/>
          <w:color w:val="auto"/>
        </w:rPr>
        <w:t>Closing</w:t>
      </w:r>
      <w:r>
        <w:rPr>
          <w:rFonts w:ascii="Arial" w:cs="Arial" w:eastAsia="Arial" w:hAnsi="Arial"/>
          <w:sz w:val="11"/>
          <w:szCs w:val="11"/>
          <w:color w:val="auto"/>
        </w:rPr>
        <w:t>").</w:t>
      </w:r>
    </w:p>
    <w:p>
      <w:pPr>
        <w:spacing w:after="0" w:line="80" w:lineRule="exact"/>
        <w:rPr>
          <w:sz w:val="20"/>
          <w:szCs w:val="20"/>
          <w:color w:val="auto"/>
        </w:rPr>
      </w:pPr>
    </w:p>
    <w:p>
      <w:pPr>
        <w:ind w:right="1080"/>
        <w:spacing w:after="0" w:line="236" w:lineRule="auto"/>
        <w:rPr>
          <w:sz w:val="20"/>
          <w:szCs w:val="20"/>
          <w:color w:val="auto"/>
        </w:rPr>
      </w:pPr>
      <w:r>
        <w:rPr>
          <w:rFonts w:ascii="Arial" w:cs="Arial" w:eastAsia="Arial" w:hAnsi="Arial"/>
          <w:sz w:val="11"/>
          <w:szCs w:val="11"/>
          <w:color w:val="auto"/>
        </w:rPr>
        <w:t>1. 4The Company has filed the Registration Statement for the purposes of registering with the Commission under the Securities Act the potential issue from time to time of ordinary shares of £0.0001 each in the capital of the Company (the “</w:t>
      </w:r>
      <w:r>
        <w:rPr>
          <w:rFonts w:ascii="Arial" w:cs="Arial" w:eastAsia="Arial" w:hAnsi="Arial"/>
          <w:sz w:val="11"/>
          <w:szCs w:val="11"/>
          <w:b w:val="1"/>
          <w:bCs w:val="1"/>
          <w:color w:val="auto"/>
        </w:rPr>
        <w:t>Ordinary Shares</w:t>
      </w:r>
      <w:r>
        <w:rPr>
          <w:rFonts w:ascii="Arial" w:cs="Arial" w:eastAsia="Arial" w:hAnsi="Arial"/>
          <w:sz w:val="11"/>
          <w:szCs w:val="11"/>
          <w:color w:val="auto"/>
        </w:rPr>
        <w:t>”) comprised of up to 7,499,994 Ordinary Shares issuable upon the exercise of listed warrants (with CUSIP #G75398 118) (the “</w:t>
      </w:r>
      <w:r>
        <w:rPr>
          <w:rFonts w:ascii="Arial" w:cs="Arial" w:eastAsia="Arial" w:hAnsi="Arial"/>
          <w:sz w:val="11"/>
          <w:szCs w:val="11"/>
          <w:b w:val="1"/>
          <w:bCs w:val="1"/>
          <w:color w:val="auto"/>
        </w:rPr>
        <w:t>Public Warrants</w:t>
      </w:r>
      <w:r>
        <w:rPr>
          <w:rFonts w:ascii="Arial" w:cs="Arial" w:eastAsia="Arial" w:hAnsi="Arial"/>
          <w:sz w:val="11"/>
          <w:szCs w:val="11"/>
          <w:color w:val="auto"/>
        </w:rPr>
        <w:t>”) issued to Cede &amp; Co. as nominee for The Depositary Trust Company upon Closing and such Public Warrants being subject to the terms of a Warrant Agreement dated on 15 August 2024 (the "</w:t>
      </w:r>
      <w:r>
        <w:rPr>
          <w:rFonts w:ascii="Arial" w:cs="Arial" w:eastAsia="Arial" w:hAnsi="Arial"/>
          <w:sz w:val="11"/>
          <w:szCs w:val="11"/>
          <w:b w:val="1"/>
          <w:bCs w:val="1"/>
          <w:color w:val="auto"/>
        </w:rPr>
        <w:t>Warrant</w:t>
      </w:r>
      <w:r>
        <w:rPr>
          <w:rFonts w:ascii="Arial" w:cs="Arial" w:eastAsia="Arial" w:hAnsi="Arial"/>
          <w:sz w:val="11"/>
          <w:szCs w:val="11"/>
          <w:color w:val="auto"/>
        </w:rPr>
        <w:t xml:space="preserve"> </w:t>
      </w:r>
      <w:r>
        <w:rPr>
          <w:rFonts w:ascii="Arial" w:cs="Arial" w:eastAsia="Arial" w:hAnsi="Arial"/>
          <w:sz w:val="11"/>
          <w:szCs w:val="11"/>
          <w:b w:val="1"/>
          <w:bCs w:val="1"/>
          <w:color w:val="auto"/>
        </w:rPr>
        <w:t>Agreement</w:t>
      </w:r>
      <w:r>
        <w:rPr>
          <w:rFonts w:ascii="Arial" w:cs="Arial" w:eastAsia="Arial" w:hAnsi="Arial"/>
          <w:sz w:val="11"/>
          <w:szCs w:val="11"/>
          <w:color w:val="auto"/>
        </w:rPr>
        <w:t>") and Warrant Assumption Assignment and Amendment Agreement dated on 15 August 2024 (the "</w:t>
      </w:r>
      <w:r>
        <w:rPr>
          <w:rFonts w:ascii="Arial" w:cs="Arial" w:eastAsia="Arial" w:hAnsi="Arial"/>
          <w:sz w:val="11"/>
          <w:szCs w:val="11"/>
          <w:b w:val="1"/>
          <w:bCs w:val="1"/>
          <w:color w:val="auto"/>
        </w:rPr>
        <w:t>Warrant Assumption Agreement</w:t>
      </w:r>
      <w:r>
        <w:rPr>
          <w:rFonts w:ascii="Arial" w:cs="Arial" w:eastAsia="Arial" w:hAnsi="Arial"/>
          <w:sz w:val="11"/>
          <w:szCs w:val="11"/>
          <w:color w:val="auto"/>
        </w:rPr>
        <w:t>") (with such Ordinary Shares issuable upon the exercise</w:t>
      </w:r>
      <w:r>
        <w:rPr>
          <w:rFonts w:ascii="Arial" w:cs="Arial" w:eastAsia="Arial" w:hAnsi="Arial"/>
          <w:sz w:val="11"/>
          <w:szCs w:val="11"/>
          <w:b w:val="1"/>
          <w:bCs w:val="1"/>
          <w:color w:val="auto"/>
        </w:rPr>
        <w:t xml:space="preserve"> </w:t>
      </w:r>
      <w:r>
        <w:rPr>
          <w:rFonts w:ascii="Arial" w:cs="Arial" w:eastAsia="Arial" w:hAnsi="Arial"/>
          <w:sz w:val="11"/>
          <w:szCs w:val="11"/>
          <w:color w:val="auto"/>
        </w:rPr>
        <w:t>of Public Warrants being the "</w:t>
      </w:r>
      <w:r>
        <w:rPr>
          <w:rFonts w:ascii="Arial" w:cs="Arial" w:eastAsia="Arial" w:hAnsi="Arial"/>
          <w:sz w:val="11"/>
          <w:szCs w:val="11"/>
          <w:b w:val="1"/>
          <w:bCs w:val="1"/>
          <w:color w:val="auto"/>
        </w:rPr>
        <w:t>Public Warrant Shares</w:t>
      </w:r>
      <w:r>
        <w:rPr>
          <w:rFonts w:ascii="Arial" w:cs="Arial" w:eastAsia="Arial" w:hAnsi="Arial"/>
          <w:sz w:val="11"/>
          <w:szCs w:val="11"/>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1.5The Company has filed the Registration Statement for the purposes of registering with the Commission under the Securities Act the potential issue, offer and sale or resale from time to time of up to</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185,068,790 Ordinary Shares comprised of:</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1"/>
          <w:szCs w:val="11"/>
          <w:color w:val="auto"/>
        </w:rPr>
        <w:t>(a)114,274,094 Ordinary Shares held by certain existing shareholders of the Company (the "</w:t>
      </w:r>
      <w:r>
        <w:rPr>
          <w:rFonts w:ascii="Arial" w:cs="Arial" w:eastAsia="Arial" w:hAnsi="Arial"/>
          <w:sz w:val="11"/>
          <w:szCs w:val="11"/>
          <w:b w:val="1"/>
          <w:bCs w:val="1"/>
          <w:color w:val="auto"/>
        </w:rPr>
        <w:t>Pre-Closing Shareholders</w:t>
      </w:r>
      <w:r>
        <w:rPr>
          <w:rFonts w:ascii="Arial" w:cs="Arial" w:eastAsia="Arial" w:hAnsi="Arial"/>
          <w:sz w:val="11"/>
          <w:szCs w:val="11"/>
          <w:color w:val="auto"/>
        </w:rPr>
        <w:t>") immediately prior to Closing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412115</wp:posOffset>
            </wp:positionV>
            <wp:extent cx="6778625" cy="349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20"/>
          </w:cols>
          <w:pgMar w:left="740" w:top="1215" w:right="640" w:bottom="1440" w:gutter="0" w:footer="0" w:header="0"/>
        </w:sectPr>
      </w:pPr>
    </w:p>
    <w:bookmarkStart w:id="300" w:name="page301"/>
    <w:bookmarkEnd w:id="300"/>
    <w:p>
      <w:pPr>
        <w:spacing w:after="0"/>
        <w:rPr>
          <w:sz w:val="20"/>
          <w:szCs w:val="20"/>
          <w:color w:val="auto"/>
        </w:rPr>
      </w:pPr>
      <w:r>
        <w:rPr>
          <w:rFonts w:ascii="Arial" w:cs="Arial" w:eastAsia="Arial" w:hAnsi="Arial"/>
          <w:sz w:val="9"/>
          <w:szCs w:val="9"/>
          <w:color w:val="auto"/>
        </w:rPr>
        <w:t>which, on Closing were transferred to GTU Ops Inc. with such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426720</wp:posOffset>
            </wp:positionV>
            <wp:extent cx="6778625" cy="349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020"/>
          </w:cols>
          <w:pgMar w:left="1440" w:top="1214" w:right="1440" w:bottom="1440" w:gutter="0" w:footer="0" w:header="0"/>
        </w:sectPr>
      </w:pPr>
    </w:p>
    <w:bookmarkStart w:id="301" w:name="page302"/>
    <w:bookmarkEnd w:id="301"/>
    <w:p>
      <w:pPr>
        <w:jc w:val="center"/>
        <w:ind w:right="-159"/>
        <w:spacing w:after="0"/>
        <w:rPr>
          <w:sz w:val="20"/>
          <w:szCs w:val="20"/>
          <w:color w:val="auto"/>
        </w:rPr>
      </w:pPr>
      <w:r>
        <w:rPr>
          <w:rFonts w:ascii="Arial" w:cs="Arial" w:eastAsia="Arial" w:hAnsi="Arial"/>
          <w:sz w:val="11"/>
          <w:szCs w:val="11"/>
          <w:color w:val="auto"/>
        </w:rPr>
        <w:t>being represented by depositary receipts issued by Computershare Trust Company, N.A. to those Pre-Closing Shareholders ("</w:t>
      </w:r>
      <w:r>
        <w:rPr>
          <w:rFonts w:ascii="Arial" w:cs="Arial" w:eastAsia="Arial" w:hAnsi="Arial"/>
          <w:sz w:val="11"/>
          <w:szCs w:val="11"/>
          <w:b w:val="1"/>
          <w:bCs w:val="1"/>
          <w:color w:val="auto"/>
        </w:rPr>
        <w:t>Pre-Closing Shares</w:t>
      </w:r>
      <w:r>
        <w:rPr>
          <w:rFonts w:ascii="Arial" w:cs="Arial" w:eastAsia="Arial" w:hAnsi="Arial"/>
          <w:sz w:val="11"/>
          <w:szCs w:val="11"/>
          <w:color w:val="auto"/>
        </w:rPr>
        <w:t>");</w:t>
      </w:r>
    </w:p>
    <w:p>
      <w:pPr>
        <w:spacing w:after="0" w:line="114" w:lineRule="exact"/>
        <w:rPr>
          <w:sz w:val="20"/>
          <w:szCs w:val="20"/>
          <w:color w:val="auto"/>
        </w:rPr>
      </w:pPr>
    </w:p>
    <w:p>
      <w:pPr>
        <w:ind w:left="800" w:right="440"/>
        <w:spacing w:after="0" w:line="259" w:lineRule="auto"/>
        <w:rPr>
          <w:sz w:val="20"/>
          <w:szCs w:val="20"/>
          <w:color w:val="auto"/>
        </w:rPr>
      </w:pPr>
      <w:r>
        <w:rPr>
          <w:rFonts w:ascii="Arial" w:cs="Arial" w:eastAsia="Arial" w:hAnsi="Arial"/>
          <w:sz w:val="11"/>
          <w:szCs w:val="11"/>
          <w:color w:val="auto"/>
        </w:rPr>
        <w:t>(b)532,224 existing Ordinary Shares in addition to those Pre-Closing Shares to which Apeiron Investment Group Ltd ("</w:t>
      </w:r>
      <w:r>
        <w:rPr>
          <w:rFonts w:ascii="Arial" w:cs="Arial" w:eastAsia="Arial" w:hAnsi="Arial"/>
          <w:sz w:val="11"/>
          <w:szCs w:val="11"/>
          <w:b w:val="1"/>
          <w:bCs w:val="1"/>
          <w:color w:val="auto"/>
        </w:rPr>
        <w:t>Apeiron</w:t>
      </w:r>
      <w:r>
        <w:rPr>
          <w:rFonts w:ascii="Arial" w:cs="Arial" w:eastAsia="Arial" w:hAnsi="Arial"/>
          <w:sz w:val="11"/>
          <w:szCs w:val="11"/>
          <w:color w:val="auto"/>
        </w:rPr>
        <w:t>") is interested in at time of Closing and which Apeiron has requested for registration under the Registration Statement (the "</w:t>
      </w:r>
      <w:r>
        <w:rPr>
          <w:rFonts w:ascii="Arial" w:cs="Arial" w:eastAsia="Arial" w:hAnsi="Arial"/>
          <w:sz w:val="11"/>
          <w:szCs w:val="11"/>
          <w:b w:val="1"/>
          <w:bCs w:val="1"/>
          <w:color w:val="auto"/>
        </w:rPr>
        <w:t>Apeiron Additional Shares</w:t>
      </w:r>
      <w:r>
        <w:rPr>
          <w:rFonts w:ascii="Arial" w:cs="Arial" w:eastAsia="Arial" w:hAnsi="Arial"/>
          <w:sz w:val="11"/>
          <w:szCs w:val="11"/>
          <w:color w:val="auto"/>
        </w:rPr>
        <w:t>");</w:t>
      </w:r>
    </w:p>
    <w:p>
      <w:pPr>
        <w:spacing w:after="0" w:line="80" w:lineRule="exact"/>
        <w:rPr>
          <w:sz w:val="20"/>
          <w:szCs w:val="20"/>
          <w:color w:val="auto"/>
        </w:rPr>
      </w:pPr>
    </w:p>
    <w:p>
      <w:pPr>
        <w:ind w:left="800" w:right="560"/>
        <w:spacing w:after="0" w:line="243" w:lineRule="auto"/>
        <w:rPr>
          <w:sz w:val="20"/>
          <w:szCs w:val="20"/>
          <w:color w:val="auto"/>
        </w:rPr>
      </w:pPr>
      <w:r>
        <w:rPr>
          <w:rFonts w:ascii="Arial" w:cs="Arial" w:eastAsia="Arial" w:hAnsi="Arial"/>
          <w:sz w:val="11"/>
          <w:szCs w:val="11"/>
          <w:color w:val="auto"/>
        </w:rPr>
        <w:t>(c)5,709,500 Ordinary Shares issued to GTU Ops Inc. in connection with the Closing, with such Ordinary Shares represented by depositary receipts issued by Computershare Trust Company, N.A. to certain persons that held Armada common stock pursuant to the exchange of Ordinary Shares with Armada common stock in connection with the Closing ("</w:t>
      </w:r>
      <w:r>
        <w:rPr>
          <w:rFonts w:ascii="Arial" w:cs="Arial" w:eastAsia="Arial" w:hAnsi="Arial"/>
          <w:sz w:val="11"/>
          <w:szCs w:val="11"/>
          <w:b w:val="1"/>
          <w:bCs w:val="1"/>
          <w:color w:val="auto"/>
        </w:rPr>
        <w:t>Armada</w:t>
      </w:r>
      <w:r>
        <w:rPr>
          <w:rFonts w:ascii="Arial" w:cs="Arial" w:eastAsia="Arial" w:hAnsi="Arial"/>
          <w:sz w:val="11"/>
          <w:szCs w:val="11"/>
          <w:color w:val="auto"/>
        </w:rPr>
        <w:t xml:space="preserve"> </w:t>
      </w:r>
      <w:r>
        <w:rPr>
          <w:rFonts w:ascii="Arial" w:cs="Arial" w:eastAsia="Arial" w:hAnsi="Arial"/>
          <w:sz w:val="11"/>
          <w:szCs w:val="11"/>
          <w:b w:val="1"/>
          <w:bCs w:val="1"/>
          <w:color w:val="auto"/>
        </w:rPr>
        <w:t>Sponsor Shares</w:t>
      </w:r>
      <w:r>
        <w:rPr>
          <w:rFonts w:ascii="Arial" w:cs="Arial" w:eastAsia="Arial" w:hAnsi="Arial"/>
          <w:sz w:val="11"/>
          <w:szCs w:val="11"/>
          <w:color w:val="auto"/>
        </w:rPr>
        <w:t>");</w:t>
      </w:r>
    </w:p>
    <w:p>
      <w:pPr>
        <w:spacing w:after="0" w:line="96" w:lineRule="exact"/>
        <w:rPr>
          <w:sz w:val="20"/>
          <w:szCs w:val="20"/>
          <w:color w:val="auto"/>
        </w:rPr>
      </w:pPr>
    </w:p>
    <w:p>
      <w:pPr>
        <w:ind w:left="800" w:right="420"/>
        <w:spacing w:after="0" w:line="234" w:lineRule="auto"/>
        <w:rPr>
          <w:sz w:val="20"/>
          <w:szCs w:val="20"/>
          <w:color w:val="auto"/>
        </w:rPr>
      </w:pPr>
      <w:r>
        <w:rPr>
          <w:rFonts w:ascii="Arial" w:cs="Arial" w:eastAsia="Arial" w:hAnsi="Arial"/>
          <w:sz w:val="11"/>
          <w:szCs w:val="11"/>
          <w:color w:val="auto"/>
        </w:rPr>
        <w:t xml:space="preserve">(d)25,844,183 Ordinary Shares issuable upon the conversion of convertible loan notes (with total principal of US$49,892,080) issued to certain persons and constituted under a loan note instrument (" </w:t>
      </w:r>
      <w:r>
        <w:rPr>
          <w:rFonts w:ascii="Arial" w:cs="Arial" w:eastAsia="Arial" w:hAnsi="Arial"/>
          <w:sz w:val="11"/>
          <w:szCs w:val="11"/>
          <w:b w:val="1"/>
          <w:bCs w:val="1"/>
          <w:color w:val="auto"/>
        </w:rPr>
        <w:t>CLN Instrument</w:t>
      </w:r>
      <w:r>
        <w:rPr>
          <w:rFonts w:ascii="Arial" w:cs="Arial" w:eastAsia="Arial" w:hAnsi="Arial"/>
          <w:sz w:val="11"/>
          <w:szCs w:val="11"/>
          <w:color w:val="auto"/>
        </w:rPr>
        <w:t>") originally made by Rezolve Limited and dated 16 December 2021, as amended and restated on 21 November 2022 and 23 May 2023 and as further amended on 18 December</w:t>
      </w:r>
    </w:p>
    <w:p>
      <w:pPr>
        <w:ind w:left="1520" w:right="260"/>
        <w:spacing w:after="0"/>
        <w:rPr>
          <w:sz w:val="20"/>
          <w:szCs w:val="20"/>
          <w:color w:val="auto"/>
        </w:rPr>
      </w:pPr>
      <w:r>
        <w:rPr>
          <w:rFonts w:ascii="Arial" w:cs="Arial" w:eastAsia="Arial" w:hAnsi="Arial"/>
          <w:sz w:val="11"/>
          <w:szCs w:val="11"/>
          <w:color w:val="auto"/>
        </w:rPr>
        <w:t>2023, 29 December 2023 and 26 January 2024, and novated from Rezolve Limited to the Company by a deed of novation dated 4 July 2024 (the "</w:t>
      </w:r>
      <w:r>
        <w:rPr>
          <w:rFonts w:ascii="Arial" w:cs="Arial" w:eastAsia="Arial" w:hAnsi="Arial"/>
          <w:sz w:val="11"/>
          <w:szCs w:val="11"/>
          <w:b w:val="1"/>
          <w:bCs w:val="1"/>
          <w:color w:val="auto"/>
        </w:rPr>
        <w:t>Convertible Loan Notes</w:t>
      </w:r>
      <w:r>
        <w:rPr>
          <w:rFonts w:ascii="Arial" w:cs="Arial" w:eastAsia="Arial" w:hAnsi="Arial"/>
          <w:sz w:val="11"/>
          <w:szCs w:val="11"/>
          <w:color w:val="auto"/>
        </w:rPr>
        <w:t>", and with such Ordinary Shares issuable upon the conversion of Convertible Loan Notes being the "</w:t>
      </w:r>
      <w:r>
        <w:rPr>
          <w:rFonts w:ascii="Arial" w:cs="Arial" w:eastAsia="Arial" w:hAnsi="Arial"/>
          <w:sz w:val="11"/>
          <w:szCs w:val="11"/>
          <w:b w:val="1"/>
          <w:bCs w:val="1"/>
          <w:color w:val="auto"/>
        </w:rPr>
        <w:t>CLN Shares</w:t>
      </w:r>
      <w:r>
        <w:rPr>
          <w:rFonts w:ascii="Arial" w:cs="Arial" w:eastAsia="Arial" w:hAnsi="Arial"/>
          <w:sz w:val="11"/>
          <w:szCs w:val="11"/>
          <w:color w:val="auto"/>
        </w:rPr>
        <w:t>");</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1"/>
          <w:szCs w:val="11"/>
          <w:color w:val="auto"/>
        </w:rPr>
        <w:t>(e)4,838,779 Ordinary Shares issuable in connection with the terms of the second amended and restated Standby Equity Purchase Agreement entered into between YA II PN, Ltd</w:t>
      </w:r>
    </w:p>
    <w:p>
      <w:pPr>
        <w:spacing w:after="0" w:line="4" w:lineRule="exact"/>
        <w:rPr>
          <w:sz w:val="20"/>
          <w:szCs w:val="20"/>
          <w:color w:val="auto"/>
        </w:rPr>
      </w:pPr>
    </w:p>
    <w:p>
      <w:pPr>
        <w:ind w:left="800" w:right="400"/>
        <w:spacing w:after="0" w:line="346" w:lineRule="auto"/>
        <w:rPr>
          <w:sz w:val="20"/>
          <w:szCs w:val="20"/>
          <w:color w:val="auto"/>
        </w:rPr>
      </w:pPr>
      <w:r>
        <w:rPr>
          <w:rFonts w:ascii="Arial" w:cs="Arial" w:eastAsia="Arial" w:hAnsi="Arial"/>
          <w:sz w:val="9"/>
          <w:szCs w:val="9"/>
          <w:color w:val="auto"/>
        </w:rPr>
        <w:t>("</w:t>
      </w:r>
      <w:r>
        <w:rPr>
          <w:rFonts w:ascii="Arial" w:cs="Arial" w:eastAsia="Arial" w:hAnsi="Arial"/>
          <w:sz w:val="9"/>
          <w:szCs w:val="9"/>
          <w:b w:val="1"/>
          <w:bCs w:val="1"/>
          <w:color w:val="auto"/>
        </w:rPr>
        <w:t>Yorkville</w:t>
      </w:r>
      <w:r>
        <w:rPr>
          <w:rFonts w:ascii="Arial" w:cs="Arial" w:eastAsia="Arial" w:hAnsi="Arial"/>
          <w:sz w:val="9"/>
          <w:szCs w:val="9"/>
          <w:color w:val="auto"/>
        </w:rPr>
        <w:t>"), Armada, Rezolve Limited and the Company dated 2 February 2024 as amended and restated on 6 September 2024 (the "</w:t>
      </w:r>
      <w:r>
        <w:rPr>
          <w:rFonts w:ascii="Arial" w:cs="Arial" w:eastAsia="Arial" w:hAnsi="Arial"/>
          <w:sz w:val="9"/>
          <w:szCs w:val="9"/>
          <w:b w:val="1"/>
          <w:bCs w:val="1"/>
          <w:color w:val="auto"/>
        </w:rPr>
        <w:t>SEPA</w:t>
      </w:r>
      <w:r>
        <w:rPr>
          <w:rFonts w:ascii="Arial" w:cs="Arial" w:eastAsia="Arial" w:hAnsi="Arial"/>
          <w:sz w:val="9"/>
          <w:szCs w:val="9"/>
          <w:color w:val="auto"/>
        </w:rPr>
        <w:t>") under which Yorkville may purchase up to US$250 million Ordinary Shares in accordance with the terms of the SEPA (such Ordinary Shares issuable to Yorkville under the SEPA being the "</w:t>
      </w:r>
      <w:r>
        <w:rPr>
          <w:rFonts w:ascii="Arial" w:cs="Arial" w:eastAsia="Arial" w:hAnsi="Arial"/>
          <w:sz w:val="9"/>
          <w:szCs w:val="9"/>
          <w:b w:val="1"/>
          <w:bCs w:val="1"/>
          <w:color w:val="auto"/>
        </w:rPr>
        <w:t>SEPA Shares</w:t>
      </w:r>
      <w:r>
        <w:rPr>
          <w:rFonts w:ascii="Arial" w:cs="Arial" w:eastAsia="Arial" w:hAnsi="Arial"/>
          <w:sz w:val="9"/>
          <w:szCs w:val="9"/>
          <w:color w:val="auto"/>
        </w:rPr>
        <w:t>");</w:t>
      </w:r>
    </w:p>
    <w:p>
      <w:pPr>
        <w:spacing w:after="0" w:line="52" w:lineRule="exact"/>
        <w:rPr>
          <w:sz w:val="20"/>
          <w:szCs w:val="20"/>
          <w:color w:val="auto"/>
        </w:rPr>
      </w:pPr>
    </w:p>
    <w:p>
      <w:pPr>
        <w:ind w:left="800"/>
        <w:spacing w:after="0"/>
        <w:rPr>
          <w:sz w:val="20"/>
          <w:szCs w:val="20"/>
          <w:color w:val="auto"/>
        </w:rPr>
      </w:pPr>
      <w:r>
        <w:rPr>
          <w:rFonts w:ascii="Arial" w:cs="Arial" w:eastAsia="Arial" w:hAnsi="Arial"/>
          <w:sz w:val="9"/>
          <w:szCs w:val="9"/>
          <w:color w:val="auto"/>
        </w:rPr>
        <w:t>(f)1,616,802 Ordinary Shares issuable upon the conversion of convertible promissory notes with total original principal value of US$10,349,906 (the "</w:t>
      </w:r>
      <w:r>
        <w:rPr>
          <w:rFonts w:ascii="Arial" w:cs="Arial" w:eastAsia="Arial" w:hAnsi="Arial"/>
          <w:sz w:val="9"/>
          <w:szCs w:val="9"/>
          <w:b w:val="1"/>
          <w:bCs w:val="1"/>
          <w:color w:val="auto"/>
        </w:rPr>
        <w:t>Convertible Promissory Notes</w:t>
      </w:r>
      <w:r>
        <w:rPr>
          <w:rFonts w:ascii="Arial" w:cs="Arial" w:eastAsia="Arial" w:hAnsi="Arial"/>
          <w:sz w:val="9"/>
          <w:szCs w:val="9"/>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1"/>
          <w:szCs w:val="11"/>
          <w:color w:val="auto"/>
        </w:rPr>
        <w:t>consisting of:</w:t>
      </w:r>
    </w:p>
    <w:p>
      <w:pPr>
        <w:spacing w:after="0" w:line="104"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(i)1,071,429 Ordinary Shares issuable upon conversion of:</w:t>
      </w:r>
    </w:p>
    <w:p>
      <w:pPr>
        <w:spacing w:after="0" w:line="106"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(A)a Convertible Promissory Note with original principal amount of</w:t>
      </w:r>
    </w:p>
    <w:p>
      <w:pPr>
        <w:spacing w:after="0" w:line="4" w:lineRule="exact"/>
        <w:rPr>
          <w:sz w:val="20"/>
          <w:szCs w:val="20"/>
          <w:color w:val="auto"/>
        </w:rPr>
      </w:pPr>
    </w:p>
    <w:p>
      <w:pPr>
        <w:ind w:left="2940" w:right="420"/>
        <w:spacing w:after="0"/>
        <w:rPr>
          <w:sz w:val="20"/>
          <w:szCs w:val="20"/>
          <w:color w:val="auto"/>
        </w:rPr>
      </w:pPr>
      <w:r>
        <w:rPr>
          <w:rFonts w:ascii="Arial" w:cs="Arial" w:eastAsia="Arial" w:hAnsi="Arial"/>
          <w:sz w:val="11"/>
          <w:szCs w:val="11"/>
          <w:color w:val="auto"/>
        </w:rPr>
        <w:t>$2.5 million issued pursuant to the Company's obligations under the SEPA and constituted under a Convertible Promissory Note instrument dated 2 February 2024 ("</w:t>
      </w:r>
      <w:r>
        <w:rPr>
          <w:rFonts w:ascii="Arial" w:cs="Arial" w:eastAsia="Arial" w:hAnsi="Arial"/>
          <w:sz w:val="11"/>
          <w:szCs w:val="11"/>
          <w:b w:val="1"/>
          <w:bCs w:val="1"/>
          <w:color w:val="auto"/>
        </w:rPr>
        <w:t>Yorkville CPN Instrument</w:t>
      </w:r>
      <w:r>
        <w:rPr>
          <w:rFonts w:ascii="Arial" w:cs="Arial" w:eastAsia="Arial" w:hAnsi="Arial"/>
          <w:sz w:val="11"/>
          <w:szCs w:val="11"/>
          <w:color w:val="auto"/>
        </w:rPr>
        <w:t>"); and</w:t>
      </w:r>
    </w:p>
    <w:p>
      <w:pPr>
        <w:spacing w:after="0" w:line="90"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(B)a Convertible Promissory Note with original principal amount of</w:t>
      </w:r>
    </w:p>
    <w:p>
      <w:pPr>
        <w:spacing w:after="0" w:line="4" w:lineRule="exact"/>
        <w:rPr>
          <w:sz w:val="20"/>
          <w:szCs w:val="20"/>
          <w:color w:val="auto"/>
        </w:rPr>
      </w:pPr>
    </w:p>
    <w:p>
      <w:pPr>
        <w:ind w:left="2940" w:right="440"/>
        <w:spacing w:after="0" w:line="346" w:lineRule="auto"/>
        <w:rPr>
          <w:sz w:val="20"/>
          <w:szCs w:val="20"/>
          <w:color w:val="auto"/>
        </w:rPr>
      </w:pPr>
      <w:r>
        <w:rPr>
          <w:rFonts w:ascii="Arial" w:cs="Arial" w:eastAsia="Arial" w:hAnsi="Arial"/>
          <w:sz w:val="9"/>
          <w:szCs w:val="9"/>
          <w:color w:val="auto"/>
        </w:rPr>
        <w:t>$5 million issued pursuant to the Company's obligations under the SEPA (as amended and restated on 6 September 2024) and constituted under a Convertible Promissory Note instrument dated 9 September 2024 ("</w:t>
      </w:r>
      <w:r>
        <w:rPr>
          <w:rFonts w:ascii="Arial" w:cs="Arial" w:eastAsia="Arial" w:hAnsi="Arial"/>
          <w:sz w:val="9"/>
          <w:szCs w:val="9"/>
          <w:b w:val="1"/>
          <w:bCs w:val="1"/>
          <w:color w:val="auto"/>
        </w:rPr>
        <w:t>Additional Yorkville CPN Instrument</w:t>
      </w:r>
      <w:r>
        <w:rPr>
          <w:rFonts w:ascii="Arial" w:cs="Arial" w:eastAsia="Arial" w:hAnsi="Arial"/>
          <w:sz w:val="9"/>
          <w:szCs w:val="9"/>
          <w:color w:val="auto"/>
        </w:rPr>
        <w:t>"); and</w:t>
      </w:r>
    </w:p>
    <w:p>
      <w:pPr>
        <w:spacing w:after="0" w:line="52" w:lineRule="exact"/>
        <w:rPr>
          <w:sz w:val="20"/>
          <w:szCs w:val="20"/>
          <w:color w:val="auto"/>
        </w:rPr>
      </w:pPr>
    </w:p>
    <w:p>
      <w:pPr>
        <w:ind w:left="1520" w:right="380"/>
        <w:spacing w:after="0" w:line="239" w:lineRule="auto"/>
        <w:rPr>
          <w:sz w:val="20"/>
          <w:szCs w:val="20"/>
          <w:color w:val="auto"/>
        </w:rPr>
      </w:pPr>
      <w:r>
        <w:rPr>
          <w:rFonts w:ascii="Arial" w:cs="Arial" w:eastAsia="Arial" w:hAnsi="Arial"/>
          <w:sz w:val="11"/>
          <w:szCs w:val="11"/>
          <w:color w:val="auto"/>
        </w:rPr>
        <w:t>(ii)545,373 Ordinary Shares issuable upon conversion of multiple Convertible Promissory Notes with total original principal amount of US$2,849,906 issued to certain other persons that entered into subscription agreements with Rezolve Limited and the Company on or around February 2024 and constituted under multiple Convertible Promissory Note instruments dated on around February 2024 (such</w:t>
      </w: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289" w:right="1440" w:bottom="1440" w:gutter="0" w:footer="0" w:header="0"/>
        </w:sectPr>
      </w:pPr>
    </w:p>
    <w:bookmarkStart w:id="302" w:name="page303"/>
    <w:bookmarkEnd w:id="302"/>
    <w:p>
      <w:pPr>
        <w:ind w:left="2240"/>
        <w:spacing w:after="0"/>
        <w:rPr>
          <w:sz w:val="20"/>
          <w:szCs w:val="20"/>
          <w:color w:val="auto"/>
        </w:rPr>
      </w:pPr>
      <w:r>
        <w:rPr>
          <w:rFonts w:ascii="Arial" w:cs="Arial" w:eastAsia="Arial" w:hAnsi="Arial"/>
          <w:sz w:val="11"/>
          <w:szCs w:val="11"/>
          <w:color w:val="auto"/>
        </w:rPr>
        <w:t>instruments together with the Yorkville CPN Instrument and Additional Yorkville CPN Instrument being the "</w:t>
      </w:r>
      <w:r>
        <w:rPr>
          <w:rFonts w:ascii="Arial" w:cs="Arial" w:eastAsia="Arial" w:hAnsi="Arial"/>
          <w:sz w:val="11"/>
          <w:szCs w:val="11"/>
          <w:b w:val="1"/>
          <w:bCs w:val="1"/>
          <w:color w:val="auto"/>
        </w:rPr>
        <w:t>CPN Instruments</w:t>
      </w:r>
      <w:r>
        <w:rPr>
          <w:rFonts w:ascii="Arial" w:cs="Arial" w:eastAsia="Arial" w:hAnsi="Arial"/>
          <w:sz w:val="11"/>
          <w:szCs w:val="11"/>
          <w:color w:val="auto"/>
        </w:rPr>
        <w:t>"),</w:t>
      </w:r>
    </w:p>
    <w:p>
      <w:pPr>
        <w:spacing w:after="0" w:line="114"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with such Ordinary Shares issuable upon the conversion of Convertible Promissory Notes being the "</w:t>
      </w:r>
      <w:r>
        <w:rPr>
          <w:rFonts w:ascii="Arial" w:cs="Arial" w:eastAsia="Arial" w:hAnsi="Arial"/>
          <w:sz w:val="11"/>
          <w:szCs w:val="11"/>
          <w:b w:val="1"/>
          <w:bCs w:val="1"/>
          <w:color w:val="auto"/>
        </w:rPr>
        <w:t>CPN Shares</w:t>
      </w:r>
      <w:r>
        <w:rPr>
          <w:rFonts w:ascii="Arial" w:cs="Arial" w:eastAsia="Arial" w:hAnsi="Arial"/>
          <w:sz w:val="11"/>
          <w:szCs w:val="11"/>
          <w:color w:val="auto"/>
        </w:rPr>
        <w:t>";</w:t>
      </w:r>
    </w:p>
    <w:p>
      <w:pPr>
        <w:spacing w:after="0" w:line="106" w:lineRule="exact"/>
        <w:rPr>
          <w:sz w:val="20"/>
          <w:szCs w:val="20"/>
          <w:color w:val="auto"/>
        </w:rPr>
      </w:pPr>
    </w:p>
    <w:p>
      <w:pPr>
        <w:ind w:left="800" w:right="280"/>
        <w:spacing w:after="0" w:line="238" w:lineRule="auto"/>
        <w:rPr>
          <w:sz w:val="20"/>
          <w:szCs w:val="20"/>
          <w:color w:val="auto"/>
        </w:rPr>
      </w:pPr>
      <w:r>
        <w:rPr>
          <w:rFonts w:ascii="Arial" w:cs="Arial" w:eastAsia="Arial" w:hAnsi="Arial"/>
          <w:sz w:val="11"/>
          <w:szCs w:val="11"/>
          <w:color w:val="auto"/>
        </w:rPr>
        <w:t>(g)569,982 Ordinary Shares issuable on exercise of private warrants issued by the Company immediately upon the Company's listing on NASDAQ to certain holders of Convertible Promissory Notes in accordance with the terms of their subscription agreements entered into with Rezolve Limited and the Company on or around February 2024 ("</w:t>
      </w:r>
      <w:r>
        <w:rPr>
          <w:rFonts w:ascii="Arial" w:cs="Arial" w:eastAsia="Arial" w:hAnsi="Arial"/>
          <w:sz w:val="11"/>
          <w:szCs w:val="11"/>
          <w:b w:val="1"/>
          <w:bCs w:val="1"/>
          <w:color w:val="auto"/>
        </w:rPr>
        <w:t>Private Warrants</w:t>
      </w:r>
      <w:r>
        <w:rPr>
          <w:rFonts w:ascii="Arial" w:cs="Arial" w:eastAsia="Arial" w:hAnsi="Arial"/>
          <w:sz w:val="11"/>
          <w:szCs w:val="11"/>
          <w:color w:val="auto"/>
        </w:rPr>
        <w:t>"), with such Private Warrants being subject to the terms and conditions of a warrant instrument dated 15 August 2024 (the "</w:t>
      </w:r>
      <w:r>
        <w:rPr>
          <w:rFonts w:ascii="Arial" w:cs="Arial" w:eastAsia="Arial" w:hAnsi="Arial"/>
          <w:sz w:val="11"/>
          <w:szCs w:val="11"/>
          <w:b w:val="1"/>
          <w:bCs w:val="1"/>
          <w:color w:val="auto"/>
        </w:rPr>
        <w:t>Private Warrant Instrument</w:t>
      </w:r>
      <w:r>
        <w:rPr>
          <w:rFonts w:ascii="Arial" w:cs="Arial" w:eastAsia="Arial" w:hAnsi="Arial"/>
          <w:sz w:val="11"/>
          <w:szCs w:val="11"/>
          <w:color w:val="auto"/>
        </w:rPr>
        <w:t>", and with such Ordinary Shares issuable upon the exercise of Private Warrants being the "</w:t>
      </w:r>
      <w:r>
        <w:rPr>
          <w:rFonts w:ascii="Arial" w:cs="Arial" w:eastAsia="Arial" w:hAnsi="Arial"/>
          <w:sz w:val="11"/>
          <w:szCs w:val="11"/>
          <w:b w:val="1"/>
          <w:bCs w:val="1"/>
          <w:color w:val="auto"/>
        </w:rPr>
        <w:t>Private Warrant Shares</w:t>
      </w:r>
      <w:r>
        <w:rPr>
          <w:rFonts w:ascii="Arial" w:cs="Arial" w:eastAsia="Arial" w:hAnsi="Arial"/>
          <w:sz w:val="11"/>
          <w:szCs w:val="11"/>
          <w:color w:val="auto"/>
        </w:rPr>
        <w:t>");</w:t>
      </w:r>
    </w:p>
    <w:p>
      <w:pPr>
        <w:spacing w:after="0" w:line="98" w:lineRule="exact"/>
        <w:rPr>
          <w:sz w:val="20"/>
          <w:szCs w:val="20"/>
          <w:color w:val="auto"/>
        </w:rPr>
      </w:pPr>
    </w:p>
    <w:p>
      <w:pPr>
        <w:ind w:left="800" w:right="300"/>
        <w:spacing w:after="0" w:line="243" w:lineRule="auto"/>
        <w:rPr>
          <w:sz w:val="20"/>
          <w:szCs w:val="20"/>
          <w:color w:val="auto"/>
        </w:rPr>
      </w:pPr>
      <w:r>
        <w:rPr>
          <w:rFonts w:ascii="Arial" w:cs="Arial" w:eastAsia="Arial" w:hAnsi="Arial"/>
          <w:sz w:val="11"/>
          <w:szCs w:val="11"/>
          <w:color w:val="auto"/>
        </w:rPr>
        <w:t>(h)1,188,888 Ordinary Shares issuable on conversion of the promissory note issued by Armada to J.V.B. Financial Group, LLC with original principal amount of US$7,500,000 pursuant to a promissory note dated 14 August 2024 ("</w:t>
      </w:r>
      <w:r>
        <w:rPr>
          <w:rFonts w:ascii="Arial" w:cs="Arial" w:eastAsia="Arial" w:hAnsi="Arial"/>
          <w:sz w:val="11"/>
          <w:szCs w:val="11"/>
          <w:b w:val="1"/>
          <w:bCs w:val="1"/>
          <w:color w:val="auto"/>
        </w:rPr>
        <w:t>JVB Note</w:t>
      </w:r>
      <w:r>
        <w:rPr>
          <w:rFonts w:ascii="Arial" w:cs="Arial" w:eastAsia="Arial" w:hAnsi="Arial"/>
          <w:sz w:val="11"/>
          <w:szCs w:val="11"/>
          <w:color w:val="auto"/>
        </w:rPr>
        <w:t>") executed by Armada and guaranteed by the Company, Rezolve Limited and Rezolve Group Limited (with such Ordinary Shares issuable on conversion of the JVB Note being the "</w:t>
      </w:r>
      <w:r>
        <w:rPr>
          <w:rFonts w:ascii="Arial" w:cs="Arial" w:eastAsia="Arial" w:hAnsi="Arial"/>
          <w:sz w:val="11"/>
          <w:szCs w:val="11"/>
          <w:b w:val="1"/>
          <w:bCs w:val="1"/>
          <w:color w:val="auto"/>
        </w:rPr>
        <w:t>JVB Shares</w:t>
      </w:r>
      <w:r>
        <w:rPr>
          <w:rFonts w:ascii="Arial" w:cs="Arial" w:eastAsia="Arial" w:hAnsi="Arial"/>
          <w:sz w:val="11"/>
          <w:szCs w:val="11"/>
          <w:color w:val="auto"/>
        </w:rPr>
        <w:t>");</w:t>
      </w:r>
    </w:p>
    <w:p>
      <w:pPr>
        <w:spacing w:after="0" w:line="88" w:lineRule="exact"/>
        <w:rPr>
          <w:sz w:val="20"/>
          <w:szCs w:val="20"/>
          <w:color w:val="auto"/>
        </w:rPr>
      </w:pPr>
    </w:p>
    <w:p>
      <w:pPr>
        <w:ind w:left="800" w:right="520"/>
        <w:spacing w:after="0" w:line="243" w:lineRule="auto"/>
        <w:rPr>
          <w:sz w:val="20"/>
          <w:szCs w:val="20"/>
          <w:color w:val="auto"/>
        </w:rPr>
      </w:pPr>
      <w:r>
        <w:rPr>
          <w:rFonts w:ascii="Arial" w:cs="Arial" w:eastAsia="Arial" w:hAnsi="Arial"/>
          <w:sz w:val="11"/>
          <w:szCs w:val="11"/>
          <w:color w:val="auto"/>
        </w:rPr>
        <w:t>(i)12,579,532 Ordinary Shares issuable on conversion of the convertible note issued by the Company to Cohen &amp; Company Financial Management LLC ("</w:t>
      </w:r>
      <w:r>
        <w:rPr>
          <w:rFonts w:ascii="Arial" w:cs="Arial" w:eastAsia="Arial" w:hAnsi="Arial"/>
          <w:sz w:val="11"/>
          <w:szCs w:val="11"/>
          <w:b w:val="1"/>
          <w:bCs w:val="1"/>
          <w:color w:val="auto"/>
        </w:rPr>
        <w:t>Cohen</w:t>
      </w:r>
      <w:r>
        <w:rPr>
          <w:rFonts w:ascii="Arial" w:cs="Arial" w:eastAsia="Arial" w:hAnsi="Arial"/>
          <w:sz w:val="11"/>
          <w:szCs w:val="11"/>
          <w:color w:val="auto"/>
        </w:rPr>
        <w:t>") pursuant to the unsecured convertible note ("</w:t>
      </w:r>
      <w:r>
        <w:rPr>
          <w:rFonts w:ascii="Arial" w:cs="Arial" w:eastAsia="Arial" w:hAnsi="Arial"/>
          <w:sz w:val="11"/>
          <w:szCs w:val="11"/>
          <w:b w:val="1"/>
          <w:bCs w:val="1"/>
          <w:color w:val="auto"/>
        </w:rPr>
        <w:t>Cohen Note</w:t>
      </w:r>
      <w:r>
        <w:rPr>
          <w:rFonts w:ascii="Arial" w:cs="Arial" w:eastAsia="Arial" w:hAnsi="Arial"/>
          <w:sz w:val="11"/>
          <w:szCs w:val="11"/>
          <w:color w:val="auto"/>
        </w:rPr>
        <w:t>") executed by the Company, Armada Sponsor LLC and Cohen dated 14 August 2024 with a principal amount of US$3,144,883.06 (with such Ordinary Shares issuable on conversion of the Cohen Note being the "</w:t>
      </w:r>
      <w:r>
        <w:rPr>
          <w:rFonts w:ascii="Arial" w:cs="Arial" w:eastAsia="Arial" w:hAnsi="Arial"/>
          <w:sz w:val="11"/>
          <w:szCs w:val="11"/>
          <w:b w:val="1"/>
          <w:bCs w:val="1"/>
          <w:color w:val="auto"/>
        </w:rPr>
        <w:t>Cohen Shares</w:t>
      </w:r>
      <w:r>
        <w:rPr>
          <w:rFonts w:ascii="Arial" w:cs="Arial" w:eastAsia="Arial" w:hAnsi="Arial"/>
          <w:sz w:val="11"/>
          <w:szCs w:val="11"/>
          <w:color w:val="auto"/>
        </w:rPr>
        <w:t>");</w:t>
      </w:r>
    </w:p>
    <w:p>
      <w:pPr>
        <w:spacing w:after="0" w:line="96" w:lineRule="exact"/>
        <w:rPr>
          <w:sz w:val="20"/>
          <w:szCs w:val="20"/>
          <w:color w:val="auto"/>
        </w:rPr>
      </w:pPr>
    </w:p>
    <w:p>
      <w:pPr>
        <w:ind w:left="800" w:right="280"/>
        <w:spacing w:after="0" w:line="243" w:lineRule="auto"/>
        <w:rPr>
          <w:sz w:val="20"/>
          <w:szCs w:val="20"/>
          <w:color w:val="auto"/>
        </w:rPr>
      </w:pPr>
      <w:r>
        <w:rPr>
          <w:rFonts w:ascii="Arial" w:cs="Arial" w:eastAsia="Arial" w:hAnsi="Arial"/>
          <w:sz w:val="11"/>
          <w:szCs w:val="11"/>
          <w:color w:val="auto"/>
        </w:rPr>
        <w:t xml:space="preserve">(j)50,000 Ordinary Shares that may be issued to Berenberg Capital Markets LLC (" </w:t>
      </w:r>
      <w:r>
        <w:rPr>
          <w:rFonts w:ascii="Arial" w:cs="Arial" w:eastAsia="Arial" w:hAnsi="Arial"/>
          <w:sz w:val="11"/>
          <w:szCs w:val="11"/>
          <w:b w:val="1"/>
          <w:bCs w:val="1"/>
          <w:color w:val="auto"/>
        </w:rPr>
        <w:t>Berenberg</w:t>
      </w:r>
      <w:r>
        <w:rPr>
          <w:rFonts w:ascii="Arial" w:cs="Arial" w:eastAsia="Arial" w:hAnsi="Arial"/>
          <w:sz w:val="11"/>
          <w:szCs w:val="11"/>
          <w:color w:val="auto"/>
        </w:rPr>
        <w:t>") in connection with certain services provided by Berenberg as financial adviser to the Company, and pursuant to a letter dated 25 July 2024 between Berenberg and the Company ("</w:t>
      </w:r>
      <w:r>
        <w:rPr>
          <w:rFonts w:ascii="Arial" w:cs="Arial" w:eastAsia="Arial" w:hAnsi="Arial"/>
          <w:sz w:val="11"/>
          <w:szCs w:val="11"/>
          <w:b w:val="1"/>
          <w:bCs w:val="1"/>
          <w:color w:val="auto"/>
        </w:rPr>
        <w:t>Berenberg Letter</w:t>
      </w:r>
      <w:r>
        <w:rPr>
          <w:rFonts w:ascii="Arial" w:cs="Arial" w:eastAsia="Arial" w:hAnsi="Arial"/>
          <w:sz w:val="11"/>
          <w:szCs w:val="11"/>
          <w:color w:val="auto"/>
        </w:rPr>
        <w:t>") under which fees of Berenberg shall be satisfied in Ordinary Shares (with such Ordinary Shares issuable under the Berenberg Letter being the "</w:t>
      </w:r>
      <w:r>
        <w:rPr>
          <w:rFonts w:ascii="Arial" w:cs="Arial" w:eastAsia="Arial" w:hAnsi="Arial"/>
          <w:sz w:val="11"/>
          <w:szCs w:val="11"/>
          <w:b w:val="1"/>
          <w:bCs w:val="1"/>
          <w:color w:val="auto"/>
        </w:rPr>
        <w:t>Berenberg Shares</w:t>
      </w:r>
      <w:r>
        <w:rPr>
          <w:rFonts w:ascii="Arial" w:cs="Arial" w:eastAsia="Arial" w:hAnsi="Arial"/>
          <w:sz w:val="11"/>
          <w:szCs w:val="11"/>
          <w:color w:val="auto"/>
        </w:rPr>
        <w:t>");</w:t>
      </w:r>
    </w:p>
    <w:p>
      <w:pPr>
        <w:spacing w:after="0" w:line="96" w:lineRule="exact"/>
        <w:rPr>
          <w:sz w:val="20"/>
          <w:szCs w:val="20"/>
          <w:color w:val="auto"/>
        </w:rPr>
      </w:pPr>
    </w:p>
    <w:p>
      <w:pPr>
        <w:ind w:left="800" w:right="260"/>
        <w:spacing w:after="0" w:line="243" w:lineRule="auto"/>
        <w:rPr>
          <w:sz w:val="20"/>
          <w:szCs w:val="20"/>
          <w:color w:val="auto"/>
        </w:rPr>
      </w:pPr>
      <w:r>
        <w:rPr>
          <w:rFonts w:ascii="Arial" w:cs="Arial" w:eastAsia="Arial" w:hAnsi="Arial"/>
          <w:sz w:val="11"/>
          <w:szCs w:val="11"/>
          <w:color w:val="auto"/>
        </w:rPr>
        <w:t>(k)1,930,036 Ordinary Shares that may be issued to Cantor Fitzgerald &amp; Co. ("</w:t>
      </w:r>
      <w:r>
        <w:rPr>
          <w:rFonts w:ascii="Arial" w:cs="Arial" w:eastAsia="Arial" w:hAnsi="Arial"/>
          <w:sz w:val="11"/>
          <w:szCs w:val="11"/>
          <w:b w:val="1"/>
          <w:bCs w:val="1"/>
          <w:color w:val="auto"/>
        </w:rPr>
        <w:t>Cantor</w:t>
      </w:r>
      <w:r>
        <w:rPr>
          <w:rFonts w:ascii="Arial" w:cs="Arial" w:eastAsia="Arial" w:hAnsi="Arial"/>
          <w:sz w:val="11"/>
          <w:szCs w:val="11"/>
          <w:color w:val="auto"/>
        </w:rPr>
        <w:t>") in connection with certain services provided by Cantor as financial advisor, and pursuant to a letter dated 20 November 2023 between Cantor and Rezolve Limited ("</w:t>
      </w:r>
      <w:r>
        <w:rPr>
          <w:rFonts w:ascii="Arial" w:cs="Arial" w:eastAsia="Arial" w:hAnsi="Arial"/>
          <w:sz w:val="11"/>
          <w:szCs w:val="11"/>
          <w:b w:val="1"/>
          <w:bCs w:val="1"/>
          <w:color w:val="auto"/>
        </w:rPr>
        <w:t>Cantor Letter</w:t>
      </w:r>
      <w:r>
        <w:rPr>
          <w:rFonts w:ascii="Arial" w:cs="Arial" w:eastAsia="Arial" w:hAnsi="Arial"/>
          <w:sz w:val="11"/>
          <w:szCs w:val="11"/>
          <w:color w:val="auto"/>
        </w:rPr>
        <w:t>") under which fees of Cantor may be satisfied in Ordinary Shares (with such Ordinary Shares issuable under the Cantor Letter being the "</w:t>
      </w:r>
      <w:r>
        <w:rPr>
          <w:rFonts w:ascii="Arial" w:cs="Arial" w:eastAsia="Arial" w:hAnsi="Arial"/>
          <w:sz w:val="11"/>
          <w:szCs w:val="11"/>
          <w:b w:val="1"/>
          <w:bCs w:val="1"/>
          <w:color w:val="auto"/>
        </w:rPr>
        <w:t>Cantor Shares</w:t>
      </w:r>
      <w:r>
        <w:rPr>
          <w:rFonts w:ascii="Arial" w:cs="Arial" w:eastAsia="Arial" w:hAnsi="Arial"/>
          <w:sz w:val="11"/>
          <w:szCs w:val="11"/>
          <w:color w:val="auto"/>
        </w:rPr>
        <w:t>");</w:t>
      </w:r>
    </w:p>
    <w:p>
      <w:pPr>
        <w:spacing w:after="0" w:line="96" w:lineRule="exact"/>
        <w:rPr>
          <w:sz w:val="20"/>
          <w:szCs w:val="20"/>
          <w:color w:val="auto"/>
        </w:rPr>
      </w:pPr>
    </w:p>
    <w:p>
      <w:pPr>
        <w:ind w:left="800" w:right="380"/>
        <w:spacing w:after="0" w:line="243" w:lineRule="auto"/>
        <w:rPr>
          <w:sz w:val="20"/>
          <w:szCs w:val="20"/>
          <w:color w:val="auto"/>
        </w:rPr>
      </w:pPr>
      <w:r>
        <w:rPr>
          <w:rFonts w:ascii="Arial" w:cs="Arial" w:eastAsia="Arial" w:hAnsi="Arial"/>
          <w:sz w:val="11"/>
          <w:szCs w:val="11"/>
          <w:color w:val="auto"/>
        </w:rPr>
        <w:t>(l)50,000 Ordinary Shares that may be issued to Maxim Group LLC ("</w:t>
      </w:r>
      <w:r>
        <w:rPr>
          <w:rFonts w:ascii="Arial" w:cs="Arial" w:eastAsia="Arial" w:hAnsi="Arial"/>
          <w:sz w:val="11"/>
          <w:szCs w:val="11"/>
          <w:b w:val="1"/>
          <w:bCs w:val="1"/>
          <w:color w:val="auto"/>
        </w:rPr>
        <w:t>Maxim</w:t>
      </w:r>
      <w:r>
        <w:rPr>
          <w:rFonts w:ascii="Arial" w:cs="Arial" w:eastAsia="Arial" w:hAnsi="Arial"/>
          <w:sz w:val="11"/>
          <w:szCs w:val="11"/>
          <w:color w:val="auto"/>
        </w:rPr>
        <w:t>") in connection with certain financial advisory and investment banking services provided by Maxim, and pursuant to a letter dated 28 June 2024 between Maxim and the Company ("</w:t>
      </w:r>
      <w:r>
        <w:rPr>
          <w:rFonts w:ascii="Arial" w:cs="Arial" w:eastAsia="Arial" w:hAnsi="Arial"/>
          <w:sz w:val="11"/>
          <w:szCs w:val="11"/>
          <w:b w:val="1"/>
          <w:bCs w:val="1"/>
          <w:color w:val="auto"/>
        </w:rPr>
        <w:t>Maxim Letter</w:t>
      </w:r>
      <w:r>
        <w:rPr>
          <w:rFonts w:ascii="Arial" w:cs="Arial" w:eastAsia="Arial" w:hAnsi="Arial"/>
          <w:sz w:val="11"/>
          <w:szCs w:val="11"/>
          <w:color w:val="auto"/>
        </w:rPr>
        <w:t>") under which Ordinary Shares are to be issued to Maxim in consideration for Maxim's services (with such Ordinary Shares issuable under the Maxim Letter being the "</w:t>
      </w:r>
      <w:r>
        <w:rPr>
          <w:rFonts w:ascii="Arial" w:cs="Arial" w:eastAsia="Arial" w:hAnsi="Arial"/>
          <w:sz w:val="11"/>
          <w:szCs w:val="11"/>
          <w:b w:val="1"/>
          <w:bCs w:val="1"/>
          <w:color w:val="auto"/>
        </w:rPr>
        <w:t>Maxim Shares</w:t>
      </w:r>
      <w:r>
        <w:rPr>
          <w:rFonts w:ascii="Arial" w:cs="Arial" w:eastAsia="Arial" w:hAnsi="Arial"/>
          <w:sz w:val="11"/>
          <w:szCs w:val="11"/>
          <w:color w:val="auto"/>
        </w:rPr>
        <w:t>");</w:t>
      </w:r>
    </w:p>
    <w:p>
      <w:pPr>
        <w:spacing w:after="0" w:line="88" w:lineRule="exact"/>
        <w:rPr>
          <w:sz w:val="20"/>
          <w:szCs w:val="20"/>
          <w:color w:val="auto"/>
        </w:rPr>
      </w:pPr>
    </w:p>
    <w:p>
      <w:pPr>
        <w:ind w:left="800" w:right="320"/>
        <w:spacing w:after="0" w:line="243" w:lineRule="auto"/>
        <w:rPr>
          <w:sz w:val="20"/>
          <w:szCs w:val="20"/>
          <w:color w:val="auto"/>
        </w:rPr>
      </w:pPr>
      <w:r>
        <w:rPr>
          <w:rFonts w:ascii="Arial" w:cs="Arial" w:eastAsia="Arial" w:hAnsi="Arial"/>
          <w:sz w:val="11"/>
          <w:szCs w:val="11"/>
          <w:color w:val="auto"/>
        </w:rPr>
        <w:t>(m)60,000 Ordinary Shares that may be issued to Roth Capital Partners, LLC ("</w:t>
      </w:r>
      <w:r>
        <w:rPr>
          <w:rFonts w:ascii="Arial" w:cs="Arial" w:eastAsia="Arial" w:hAnsi="Arial"/>
          <w:sz w:val="11"/>
          <w:szCs w:val="11"/>
          <w:b w:val="1"/>
          <w:bCs w:val="1"/>
          <w:color w:val="auto"/>
        </w:rPr>
        <w:t>Roth</w:t>
      </w:r>
      <w:r>
        <w:rPr>
          <w:rFonts w:ascii="Arial" w:cs="Arial" w:eastAsia="Arial" w:hAnsi="Arial"/>
          <w:sz w:val="11"/>
          <w:szCs w:val="11"/>
          <w:color w:val="auto"/>
        </w:rPr>
        <w:t>") in connection with certain services provided by Roth relating to a possible merger or other form of business combination transaction between Rezolve Limited and Armada, and pursuant to a letter dated 19 November 2023 between Roth and Rezolve Limited ("</w:t>
      </w:r>
      <w:r>
        <w:rPr>
          <w:rFonts w:ascii="Arial" w:cs="Arial" w:eastAsia="Arial" w:hAnsi="Arial"/>
          <w:sz w:val="11"/>
          <w:szCs w:val="11"/>
          <w:b w:val="1"/>
          <w:bCs w:val="1"/>
          <w:color w:val="auto"/>
        </w:rPr>
        <w:t>Roth Letter</w:t>
      </w:r>
      <w:r>
        <w:rPr>
          <w:rFonts w:ascii="Arial" w:cs="Arial" w:eastAsia="Arial" w:hAnsi="Arial"/>
          <w:sz w:val="11"/>
          <w:szCs w:val="11"/>
          <w:color w:val="auto"/>
        </w:rPr>
        <w:t>") under which fees of Roth may be paid in Ordinary Shares (with such Ordinary Shares that may be issued under the Roth Letter being the "</w:t>
      </w:r>
      <w:r>
        <w:rPr>
          <w:rFonts w:ascii="Arial" w:cs="Arial" w:eastAsia="Arial" w:hAnsi="Arial"/>
          <w:sz w:val="11"/>
          <w:szCs w:val="11"/>
          <w:b w:val="1"/>
          <w:bCs w:val="1"/>
          <w:color w:val="auto"/>
        </w:rPr>
        <w:t>Roth Shares</w:t>
      </w:r>
      <w:r>
        <w:rPr>
          <w:rFonts w:ascii="Arial" w:cs="Arial" w:eastAsia="Arial" w:hAnsi="Arial"/>
          <w:sz w:val="11"/>
          <w:szCs w:val="11"/>
          <w:color w:val="auto"/>
        </w:rPr>
        <w:t>");</w:t>
      </w:r>
    </w:p>
    <w:p>
      <w:pPr>
        <w:spacing w:after="0" w:line="13" w:lineRule="exact"/>
        <w:rPr>
          <w:sz w:val="20"/>
          <w:szCs w:val="20"/>
          <w:color w:val="auto"/>
        </w:rPr>
      </w:pPr>
    </w:p>
    <w:p>
      <w:pPr>
        <w:ind w:left="800"/>
        <w:spacing w:after="0"/>
        <w:rPr>
          <w:sz w:val="20"/>
          <w:szCs w:val="20"/>
          <w:color w:val="auto"/>
        </w:rPr>
      </w:pPr>
      <w:r>
        <w:rPr>
          <w:rFonts w:ascii="Arial" w:cs="Arial" w:eastAsia="Arial" w:hAnsi="Arial"/>
          <w:sz w:val="11"/>
          <w:szCs w:val="11"/>
          <w:color w:val="auto"/>
        </w:rPr>
        <w:t>(n)50,000 Ordinary Shares that may be issued to EF Hutton LLC ("</w:t>
      </w:r>
      <w:r>
        <w:rPr>
          <w:rFonts w:ascii="Arial" w:cs="Arial" w:eastAsia="Arial" w:hAnsi="Arial"/>
          <w:sz w:val="11"/>
          <w:szCs w:val="11"/>
          <w:b w:val="1"/>
          <w:bCs w:val="1"/>
          <w:color w:val="auto"/>
        </w:rPr>
        <w:t>EF Hutton</w:t>
      </w:r>
      <w:r>
        <w:rPr>
          <w:rFonts w:ascii="Arial" w:cs="Arial" w:eastAsia="Arial" w:hAnsi="Arial"/>
          <w:sz w:val="11"/>
          <w:szCs w:val="11"/>
          <w:color w:val="auto"/>
        </w:rPr>
        <w:t>") in</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289" w:right="1440" w:bottom="1440" w:gutter="0" w:footer="0" w:header="0"/>
        </w:sectPr>
      </w:pPr>
    </w:p>
    <w:bookmarkStart w:id="303" w:name="page304"/>
    <w:bookmarkEnd w:id="303"/>
    <w:p>
      <w:pPr>
        <w:ind w:left="800" w:right="340"/>
        <w:spacing w:after="0" w:line="259" w:lineRule="auto"/>
        <w:rPr>
          <w:sz w:val="20"/>
          <w:szCs w:val="20"/>
          <w:color w:val="auto"/>
        </w:rPr>
      </w:pPr>
      <w:r>
        <w:rPr>
          <w:rFonts w:ascii="Arial" w:cs="Arial" w:eastAsia="Arial" w:hAnsi="Arial"/>
          <w:sz w:val="11"/>
          <w:szCs w:val="11"/>
          <w:color w:val="auto"/>
        </w:rPr>
        <w:t>connection with advisory services provided by EF Hutton pursuant to a letter dated 28 July 2024 between EF Hutton and the Company ("</w:t>
      </w:r>
      <w:r>
        <w:rPr>
          <w:rFonts w:ascii="Arial" w:cs="Arial" w:eastAsia="Arial" w:hAnsi="Arial"/>
          <w:sz w:val="11"/>
          <w:szCs w:val="11"/>
          <w:b w:val="1"/>
          <w:bCs w:val="1"/>
          <w:color w:val="auto"/>
        </w:rPr>
        <w:t>EF Hutton Letter</w:t>
      </w:r>
      <w:r>
        <w:rPr>
          <w:rFonts w:ascii="Arial" w:cs="Arial" w:eastAsia="Arial" w:hAnsi="Arial"/>
          <w:sz w:val="11"/>
          <w:szCs w:val="11"/>
          <w:color w:val="auto"/>
        </w:rPr>
        <w:t>") under which fees of EF Hutton may be paid in Ordinary Shares (with such Ordinary Shares that may be issued under the EF Hutton Letter being the "</w:t>
      </w:r>
      <w:r>
        <w:rPr>
          <w:rFonts w:ascii="Arial" w:cs="Arial" w:eastAsia="Arial" w:hAnsi="Arial"/>
          <w:sz w:val="11"/>
          <w:szCs w:val="11"/>
          <w:b w:val="1"/>
          <w:bCs w:val="1"/>
          <w:color w:val="auto"/>
        </w:rPr>
        <w:t>EF Hutton Shares</w:t>
      </w:r>
      <w:r>
        <w:rPr>
          <w:rFonts w:ascii="Arial" w:cs="Arial" w:eastAsia="Arial" w:hAnsi="Arial"/>
          <w:sz w:val="11"/>
          <w:szCs w:val="11"/>
          <w:color w:val="auto"/>
        </w:rPr>
        <w:t>");</w:t>
      </w:r>
    </w:p>
    <w:p>
      <w:pPr>
        <w:spacing w:after="0" w:line="80" w:lineRule="exact"/>
        <w:rPr>
          <w:sz w:val="20"/>
          <w:szCs w:val="20"/>
          <w:color w:val="auto"/>
        </w:rPr>
      </w:pPr>
    </w:p>
    <w:p>
      <w:pPr>
        <w:ind w:left="800" w:right="500"/>
        <w:spacing w:after="0" w:line="243" w:lineRule="auto"/>
        <w:rPr>
          <w:sz w:val="20"/>
          <w:szCs w:val="20"/>
          <w:color w:val="auto"/>
        </w:rPr>
      </w:pPr>
      <w:r>
        <w:rPr>
          <w:rFonts w:ascii="Arial" w:cs="Arial" w:eastAsia="Arial" w:hAnsi="Arial"/>
          <w:sz w:val="11"/>
          <w:szCs w:val="11"/>
          <w:color w:val="auto"/>
        </w:rPr>
        <w:t>(o)400,625 Ordinary Shares issuable on conversion of the promissory note issued by Armada to Northland Securities, Inc. ("</w:t>
      </w:r>
      <w:r>
        <w:rPr>
          <w:rFonts w:ascii="Arial" w:cs="Arial" w:eastAsia="Arial" w:hAnsi="Arial"/>
          <w:sz w:val="11"/>
          <w:szCs w:val="11"/>
          <w:b w:val="1"/>
          <w:bCs w:val="1"/>
          <w:color w:val="auto"/>
        </w:rPr>
        <w:t>Northland</w:t>
      </w:r>
      <w:r>
        <w:rPr>
          <w:rFonts w:ascii="Arial" w:cs="Arial" w:eastAsia="Arial" w:hAnsi="Arial"/>
          <w:sz w:val="11"/>
          <w:szCs w:val="11"/>
          <w:color w:val="auto"/>
        </w:rPr>
        <w:t xml:space="preserve"> ") with original principal amount of US$5,141,250 pursuant to a promissory note dated 30 July 2024 ("</w:t>
      </w:r>
      <w:r>
        <w:rPr>
          <w:rFonts w:ascii="Arial" w:cs="Arial" w:eastAsia="Arial" w:hAnsi="Arial"/>
          <w:sz w:val="11"/>
          <w:szCs w:val="11"/>
          <w:b w:val="1"/>
          <w:bCs w:val="1"/>
          <w:color w:val="auto"/>
        </w:rPr>
        <w:t>Northland Note</w:t>
      </w:r>
      <w:r>
        <w:rPr>
          <w:rFonts w:ascii="Arial" w:cs="Arial" w:eastAsia="Arial" w:hAnsi="Arial"/>
          <w:sz w:val="11"/>
          <w:szCs w:val="11"/>
          <w:color w:val="auto"/>
        </w:rPr>
        <w:t>") executed by Armada and guaranteed by the Company, Rezolve Limited and Rezolve Group Limited (with such Ordinary Shares issuable on conversion of the Northland Note being the "</w:t>
      </w:r>
      <w:r>
        <w:rPr>
          <w:rFonts w:ascii="Arial" w:cs="Arial" w:eastAsia="Arial" w:hAnsi="Arial"/>
          <w:sz w:val="11"/>
          <w:szCs w:val="11"/>
          <w:b w:val="1"/>
          <w:bCs w:val="1"/>
          <w:color w:val="auto"/>
        </w:rPr>
        <w:t>Northland Shares</w:t>
      </w:r>
      <w:r>
        <w:rPr>
          <w:rFonts w:ascii="Arial" w:cs="Arial" w:eastAsia="Arial" w:hAnsi="Arial"/>
          <w:sz w:val="11"/>
          <w:szCs w:val="11"/>
          <w:color w:val="auto"/>
        </w:rPr>
        <w:t>"); and</w:t>
      </w:r>
    </w:p>
    <w:p>
      <w:pPr>
        <w:spacing w:after="0" w:line="21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289" w:right="1440" w:bottom="1440" w:gutter="0" w:footer="0" w:header="0"/>
        </w:sectPr>
      </w:pPr>
    </w:p>
    <w:bookmarkStart w:id="304" w:name="page305"/>
    <w:bookmarkEnd w:id="304"/>
    <w:p>
      <w:pPr>
        <w:ind w:left="800" w:right="260"/>
        <w:spacing w:after="0" w:line="243" w:lineRule="auto"/>
        <w:rPr>
          <w:sz w:val="20"/>
          <w:szCs w:val="20"/>
          <w:color w:val="auto"/>
        </w:rPr>
      </w:pPr>
      <w:r>
        <w:rPr>
          <w:rFonts w:ascii="Arial" w:cs="Arial" w:eastAsia="Arial" w:hAnsi="Arial"/>
          <w:sz w:val="11"/>
          <w:szCs w:val="11"/>
          <w:color w:val="auto"/>
        </w:rPr>
        <w:t>(p)15,374,145 Ordinary Shares to be issued by the Company pursuant to the terms of various advanced subscription agreements entered into between the subscribers, Rezolve Limited and the Company (including via subsequent confirmatory letters entered into between the subscribers and the Company to the extent the Company was not a party to the original subscription with Rezolve Limited) (the "</w:t>
      </w:r>
      <w:r>
        <w:rPr>
          <w:rFonts w:ascii="Arial" w:cs="Arial" w:eastAsia="Arial" w:hAnsi="Arial"/>
          <w:sz w:val="11"/>
          <w:szCs w:val="11"/>
          <w:b w:val="1"/>
          <w:bCs w:val="1"/>
          <w:color w:val="auto"/>
        </w:rPr>
        <w:t>ASAs</w:t>
      </w:r>
      <w:r>
        <w:rPr>
          <w:rFonts w:ascii="Arial" w:cs="Arial" w:eastAsia="Arial" w:hAnsi="Arial"/>
          <w:sz w:val="11"/>
          <w:szCs w:val="11"/>
          <w:color w:val="auto"/>
        </w:rPr>
        <w:t>", and with such Ordinary Shares issuable under the ASAs being the "</w:t>
      </w:r>
      <w:r>
        <w:rPr>
          <w:rFonts w:ascii="Arial" w:cs="Arial" w:eastAsia="Arial" w:hAnsi="Arial"/>
          <w:sz w:val="11"/>
          <w:szCs w:val="11"/>
          <w:b w:val="1"/>
          <w:bCs w:val="1"/>
          <w:color w:val="auto"/>
        </w:rPr>
        <w:t>ASA Shares</w:t>
      </w:r>
      <w:r>
        <w:rPr>
          <w:rFonts w:ascii="Arial" w:cs="Arial" w:eastAsia="Arial" w:hAnsi="Arial"/>
          <w:sz w:val="11"/>
          <w:szCs w:val="11"/>
          <w:color w:val="auto"/>
        </w:rPr>
        <w:t>").</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1.6For the purposes of this letter:</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(a)the Pre-Closing Shares, the Apeiron Additional Shares and the Armada Sponsor Shares shall be collectively the "</w:t>
      </w:r>
      <w:r>
        <w:rPr>
          <w:rFonts w:ascii="Arial" w:cs="Arial" w:eastAsia="Arial" w:hAnsi="Arial"/>
          <w:sz w:val="11"/>
          <w:szCs w:val="11"/>
          <w:b w:val="1"/>
          <w:bCs w:val="1"/>
          <w:color w:val="auto"/>
        </w:rPr>
        <w:t>Existing Shares</w:t>
      </w:r>
      <w:r>
        <w:rPr>
          <w:rFonts w:ascii="Arial" w:cs="Arial" w:eastAsia="Arial" w:hAnsi="Arial"/>
          <w:sz w:val="11"/>
          <w:szCs w:val="11"/>
          <w:color w:val="auto"/>
        </w:rPr>
        <w:t>"; and</w:t>
      </w:r>
    </w:p>
    <w:p>
      <w:pPr>
        <w:spacing w:after="0" w:line="114" w:lineRule="exact"/>
        <w:rPr>
          <w:sz w:val="20"/>
          <w:szCs w:val="20"/>
          <w:color w:val="auto"/>
        </w:rPr>
      </w:pPr>
    </w:p>
    <w:p>
      <w:pPr>
        <w:ind w:left="800" w:right="360"/>
        <w:spacing w:after="0" w:line="259" w:lineRule="auto"/>
        <w:rPr>
          <w:sz w:val="20"/>
          <w:szCs w:val="20"/>
          <w:color w:val="auto"/>
        </w:rPr>
      </w:pPr>
      <w:r>
        <w:rPr>
          <w:rFonts w:ascii="Arial" w:cs="Arial" w:eastAsia="Arial" w:hAnsi="Arial"/>
          <w:sz w:val="11"/>
          <w:szCs w:val="11"/>
          <w:color w:val="auto"/>
        </w:rPr>
        <w:t>(b)the Public Warrant Shares, CLN Shares, SEPA Shares, CPN Shares, Warrant Shares, JVB Shares, Cohen Shares, Berenberg Shares, Cantor Shares, Maxim Shares, Roth Shares, EF Hutton Shares, Northland Shares and the ASA Shares shall be collectively the "</w:t>
      </w:r>
      <w:r>
        <w:rPr>
          <w:rFonts w:ascii="Arial" w:cs="Arial" w:eastAsia="Arial" w:hAnsi="Arial"/>
          <w:sz w:val="11"/>
          <w:szCs w:val="11"/>
          <w:b w:val="1"/>
          <w:bCs w:val="1"/>
          <w:color w:val="auto"/>
        </w:rPr>
        <w:t>Potential Shares</w:t>
      </w:r>
      <w:r>
        <w:rPr>
          <w:rFonts w:ascii="Arial" w:cs="Arial" w:eastAsia="Arial" w:hAnsi="Arial"/>
          <w:sz w:val="11"/>
          <w:szCs w:val="11"/>
          <w:color w:val="auto"/>
        </w:rPr>
        <w:t>".</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2.Purpose</w:t>
      </w:r>
    </w:p>
    <w:p>
      <w:pPr>
        <w:spacing w:after="0" w:line="106" w:lineRule="exact"/>
        <w:rPr>
          <w:sz w:val="20"/>
          <w:szCs w:val="20"/>
          <w:color w:val="auto"/>
        </w:rPr>
      </w:pPr>
    </w:p>
    <w:p>
      <w:pPr>
        <w:ind w:left="100" w:right="500"/>
        <w:spacing w:after="0" w:line="251" w:lineRule="auto"/>
        <w:rPr>
          <w:sz w:val="20"/>
          <w:szCs w:val="20"/>
          <w:color w:val="auto"/>
        </w:rPr>
      </w:pPr>
      <w:r>
        <w:rPr>
          <w:rFonts w:ascii="Arial" w:cs="Arial" w:eastAsia="Arial" w:hAnsi="Arial"/>
          <w:sz w:val="11"/>
          <w:szCs w:val="11"/>
          <w:color w:val="auto"/>
        </w:rPr>
        <w:t>2.1This opinion letter is being furnished in connection with the Registration Statement on Form F-1 to be filed with the Commission on the date hereof under the Securities Act and the Rules. We have taken instruction in this regard solely from the Company.</w:t>
      </w:r>
    </w:p>
    <w:p>
      <w:pPr>
        <w:spacing w:after="0" w:line="95" w:lineRule="exact"/>
        <w:rPr>
          <w:sz w:val="20"/>
          <w:szCs w:val="20"/>
          <w:color w:val="auto"/>
        </w:rPr>
      </w:pPr>
    </w:p>
    <w:p>
      <w:pPr>
        <w:ind w:left="100" w:right="480"/>
        <w:spacing w:after="0" w:line="251" w:lineRule="auto"/>
        <w:rPr>
          <w:sz w:val="20"/>
          <w:szCs w:val="20"/>
          <w:color w:val="auto"/>
        </w:rPr>
      </w:pPr>
      <w:r>
        <w:rPr>
          <w:rFonts w:ascii="Arial" w:cs="Arial" w:eastAsia="Arial" w:hAnsi="Arial"/>
          <w:sz w:val="11"/>
          <w:szCs w:val="11"/>
          <w:color w:val="auto"/>
        </w:rPr>
        <w:t>2.2The provision of this letter is not to be taken as implying that we owe any duty of care to anyone, including the Company, in relation to the content or the commercial and financial implications of the Registration Statement.</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2.3Nothing stated in this letter shall create the relationship of solicitor and client between us and anyone other than the Company.</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2.4For the purposes of issuing this opinion, we have received a draft copy of the Registration Statement and examined the following documents:</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(a)a copy of the Warrant Agreement and the Warrant Assumption Agreement;</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(b)a copy of the CLN Instrument;</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(c)a copy of the SEPA;</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(d)a copy of each of the CPN Instruments;</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(e)a copy of the JVB Note;</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11"/>
          <w:szCs w:val="11"/>
          <w:color w:val="auto"/>
        </w:rPr>
        <w:t>(f)a copy of the Private Warrant Instrument;</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(g)a copy of the Cohen Note;</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(h)a copy of the Berenberg Letter;</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(i)a copy of the Cantor Letter;</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372" w:right="1440" w:bottom="1440" w:gutter="0" w:footer="0" w:header="0"/>
        </w:sectPr>
      </w:pPr>
    </w:p>
    <w:bookmarkStart w:id="305" w:name="page306"/>
    <w:bookmarkEnd w:id="305"/>
    <w:p>
      <w:pPr>
        <w:ind w:left="800"/>
        <w:spacing w:after="0"/>
        <w:rPr>
          <w:sz w:val="20"/>
          <w:szCs w:val="20"/>
          <w:color w:val="auto"/>
        </w:rPr>
      </w:pPr>
      <w:r>
        <w:rPr>
          <w:rFonts w:ascii="Arial" w:cs="Arial" w:eastAsia="Arial" w:hAnsi="Arial"/>
          <w:sz w:val="11"/>
          <w:szCs w:val="11"/>
          <w:color w:val="auto"/>
        </w:rPr>
        <w:t>(j)a copy of the Maxim Letter;</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(k)a copy of the Roth Letter;</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(l)a copy of the EF Hutton Letter;</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(m)a copy of the Northland Note;</w:t>
      </w:r>
    </w:p>
    <w:p>
      <w:pPr>
        <w:spacing w:after="0" w:line="114" w:lineRule="exact"/>
        <w:rPr>
          <w:sz w:val="20"/>
          <w:szCs w:val="20"/>
          <w:color w:val="auto"/>
        </w:rPr>
      </w:pPr>
    </w:p>
    <w:p>
      <w:pPr>
        <w:ind w:left="800" w:right="380"/>
        <w:spacing w:after="0" w:line="239" w:lineRule="auto"/>
        <w:rPr>
          <w:sz w:val="20"/>
          <w:szCs w:val="20"/>
          <w:color w:val="auto"/>
        </w:rPr>
      </w:pPr>
      <w:r>
        <w:rPr>
          <w:rFonts w:ascii="Arial" w:cs="Arial" w:eastAsia="Arial" w:hAnsi="Arial"/>
          <w:sz w:val="11"/>
          <w:szCs w:val="11"/>
          <w:color w:val="auto"/>
        </w:rPr>
        <w:t>(n)a copy of each of the ASAs (including subsequent confirmatory letters entered into between subscribers and the Company, and agreement (by way of email) whereby the terms of the ASA entered into with David Weinberger is amended such that he will be issued 201,000 Ordinary Shares under the terms of his ASA and the terms of the ASA entered into by DBLP Sea Cow Limited is amended such that it will be issued an additional 1,250,000 Ordinary Shares under its ASA);</w:t>
      </w:r>
    </w:p>
    <w:p>
      <w:pPr>
        <w:spacing w:after="0" w:line="95" w:lineRule="exact"/>
        <w:rPr>
          <w:sz w:val="20"/>
          <w:szCs w:val="20"/>
          <w:color w:val="auto"/>
        </w:rPr>
      </w:pPr>
    </w:p>
    <w:p>
      <w:pPr>
        <w:ind w:left="800"/>
        <w:spacing w:after="0"/>
        <w:rPr>
          <w:sz w:val="20"/>
          <w:szCs w:val="20"/>
          <w:color w:val="auto"/>
        </w:rPr>
      </w:pPr>
      <w:r>
        <w:rPr>
          <w:rFonts w:ascii="Arial" w:cs="Arial" w:eastAsia="Arial" w:hAnsi="Arial"/>
          <w:sz w:val="11"/>
          <w:szCs w:val="11"/>
          <w:color w:val="auto"/>
        </w:rPr>
        <w:t>(o)a copy of the certificate of incorporation of the Company dated 5 January 2023 (incorporated as Rezolve Group Limited);</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9"/>
          <w:szCs w:val="9"/>
          <w:color w:val="auto"/>
        </w:rPr>
        <w:t>(p)a copy of the certificate of incorporation on change of name dated 6 June 2023 whereby the name of the Company was changed from Rezolve Group Limited to Rezolve AI Limited;</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1"/>
          <w:szCs w:val="11"/>
          <w:color w:val="auto"/>
        </w:rPr>
        <w:t>(q)a copy of the current articles of association of the Company that were adopted effective from 15 August 2024 (the "</w:t>
      </w:r>
      <w:r>
        <w:rPr>
          <w:rFonts w:ascii="Arial" w:cs="Arial" w:eastAsia="Arial" w:hAnsi="Arial"/>
          <w:sz w:val="11"/>
          <w:szCs w:val="11"/>
          <w:b w:val="1"/>
          <w:bCs w:val="1"/>
          <w:color w:val="auto"/>
        </w:rPr>
        <w:t>Articles</w:t>
      </w:r>
      <w:r>
        <w:rPr>
          <w:rFonts w:ascii="Arial" w:cs="Arial" w:eastAsia="Arial" w:hAnsi="Arial"/>
          <w:sz w:val="11"/>
          <w:szCs w:val="11"/>
          <w:color w:val="auto"/>
        </w:rPr>
        <w:t>");</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(r)a copy of the minutes of the meeting of the board of directors of the Company ("</w:t>
      </w:r>
      <w:r>
        <w:rPr>
          <w:rFonts w:ascii="Arial" w:cs="Arial" w:eastAsia="Arial" w:hAnsi="Arial"/>
          <w:sz w:val="11"/>
          <w:szCs w:val="11"/>
          <w:b w:val="1"/>
          <w:bCs w:val="1"/>
          <w:color w:val="auto"/>
        </w:rPr>
        <w:t>Board</w:t>
      </w:r>
      <w:r>
        <w:rPr>
          <w:rFonts w:ascii="Arial" w:cs="Arial" w:eastAsia="Arial" w:hAnsi="Arial"/>
          <w:sz w:val="11"/>
          <w:szCs w:val="11"/>
          <w:color w:val="auto"/>
        </w:rPr>
        <w:t>") passed on:</w:t>
      </w:r>
    </w:p>
    <w:p>
      <w:pPr>
        <w:spacing w:after="0" w:line="114"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(i)3 July 2024 regarding, inter alia, the approval and/or acknowledgment (as applicable) of:</w:t>
      </w:r>
    </w:p>
    <w:p>
      <w:pPr>
        <w:spacing w:after="0" w:line="114"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(A)the novation of the Convertible Loan Notes from Rezolve Limited to the Company upon Demerger;</w:t>
      </w:r>
    </w:p>
    <w:p>
      <w:pPr>
        <w:spacing w:after="0" w:line="114" w:lineRule="exact"/>
        <w:rPr>
          <w:sz w:val="20"/>
          <w:szCs w:val="20"/>
          <w:color w:val="auto"/>
        </w:rPr>
      </w:pPr>
    </w:p>
    <w:p>
      <w:pPr>
        <w:ind w:left="2220" w:right="1400"/>
        <w:spacing w:after="0" w:line="448" w:lineRule="auto"/>
        <w:rPr>
          <w:sz w:val="20"/>
          <w:szCs w:val="20"/>
          <w:color w:val="auto"/>
        </w:rPr>
      </w:pPr>
      <w:r>
        <w:rPr>
          <w:rFonts w:ascii="Arial" w:cs="Arial" w:eastAsia="Arial" w:hAnsi="Arial"/>
          <w:sz w:val="11"/>
          <w:szCs w:val="11"/>
          <w:color w:val="auto"/>
        </w:rPr>
        <w:t>(B)the novation of the Convertible Promissory Notes (in issue at that time) from Rezolve Limited to the Company upon Demerger; and (C)the novation of the SEPA from Rezolve Limited to the Company upon Demerger;</w:t>
      </w:r>
    </w:p>
    <w:p>
      <w:pPr>
        <w:ind w:left="1520"/>
        <w:spacing w:after="0"/>
        <w:rPr>
          <w:sz w:val="20"/>
          <w:szCs w:val="20"/>
          <w:color w:val="auto"/>
        </w:rPr>
      </w:pPr>
      <w:r>
        <w:rPr>
          <w:rFonts w:ascii="Arial" w:cs="Arial" w:eastAsia="Arial" w:hAnsi="Arial"/>
          <w:sz w:val="11"/>
          <w:szCs w:val="11"/>
          <w:color w:val="auto"/>
        </w:rPr>
        <w:t>(ii)14 August 2024 regarding, inter alia, the approval of:</w:t>
      </w:r>
    </w:p>
    <w:p>
      <w:pPr>
        <w:spacing w:after="0" w:line="114"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(A)the entering into the Cohen Note upon Closing;</w:t>
      </w:r>
    </w:p>
    <w:p>
      <w:pPr>
        <w:spacing w:after="0" w:line="106"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(B)the issue and allotment of the Private Warrants;</w:t>
      </w:r>
    </w:p>
    <w:p>
      <w:pPr>
        <w:spacing w:after="0" w:line="106" w:lineRule="exact"/>
        <w:rPr>
          <w:sz w:val="20"/>
          <w:szCs w:val="20"/>
          <w:color w:val="auto"/>
        </w:rPr>
      </w:pPr>
    </w:p>
    <w:p>
      <w:pPr>
        <w:ind w:left="2220" w:right="2280"/>
        <w:spacing w:after="0" w:line="322" w:lineRule="auto"/>
        <w:rPr>
          <w:sz w:val="20"/>
          <w:szCs w:val="20"/>
          <w:color w:val="auto"/>
        </w:rPr>
      </w:pPr>
      <w:r>
        <w:rPr>
          <w:rFonts w:ascii="Arial" w:cs="Arial" w:eastAsia="Arial" w:hAnsi="Arial"/>
          <w:sz w:val="11"/>
          <w:szCs w:val="11"/>
          <w:color w:val="auto"/>
        </w:rPr>
        <w:t>(C)the transfer of certain Ordinary Shares (which includes the Pre- Closing Shares) to GTU Ops Inc. upon Closing; (D)the issue and allotment of the Armada Sponsor Shares to GTU Ops Inc. upon Closing; and</w:t>
      </w:r>
    </w:p>
    <w:p>
      <w:pPr>
        <w:spacing w:after="0" w:line="58"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(E)the issue and allotment of the Public Warrants to Cede &amp; Co. upon Closing;</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372" w:right="1440" w:bottom="1440" w:gutter="0" w:footer="0" w:header="0"/>
        </w:sectPr>
      </w:pPr>
    </w:p>
    <w:bookmarkStart w:id="306" w:name="page307"/>
    <w:bookmarkEnd w:id="306"/>
    <w:p>
      <w:pPr>
        <w:ind w:left="1520"/>
        <w:spacing w:after="0"/>
        <w:rPr>
          <w:sz w:val="20"/>
          <w:szCs w:val="20"/>
          <w:color w:val="auto"/>
        </w:rPr>
      </w:pPr>
      <w:r>
        <w:rPr>
          <w:rFonts w:ascii="Arial" w:cs="Arial" w:eastAsia="Arial" w:hAnsi="Arial"/>
          <w:sz w:val="11"/>
          <w:szCs w:val="11"/>
          <w:color w:val="auto"/>
        </w:rPr>
        <w:t>(iii)9 September 2024 regarding, inter alia, the approval and ratification of:</w:t>
      </w:r>
    </w:p>
    <w:p>
      <w:pPr>
        <w:spacing w:after="0" w:line="106"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(A)the further amendment and restatement of the SEPA;</w:t>
      </w:r>
    </w:p>
    <w:p>
      <w:pPr>
        <w:spacing w:after="0" w:line="106"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(B)the issue of the additional $5 million original face value Convertible Promissory Notes constituted by the Additional CPN Instrument; and</w:t>
      </w:r>
    </w:p>
    <w:p>
      <w:pPr>
        <w:spacing w:after="0" w:line="114"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(C)the issue and allotment of CPN Shares upon conversion of the Convertible Promissory Notes constituted by the Additional CPN Instrument;</w:t>
      </w:r>
    </w:p>
    <w:p>
      <w:pPr>
        <w:spacing w:after="0" w:line="114" w:lineRule="exact"/>
        <w:rPr>
          <w:sz w:val="20"/>
          <w:szCs w:val="20"/>
          <w:color w:val="auto"/>
        </w:rPr>
      </w:pPr>
    </w:p>
    <w:p>
      <w:pPr>
        <w:ind w:left="22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Board Resolutions</w:t>
      </w:r>
      <w:r>
        <w:rPr>
          <w:rFonts w:ascii="Arial" w:cs="Arial" w:eastAsia="Arial" w:hAnsi="Arial"/>
          <w:sz w:val="11"/>
          <w:szCs w:val="11"/>
          <w:color w:val="auto"/>
        </w:rPr>
        <w:t>");</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(s)a copy of the written resolutions of the Company dated:</w:t>
      </w:r>
    </w:p>
    <w:p>
      <w:pPr>
        <w:spacing w:after="0" w:line="106" w:lineRule="exact"/>
        <w:rPr>
          <w:sz w:val="20"/>
          <w:szCs w:val="20"/>
          <w:color w:val="auto"/>
        </w:rPr>
      </w:pPr>
    </w:p>
    <w:p>
      <w:pPr>
        <w:ind w:left="1520" w:right="460"/>
        <w:spacing w:after="0" w:line="251" w:lineRule="auto"/>
        <w:rPr>
          <w:sz w:val="20"/>
          <w:szCs w:val="20"/>
          <w:color w:val="auto"/>
        </w:rPr>
      </w:pPr>
      <w:r>
        <w:rPr>
          <w:rFonts w:ascii="Arial" w:cs="Arial" w:eastAsia="Arial" w:hAnsi="Arial"/>
          <w:sz w:val="11"/>
          <w:szCs w:val="11"/>
          <w:color w:val="auto"/>
        </w:rPr>
        <w:t>(i)3 July 2024 approving, inter alia, the authorisation for the directors of the Company to allot Ordinary Shares (or to grant rights to subscribe for or to convert any security into Ordinary Shares), and the disapplication of pre-emptive rights for such allotment, in relation to:</w:t>
      </w:r>
    </w:p>
    <w:p>
      <w:pPr>
        <w:spacing w:after="0" w:line="95"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(A)the new shares issued upon completion of the Demerger (which includes the Pre-Closing Shares and the Armada Sponsor Shares);</w:t>
      </w:r>
    </w:p>
    <w:p>
      <w:pPr>
        <w:spacing w:after="0" w:line="114"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(B)the CLN Shares;</w:t>
      </w:r>
    </w:p>
    <w:p>
      <w:pPr>
        <w:spacing w:after="0" w:line="114"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(C)the SEPA Shares; and</w:t>
      </w:r>
    </w:p>
    <w:p>
      <w:pPr>
        <w:spacing w:after="0" w:line="106"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(D)the CPN Shares (that may be converted pursuant to Convertible Promissory Notes in issue at such time); and</w:t>
      </w:r>
    </w:p>
    <w:p>
      <w:pPr>
        <w:spacing w:after="0" w:line="114" w:lineRule="exact"/>
        <w:rPr>
          <w:sz w:val="20"/>
          <w:szCs w:val="20"/>
          <w:color w:val="auto"/>
        </w:rPr>
      </w:pPr>
    </w:p>
    <w:p>
      <w:pPr>
        <w:ind w:left="1520" w:right="280"/>
        <w:spacing w:after="0" w:line="360" w:lineRule="auto"/>
        <w:rPr>
          <w:sz w:val="20"/>
          <w:szCs w:val="20"/>
          <w:color w:val="auto"/>
        </w:rPr>
      </w:pPr>
      <w:r>
        <w:rPr>
          <w:rFonts w:ascii="Arial" w:cs="Arial" w:eastAsia="Arial" w:hAnsi="Arial"/>
          <w:sz w:val="9"/>
          <w:szCs w:val="9"/>
          <w:color w:val="auto"/>
        </w:rPr>
        <w:t>(ii)28 July 2024 approving, inter alia, the (i) the adoption of the Articles with effect from Closing and (ii) authorisation for the directors of the Company to allot Ordinary Shares (or to grant rights to subscribe for or to convert any security into Ordinary Shares), and the disapplication of pre-emptive rights for such allotment, in relation to:</w:t>
      </w:r>
    </w:p>
    <w:p>
      <w:pPr>
        <w:spacing w:after="0" w:line="50"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(A)the Ordinary Shares having an aggregate nominal amount of up to £712.72 (which includes the Armada Sponsor Shares);</w:t>
      </w:r>
    </w:p>
    <w:p>
      <w:pPr>
        <w:spacing w:after="0" w:line="114"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(B)the Public Warrants and the Public Warrant Shares;</w:t>
      </w:r>
    </w:p>
    <w:p>
      <w:pPr>
        <w:spacing w:after="0" w:line="114"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(C)the Private Warrants and the Private Warrant Shares; and</w:t>
      </w:r>
    </w:p>
    <w:p>
      <w:pPr>
        <w:spacing w:after="0" w:line="106"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(D)additional shares having an aggregate nominal amount of up to</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11"/>
          <w:szCs w:val="11"/>
          <w:color w:val="auto"/>
        </w:rPr>
        <w:t>£30,000;</w:t>
      </w:r>
    </w:p>
    <w:p>
      <w:pPr>
        <w:spacing w:after="0" w:line="96" w:lineRule="exact"/>
        <w:rPr>
          <w:sz w:val="20"/>
          <w:szCs w:val="20"/>
          <w:color w:val="auto"/>
        </w:rPr>
      </w:pPr>
    </w:p>
    <w:p>
      <w:pPr>
        <w:ind w:left="22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Shareholder Resolutions</w:t>
      </w:r>
      <w:r>
        <w:rPr>
          <w:rFonts w:ascii="Arial" w:cs="Arial" w:eastAsia="Arial" w:hAnsi="Arial"/>
          <w:sz w:val="11"/>
          <w:szCs w:val="11"/>
          <w:color w:val="auto"/>
        </w:rPr>
        <w:t>");</w:t>
      </w:r>
    </w:p>
    <w:p>
      <w:pPr>
        <w:spacing w:after="0" w:line="114"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(the Shareholder Resolutions, together with the Board Resolutions, being the "</w:t>
      </w:r>
      <w:r>
        <w:rPr>
          <w:rFonts w:ascii="Arial" w:cs="Arial" w:eastAsia="Arial" w:hAnsi="Arial"/>
          <w:sz w:val="11"/>
          <w:szCs w:val="11"/>
          <w:b w:val="1"/>
          <w:bCs w:val="1"/>
          <w:color w:val="auto"/>
        </w:rPr>
        <w:t>Corporate Approvals</w:t>
      </w:r>
      <w:r>
        <w:rPr>
          <w:rFonts w:ascii="Arial" w:cs="Arial" w:eastAsia="Arial" w:hAnsi="Arial"/>
          <w:sz w:val="11"/>
          <w:szCs w:val="1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372" w:right="1440" w:bottom="1440" w:gutter="0" w:footer="0" w:header="0"/>
        </w:sectPr>
      </w:pPr>
    </w:p>
    <w:bookmarkStart w:id="307" w:name="page308"/>
    <w:bookmarkEnd w:id="307"/>
    <w:p>
      <w:pPr>
        <w:ind w:left="100"/>
        <w:spacing w:after="0"/>
        <w:rPr>
          <w:sz w:val="20"/>
          <w:szCs w:val="20"/>
          <w:color w:val="auto"/>
        </w:rPr>
      </w:pPr>
      <w:r>
        <w:rPr>
          <w:rFonts w:ascii="Arial" w:cs="Arial" w:eastAsia="Arial" w:hAnsi="Arial"/>
          <w:sz w:val="11"/>
          <w:szCs w:val="11"/>
          <w:color w:val="auto"/>
        </w:rPr>
        <w:t>2.5We have also made:</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(a)an online search of the information available on file at Companies House in respect of the Company conducted on 24 October 2024 at 11:49 a.m. (London time); and</w:t>
      </w:r>
    </w:p>
    <w:p>
      <w:pPr>
        <w:spacing w:after="0" w:line="114" w:lineRule="exact"/>
        <w:rPr>
          <w:sz w:val="20"/>
          <w:szCs w:val="20"/>
          <w:color w:val="auto"/>
        </w:rPr>
      </w:pPr>
    </w:p>
    <w:p>
      <w:pPr>
        <w:ind w:left="800" w:right="340"/>
        <w:spacing w:after="0" w:line="251" w:lineRule="auto"/>
        <w:rPr>
          <w:sz w:val="20"/>
          <w:szCs w:val="20"/>
          <w:color w:val="auto"/>
        </w:rPr>
      </w:pPr>
      <w:r>
        <w:rPr>
          <w:rFonts w:ascii="Arial" w:cs="Arial" w:eastAsia="Arial" w:hAnsi="Arial"/>
          <w:sz w:val="11"/>
          <w:szCs w:val="11"/>
          <w:color w:val="auto"/>
        </w:rPr>
        <w:t>(b)a telephone enquiry of the Central Registry of Winding Up and Administration Petitions on 24 October 2024 at 11:51 a.m. which revealed that as at that date no petition has been lodged for the winding-up of the Company.</w:t>
      </w:r>
    </w:p>
    <w:p>
      <w:pPr>
        <w:spacing w:after="0" w:line="95" w:lineRule="exact"/>
        <w:rPr>
          <w:sz w:val="20"/>
          <w:szCs w:val="20"/>
          <w:color w:val="auto"/>
        </w:rPr>
      </w:pPr>
    </w:p>
    <w:p>
      <w:pPr>
        <w:ind w:left="820" w:right="560"/>
        <w:spacing w:after="0" w:line="251" w:lineRule="auto"/>
        <w:rPr>
          <w:sz w:val="20"/>
          <w:szCs w:val="20"/>
          <w:color w:val="auto"/>
        </w:rPr>
      </w:pPr>
      <w:r>
        <w:rPr>
          <w:rFonts w:ascii="Arial" w:cs="Arial" w:eastAsia="Arial" w:hAnsi="Arial"/>
          <w:sz w:val="11"/>
          <w:szCs w:val="11"/>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2.6In relation to insolvency proceedings, the search and enquiry referred to in paragraph</w:t>
      </w:r>
    </w:p>
    <w:p>
      <w:pPr>
        <w:spacing w:after="0" w:line="4" w:lineRule="exact"/>
        <w:rPr>
          <w:sz w:val="20"/>
          <w:szCs w:val="20"/>
          <w:color w:val="auto"/>
        </w:rPr>
      </w:pPr>
    </w:p>
    <w:p>
      <w:pPr>
        <w:ind w:left="820" w:right="360"/>
        <w:spacing w:after="0" w:line="233" w:lineRule="auto"/>
        <w:rPr>
          <w:sz w:val="20"/>
          <w:szCs w:val="20"/>
          <w:color w:val="auto"/>
        </w:rPr>
      </w:pPr>
      <w:r>
        <w:rPr>
          <w:rFonts w:ascii="Arial" w:cs="Arial" w:eastAsia="Arial" w:hAnsi="Arial"/>
          <w:sz w:val="11"/>
          <w:szCs w:val="11"/>
          <w:color w:val="auto"/>
        </w:rPr>
        <w:t>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94" w:lineRule="exact"/>
        <w:rPr>
          <w:sz w:val="20"/>
          <w:szCs w:val="20"/>
          <w:color w:val="auto"/>
        </w:rPr>
      </w:pPr>
    </w:p>
    <w:p>
      <w:pPr>
        <w:ind w:left="100" w:right="280"/>
        <w:spacing w:after="0" w:line="319" w:lineRule="auto"/>
        <w:rPr>
          <w:sz w:val="20"/>
          <w:szCs w:val="20"/>
          <w:color w:val="auto"/>
        </w:rPr>
      </w:pPr>
      <w:r>
        <w:rPr>
          <w:rFonts w:ascii="Arial" w:cs="Arial" w:eastAsia="Arial" w:hAnsi="Arial"/>
          <w:sz w:val="9"/>
          <w:szCs w:val="9"/>
          <w:color w:val="auto"/>
        </w:rPr>
        <w:t>2.7In particular, notice of these matters may not yet have been filed with the Registrar of Companies (or if filed, may not yet be publicly available) and notice of a petition for winding up is not required to be filed with the Registrar. In addition, details of a petition for winding up may not be entered on the Central Registry of Winding Up and Administration Petitions immediately (or in the case of a petition presented to a County Court, may not have been notified for entry on the Central Registry at all) and any response to an enquiry would only relate to the last six months before the enquiry.</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3.Basis of opinion, assumptions and qualifications</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3.1The opinion set out in paragraph 4 relates solely to English law at the date of this letter as it appears from published legislation and fully reported cases before that date.</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3.2We have not investigated the laws of any country other than England and we assume that no foreign law affects any of the opinions stated in this letter.</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3.3This letter does not relate to English conflict of laws rules.</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3.4We do not undertake or accept any obligation to update this letter and/or the opinions given in it to reflect subsequent changes in English law or factual matters.</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3.5We express no opinion on the impact of any rules, regulations or requirements of the NASDAQ Stock Market LLC or the rules and regulations adopted by the SEC.</w:t>
      </w:r>
    </w:p>
    <w:p>
      <w:pPr>
        <w:spacing w:after="0" w:line="114" w:lineRule="exact"/>
        <w:rPr>
          <w:sz w:val="20"/>
          <w:szCs w:val="20"/>
          <w:color w:val="auto"/>
        </w:rPr>
      </w:pPr>
    </w:p>
    <w:p>
      <w:pPr>
        <w:ind w:left="100" w:right="320"/>
        <w:spacing w:after="0" w:line="251" w:lineRule="auto"/>
        <w:rPr>
          <w:sz w:val="20"/>
          <w:szCs w:val="20"/>
          <w:color w:val="auto"/>
        </w:rPr>
      </w:pPr>
      <w:r>
        <w:rPr>
          <w:rFonts w:ascii="Arial" w:cs="Arial" w:eastAsia="Arial" w:hAnsi="Arial"/>
          <w:sz w:val="11"/>
          <w:szCs w:val="11"/>
          <w:color w:val="auto"/>
        </w:rPr>
        <w:t>3.6We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3.7For the purposes of this opinion, we have not examined:</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(a)any contract, other than those set out in paragraph 2.4 which may affect the validity or enforceability of the contracts set out in paragraph 2.4; or</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11"/>
          <w:szCs w:val="11"/>
          <w:color w:val="auto"/>
        </w:rPr>
        <w:t>(b)any of the corporate or other records of the Company (apart from those set out in paragraph 2.4 or revealed by the searches mentioned in paragraph 2.5),</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289" w:right="1440" w:bottom="1440" w:gutter="0" w:footer="0" w:header="0"/>
        </w:sectPr>
      </w:pPr>
    </w:p>
    <w:bookmarkStart w:id="308" w:name="page309"/>
    <w:bookmarkEnd w:id="308"/>
    <w:p>
      <w:pPr>
        <w:ind w:left="820"/>
        <w:spacing w:after="0"/>
        <w:rPr>
          <w:sz w:val="20"/>
          <w:szCs w:val="20"/>
          <w:color w:val="auto"/>
        </w:rPr>
      </w:pPr>
      <w:r>
        <w:rPr>
          <w:rFonts w:ascii="Arial" w:cs="Arial" w:eastAsia="Arial" w:hAnsi="Arial"/>
          <w:sz w:val="11"/>
          <w:szCs w:val="11"/>
          <w:color w:val="auto"/>
        </w:rPr>
        <w:t>nor (apart from those mentioned in paragraph 2.5) have we made any other search or enquiry concerning the Company.</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3.8For the purposes of our opinion we have also assumed:</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(a)the Registration Statement, as amended and supplemented, becoming effective under the Securities Act and continuing to be effective;</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(b)amounts owing under the Northland Note to the extent satisfied in shares shall be capable of being satisfied in Ordinary Shares of the Company;</w:t>
      </w:r>
    </w:p>
    <w:p>
      <w:pPr>
        <w:spacing w:after="0" w:line="114" w:lineRule="exact"/>
        <w:rPr>
          <w:sz w:val="20"/>
          <w:szCs w:val="20"/>
          <w:color w:val="auto"/>
        </w:rPr>
      </w:pPr>
    </w:p>
    <w:p>
      <w:pPr>
        <w:ind w:left="800" w:right="340"/>
        <w:spacing w:after="0" w:line="251" w:lineRule="auto"/>
        <w:rPr>
          <w:sz w:val="20"/>
          <w:szCs w:val="20"/>
          <w:color w:val="auto"/>
        </w:rPr>
      </w:pPr>
      <w:r>
        <w:rPr>
          <w:rFonts w:ascii="Arial" w:cs="Arial" w:eastAsia="Arial" w:hAnsi="Arial"/>
          <w:sz w:val="11"/>
          <w:szCs w:val="11"/>
          <w:color w:val="auto"/>
        </w:rPr>
        <w:t>(c)the Apeiron Additional Shares were Ordinary Shares that were acquired by Apeiron from other security holders of the Company after Closing and that those Ordinary Shares were either (i) in issue immediately prior to Closing and transferred to GTU Ops Inc or (ii) otherwise are Ordinary Shares either issued to GTU Ops Inc or to DTC on Closing;</w:t>
      </w:r>
    </w:p>
    <w:p>
      <w:pPr>
        <w:spacing w:after="0" w:line="95" w:lineRule="exact"/>
        <w:rPr>
          <w:sz w:val="20"/>
          <w:szCs w:val="20"/>
          <w:color w:val="auto"/>
        </w:rPr>
      </w:pPr>
    </w:p>
    <w:p>
      <w:pPr>
        <w:ind w:left="800" w:right="420"/>
        <w:spacing w:after="0" w:line="251" w:lineRule="auto"/>
        <w:rPr>
          <w:sz w:val="20"/>
          <w:szCs w:val="20"/>
          <w:color w:val="auto"/>
        </w:rPr>
      </w:pPr>
      <w:r>
        <w:rPr>
          <w:rFonts w:ascii="Arial" w:cs="Arial" w:eastAsia="Arial" w:hAnsi="Arial"/>
          <w:sz w:val="11"/>
          <w:szCs w:val="11"/>
          <w:color w:val="auto"/>
        </w:rPr>
        <w:t>(d)the number of Potential Shares to be allotted and issued in the transaction contemplated by the Registration Statement not being greater than the aggregate nominal value specified in the Corporate Approvals;</w:t>
      </w:r>
    </w:p>
    <w:p>
      <w:pPr>
        <w:spacing w:after="0" w:line="95" w:lineRule="exact"/>
        <w:rPr>
          <w:sz w:val="20"/>
          <w:szCs w:val="20"/>
          <w:color w:val="auto"/>
        </w:rPr>
      </w:pPr>
    </w:p>
    <w:p>
      <w:pPr>
        <w:ind w:left="800" w:right="440"/>
        <w:spacing w:after="0" w:line="239" w:lineRule="auto"/>
        <w:rPr>
          <w:sz w:val="20"/>
          <w:szCs w:val="20"/>
          <w:color w:val="auto"/>
        </w:rPr>
      </w:pPr>
      <w:r>
        <w:rPr>
          <w:rFonts w:ascii="Arial" w:cs="Arial" w:eastAsia="Arial" w:hAnsi="Arial"/>
          <w:sz w:val="11"/>
          <w:szCs w:val="11"/>
          <w:color w:val="auto"/>
        </w:rPr>
        <w:t>(e)the allotment and issue of Potential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applicable documents set out in paragraph 2.4;</w:t>
      </w:r>
    </w:p>
    <w:p>
      <w:pPr>
        <w:spacing w:after="0" w:line="102" w:lineRule="exact"/>
        <w:rPr>
          <w:sz w:val="20"/>
          <w:szCs w:val="20"/>
          <w:color w:val="auto"/>
        </w:rPr>
      </w:pPr>
    </w:p>
    <w:p>
      <w:pPr>
        <w:ind w:left="800" w:right="520"/>
        <w:spacing w:after="0" w:line="251" w:lineRule="auto"/>
        <w:rPr>
          <w:sz w:val="20"/>
          <w:szCs w:val="20"/>
          <w:color w:val="auto"/>
        </w:rPr>
      </w:pPr>
      <w:r>
        <w:rPr>
          <w:rFonts w:ascii="Arial" w:cs="Arial" w:eastAsia="Arial" w:hAnsi="Arial"/>
          <w:sz w:val="11"/>
          <w:szCs w:val="11"/>
          <w:color w:val="auto"/>
        </w:rPr>
        <w:t>(f)the receipt in full of payment for the Potential Shares in an amount of “cash consideration” (as defined in section 583(3) of the Companies Act) of not less than the aggregate nominal value for such Potential Shares;</w:t>
      </w:r>
    </w:p>
    <w:p>
      <w:pPr>
        <w:spacing w:after="0" w:line="95" w:lineRule="exact"/>
        <w:rPr>
          <w:sz w:val="20"/>
          <w:szCs w:val="20"/>
          <w:color w:val="auto"/>
        </w:rPr>
      </w:pPr>
    </w:p>
    <w:p>
      <w:pPr>
        <w:ind w:left="800" w:right="280"/>
        <w:spacing w:after="0" w:line="298" w:lineRule="auto"/>
        <w:rPr>
          <w:sz w:val="20"/>
          <w:szCs w:val="20"/>
          <w:color w:val="auto"/>
        </w:rPr>
      </w:pPr>
      <w:r>
        <w:rPr>
          <w:rFonts w:ascii="Arial" w:cs="Arial" w:eastAsia="Arial" w:hAnsi="Arial"/>
          <w:sz w:val="9"/>
          <w:szCs w:val="9"/>
          <w:color w:val="auto"/>
        </w:rPr>
        <w:t>(g)that the Corporate Approvals and any additional board and shareholder resolutions required pursuant to the terms of the Companies Act 2006 (the “</w:t>
      </w:r>
      <w:r>
        <w:rPr>
          <w:rFonts w:ascii="Arial" w:cs="Arial" w:eastAsia="Arial" w:hAnsi="Arial"/>
          <w:sz w:val="9"/>
          <w:szCs w:val="9"/>
          <w:b w:val="1"/>
          <w:bCs w:val="1"/>
          <w:color w:val="auto"/>
        </w:rPr>
        <w:t>Companies Act</w:t>
      </w:r>
      <w:r>
        <w:rPr>
          <w:rFonts w:ascii="Arial" w:cs="Arial" w:eastAsia="Arial" w:hAnsi="Arial"/>
          <w:sz w:val="9"/>
          <w:szCs w:val="9"/>
          <w:color w:val="auto"/>
        </w:rPr>
        <w:t>”) and the articles (as in force from time to time) were or will be (as appropriate) each duly passed by written resolution or at a meeting which was or will be duly convened and held in accordance with all applicable laws and regulations; that in particular, but without limitation, a duly qualified quorum of directors or, as the case may be, shareholders was or will be present in each case throughout the meeting and voted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or will be duly observed;</w:t>
      </w:r>
    </w:p>
    <w:p>
      <w:pPr>
        <w:spacing w:after="0" w:line="78" w:lineRule="exact"/>
        <w:rPr>
          <w:sz w:val="20"/>
          <w:szCs w:val="20"/>
          <w:color w:val="auto"/>
        </w:rPr>
      </w:pPr>
    </w:p>
    <w:p>
      <w:pPr>
        <w:ind w:left="800"/>
        <w:spacing w:after="0"/>
        <w:rPr>
          <w:sz w:val="20"/>
          <w:szCs w:val="20"/>
          <w:color w:val="auto"/>
        </w:rPr>
      </w:pPr>
      <w:r>
        <w:rPr>
          <w:rFonts w:ascii="Arial" w:cs="Arial" w:eastAsia="Arial" w:hAnsi="Arial"/>
          <w:sz w:val="11"/>
          <w:szCs w:val="11"/>
          <w:color w:val="auto"/>
        </w:rPr>
        <w:t>(h)valid entries having been made in relation to the allotment and issue of the Existing Shares and the Potential Shares in the books and registers of the Company;</w:t>
      </w:r>
    </w:p>
    <w:p>
      <w:pPr>
        <w:spacing w:after="0" w:line="114" w:lineRule="exact"/>
        <w:rPr>
          <w:sz w:val="20"/>
          <w:szCs w:val="20"/>
          <w:color w:val="auto"/>
        </w:rPr>
      </w:pPr>
    </w:p>
    <w:p>
      <w:pPr>
        <w:ind w:left="800" w:right="600"/>
        <w:spacing w:after="0" w:line="251" w:lineRule="auto"/>
        <w:rPr>
          <w:sz w:val="20"/>
          <w:szCs w:val="20"/>
          <w:color w:val="auto"/>
        </w:rPr>
      </w:pPr>
      <w:r>
        <w:rPr>
          <w:rFonts w:ascii="Arial" w:cs="Arial" w:eastAsia="Arial" w:hAnsi="Arial"/>
          <w:sz w:val="11"/>
          <w:szCs w:val="11"/>
          <w:color w:val="auto"/>
        </w:rPr>
        <w:t>(i)where a document submitted to us is not fully executed or dated, we have assumed that the Company holds a fully executed and dated version of the document (or alternatively the Company holds all counterpart execution versions of the document);</w:t>
      </w:r>
    </w:p>
    <w:p>
      <w:pPr>
        <w:spacing w:after="0" w:line="13" w:lineRule="exact"/>
        <w:rPr>
          <w:sz w:val="20"/>
          <w:szCs w:val="20"/>
          <w:color w:val="auto"/>
        </w:rPr>
      </w:pPr>
    </w:p>
    <w:p>
      <w:pPr>
        <w:ind w:left="800"/>
        <w:spacing w:after="0"/>
        <w:rPr>
          <w:sz w:val="20"/>
          <w:szCs w:val="20"/>
          <w:color w:val="auto"/>
        </w:rPr>
      </w:pPr>
      <w:r>
        <w:rPr>
          <w:rFonts w:ascii="Arial" w:cs="Arial" w:eastAsia="Arial" w:hAnsi="Arial"/>
          <w:sz w:val="11"/>
          <w:szCs w:val="11"/>
          <w:color w:val="auto"/>
        </w:rPr>
        <w:t>(j)the genuineness of all signatures on, and the authenticity and completeness of, all documents submitted to us;</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(k)that all documents submitted to us, to the extent only Rezolve Limited is a party</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372" w:right="1440" w:bottom="1440" w:gutter="0" w:footer="0" w:header="0"/>
        </w:sectPr>
      </w:pPr>
    </w:p>
    <w:bookmarkStart w:id="309" w:name="page310"/>
    <w:bookmarkEnd w:id="309"/>
    <w:p>
      <w:pPr>
        <w:ind w:left="800" w:right="700"/>
        <w:spacing w:after="0" w:line="251" w:lineRule="auto"/>
        <w:rPr>
          <w:sz w:val="20"/>
          <w:szCs w:val="20"/>
          <w:color w:val="auto"/>
        </w:rPr>
      </w:pPr>
      <w:r>
        <w:rPr>
          <w:rFonts w:ascii="Arial" w:cs="Arial" w:eastAsia="Arial" w:hAnsi="Arial"/>
          <w:sz w:val="11"/>
          <w:szCs w:val="11"/>
          <w:color w:val="auto"/>
        </w:rPr>
        <w:t>(and not also the Company), that the obligations of the Company under such document have been validly novated from Rezolve Limited to the Company at time of the Demerger or otherwise prior to the issue and allotment of any Ordinary Shares pursuant to such document;</w:t>
      </w:r>
    </w:p>
    <w:p>
      <w:pPr>
        <w:spacing w:after="0" w:line="88" w:lineRule="exact"/>
        <w:rPr>
          <w:sz w:val="20"/>
          <w:szCs w:val="20"/>
          <w:color w:val="auto"/>
        </w:rPr>
      </w:pPr>
    </w:p>
    <w:p>
      <w:pPr>
        <w:ind w:left="800" w:right="340"/>
        <w:spacing w:after="0" w:line="259" w:lineRule="auto"/>
        <w:rPr>
          <w:sz w:val="20"/>
          <w:szCs w:val="20"/>
          <w:color w:val="auto"/>
        </w:rPr>
      </w:pPr>
      <w:r>
        <w:rPr>
          <w:rFonts w:ascii="Arial" w:cs="Arial" w:eastAsia="Arial" w:hAnsi="Arial"/>
          <w:sz w:val="11"/>
          <w:szCs w:val="11"/>
          <w:color w:val="auto"/>
        </w:rPr>
        <w:t>(l)the Articles remain in full force and effect, and no alteration has been made or will be made to such articles of association except for amendments required to convert the Company into a public company limited by shares, in each case prior to each date of allotment and issue of the Potential Shares (each an “</w:t>
      </w:r>
      <w:r>
        <w:rPr>
          <w:rFonts w:ascii="Arial" w:cs="Arial" w:eastAsia="Arial" w:hAnsi="Arial"/>
          <w:sz w:val="11"/>
          <w:szCs w:val="11"/>
          <w:b w:val="1"/>
          <w:bCs w:val="1"/>
          <w:color w:val="auto"/>
        </w:rPr>
        <w:t>Allotment Date</w:t>
      </w:r>
      <w:r>
        <w:rPr>
          <w:rFonts w:ascii="Arial" w:cs="Arial" w:eastAsia="Arial" w:hAnsi="Arial"/>
          <w:sz w:val="11"/>
          <w:szCs w:val="11"/>
          <w:color w:val="auto"/>
        </w:rPr>
        <w:t>”);</w:t>
      </w:r>
    </w:p>
    <w:p>
      <w:pPr>
        <w:spacing w:after="0" w:line="87" w:lineRule="exact"/>
        <w:rPr>
          <w:sz w:val="20"/>
          <w:szCs w:val="20"/>
          <w:color w:val="auto"/>
        </w:rPr>
      </w:pPr>
    </w:p>
    <w:p>
      <w:pPr>
        <w:ind w:left="800" w:right="440"/>
        <w:spacing w:after="0" w:line="251" w:lineRule="auto"/>
        <w:rPr>
          <w:sz w:val="20"/>
          <w:szCs w:val="20"/>
          <w:color w:val="auto"/>
        </w:rPr>
      </w:pPr>
      <w:r>
        <w:rPr>
          <w:rFonts w:ascii="Arial" w:cs="Arial" w:eastAsia="Arial" w:hAnsi="Arial"/>
          <w:sz w:val="11"/>
          <w:szCs w:val="11"/>
          <w:color w:val="auto"/>
        </w:rPr>
        <w:t>(m)on each Allotment Date, the Company will comply with all applicable laws as to any offering of and as to the allotment and issue of the Potential Shares and the Company will receive such amounts as are necessary to fully pay the nominal value of the Potential Shares and any applicable share premium;</w:t>
      </w:r>
    </w:p>
    <w:p>
      <w:pPr>
        <w:spacing w:after="0" w:line="95" w:lineRule="exact"/>
        <w:rPr>
          <w:sz w:val="20"/>
          <w:szCs w:val="20"/>
          <w:color w:val="auto"/>
        </w:rPr>
      </w:pPr>
    </w:p>
    <w:p>
      <w:pPr>
        <w:ind w:left="800" w:right="420"/>
        <w:spacing w:after="0" w:line="239" w:lineRule="auto"/>
        <w:rPr>
          <w:sz w:val="20"/>
          <w:szCs w:val="20"/>
          <w:color w:val="auto"/>
        </w:rPr>
      </w:pPr>
      <w:r>
        <w:rPr>
          <w:rFonts w:ascii="Arial" w:cs="Arial" w:eastAsia="Arial" w:hAnsi="Arial"/>
          <w:sz w:val="11"/>
          <w:szCs w:val="11"/>
          <w:color w:val="auto"/>
        </w:rPr>
        <w:t>(n)the Board Resolutions provided to us in connection with the giving of the opinions in this letter reflect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each Allotment Date;</w:t>
      </w:r>
    </w:p>
    <w:p>
      <w:pPr>
        <w:spacing w:after="0" w:line="95" w:lineRule="exact"/>
        <w:rPr>
          <w:sz w:val="20"/>
          <w:szCs w:val="20"/>
          <w:color w:val="auto"/>
        </w:rPr>
      </w:pPr>
    </w:p>
    <w:p>
      <w:pPr>
        <w:ind w:left="800" w:right="200"/>
        <w:spacing w:after="0" w:line="234" w:lineRule="auto"/>
        <w:rPr>
          <w:sz w:val="20"/>
          <w:szCs w:val="20"/>
          <w:color w:val="auto"/>
        </w:rPr>
      </w:pPr>
      <w:r>
        <w:rPr>
          <w:rFonts w:ascii="Arial" w:cs="Arial" w:eastAsia="Arial" w:hAnsi="Arial"/>
          <w:sz w:val="11"/>
          <w:szCs w:val="11"/>
          <w:color w:val="auto"/>
        </w:rPr>
        <w:t>(o)in respect of the Board Resolutions (i) in passing such resolutions the directors of the Company were acting in good faith, (ii) the transactions and other matters referred to in the Board Resolutions were or are to be entered into and effected by the Company for the purpose of carrying on its business, (iii) 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their powers in connection with the transactions or matters in accordance with all applicable laws;</w:t>
      </w: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372" w:right="1440" w:bottom="1440" w:gutter="0" w:footer="0" w:header="0"/>
        </w:sectPr>
      </w:pPr>
    </w:p>
    <w:bookmarkStart w:id="310" w:name="page311"/>
    <w:bookmarkEnd w:id="310"/>
    <w:p>
      <w:pPr>
        <w:ind w:left="800" w:right="240"/>
        <w:spacing w:after="0" w:line="239" w:lineRule="auto"/>
        <w:rPr>
          <w:sz w:val="20"/>
          <w:szCs w:val="20"/>
          <w:color w:val="auto"/>
        </w:rPr>
      </w:pPr>
      <w:r>
        <w:rPr>
          <w:rFonts w:ascii="Arial" w:cs="Arial" w:eastAsia="Arial" w:hAnsi="Arial"/>
          <w:sz w:val="11"/>
          <w:szCs w:val="11"/>
          <w:color w:val="auto"/>
        </w:rPr>
        <w:t>(p)the resolutions set out in the Corporate Approvals and/or such other board or shareholder resolutions that are otherwise obtained and/or required by the Company at a later date to, inter alia, validly authorise the issuance of all Potential Shares were or will be validly passed and have not been and will not be revoked or varied and remain in full force and effect and will remain so as at each Allotment Date;</w:t>
      </w:r>
    </w:p>
    <w:p>
      <w:pPr>
        <w:spacing w:after="0" w:line="95" w:lineRule="exact"/>
        <w:rPr>
          <w:sz w:val="20"/>
          <w:szCs w:val="20"/>
          <w:color w:val="auto"/>
        </w:rPr>
      </w:pPr>
    </w:p>
    <w:p>
      <w:pPr>
        <w:ind w:left="800" w:right="360"/>
        <w:spacing w:after="0" w:line="234" w:lineRule="auto"/>
        <w:rPr>
          <w:sz w:val="20"/>
          <w:szCs w:val="20"/>
          <w:color w:val="auto"/>
        </w:rPr>
      </w:pPr>
      <w:r>
        <w:rPr>
          <w:rFonts w:ascii="Arial" w:cs="Arial" w:eastAsia="Arial" w:hAnsi="Arial"/>
          <w:sz w:val="11"/>
          <w:szCs w:val="11"/>
          <w:color w:val="auto"/>
        </w:rPr>
        <w:t>(q)as at each Allotment Date, the directors of the Company shall have sufficient powers conferred on them to allot the Potential Shares and to grant rights to subscribe for Potential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shall not issue (or purport to issue) Potential Shares and shall not grant rights (or purport to grant rights) in excess of such powers or in breach of any other limitation on their powers to issue shares or grant rights;</w:t>
      </w:r>
    </w:p>
    <w:p>
      <w:pPr>
        <w:spacing w:after="0" w:line="103" w:lineRule="exact"/>
        <w:rPr>
          <w:sz w:val="20"/>
          <w:szCs w:val="20"/>
          <w:color w:val="auto"/>
        </w:rPr>
      </w:pPr>
    </w:p>
    <w:p>
      <w:pPr>
        <w:ind w:left="800"/>
        <w:spacing w:after="0"/>
        <w:rPr>
          <w:sz w:val="20"/>
          <w:szCs w:val="20"/>
          <w:color w:val="auto"/>
        </w:rPr>
      </w:pPr>
      <w:r>
        <w:rPr>
          <w:rFonts w:ascii="Arial" w:cs="Arial" w:eastAsia="Arial" w:hAnsi="Arial"/>
          <w:sz w:val="11"/>
          <w:szCs w:val="11"/>
          <w:color w:val="auto"/>
        </w:rPr>
        <w:t>(r)in relation to the allotment and issue of the Potential Shares, the directors of the Company have acted and will act in the manner required by section 172 of the</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372" w:right="1440" w:bottom="1440" w:gutter="0" w:footer="0" w:header="0"/>
        </w:sectPr>
      </w:pPr>
    </w:p>
    <w:bookmarkStart w:id="311" w:name="page312"/>
    <w:bookmarkEnd w:id="311"/>
    <w:p>
      <w:pPr>
        <w:ind w:left="1520" w:right="320"/>
        <w:spacing w:after="0" w:line="239" w:lineRule="auto"/>
        <w:rPr>
          <w:sz w:val="20"/>
          <w:szCs w:val="20"/>
          <w:color w:val="auto"/>
        </w:rPr>
      </w:pPr>
      <w:r>
        <w:rPr>
          <w:rFonts w:ascii="Arial" w:cs="Arial" w:eastAsia="Arial" w:hAnsi="Arial"/>
          <w:sz w:val="11"/>
          <w:szCs w:val="11"/>
          <w:color w:val="auto"/>
        </w:rPr>
        <w:t>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02" w:lineRule="exact"/>
        <w:rPr>
          <w:sz w:val="20"/>
          <w:szCs w:val="20"/>
          <w:color w:val="auto"/>
        </w:rPr>
      </w:pPr>
    </w:p>
    <w:p>
      <w:pPr>
        <w:ind w:left="800" w:right="560"/>
        <w:spacing w:after="0" w:line="251" w:lineRule="auto"/>
        <w:rPr>
          <w:sz w:val="20"/>
          <w:szCs w:val="20"/>
          <w:color w:val="auto"/>
        </w:rPr>
      </w:pPr>
      <w:r>
        <w:rPr>
          <w:rFonts w:ascii="Arial" w:cs="Arial" w:eastAsia="Arial" w:hAnsi="Arial"/>
          <w:sz w:val="11"/>
          <w:szCs w:val="11"/>
          <w:color w:val="auto"/>
        </w:rPr>
        <w:t>(s)as at each Allotment Date, any authority granted pursuant to the articles (in force from time to time) or the Shareholder Resolutions or otherwise by the Company’s shareholders will remain unutilised to the extent necessary to permit the allotment and issue of the Potential Shares;</w:t>
      </w:r>
    </w:p>
    <w:p>
      <w:pPr>
        <w:spacing w:after="0" w:line="88" w:lineRule="exact"/>
        <w:rPr>
          <w:sz w:val="20"/>
          <w:szCs w:val="20"/>
          <w:color w:val="auto"/>
        </w:rPr>
      </w:pPr>
    </w:p>
    <w:p>
      <w:pPr>
        <w:ind w:left="800" w:right="420"/>
        <w:spacing w:after="0" w:line="251" w:lineRule="auto"/>
        <w:rPr>
          <w:sz w:val="20"/>
          <w:szCs w:val="20"/>
          <w:color w:val="auto"/>
        </w:rPr>
      </w:pPr>
      <w:r>
        <w:rPr>
          <w:rFonts w:ascii="Arial" w:cs="Arial" w:eastAsia="Arial" w:hAnsi="Arial"/>
          <w:sz w:val="11"/>
          <w:szCs w:val="11"/>
          <w:color w:val="auto"/>
        </w:rPr>
        <w:t>(t)each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95" w:lineRule="exact"/>
        <w:rPr>
          <w:sz w:val="20"/>
          <w:szCs w:val="20"/>
          <w:color w:val="auto"/>
        </w:rPr>
      </w:pPr>
    </w:p>
    <w:p>
      <w:pPr>
        <w:ind w:left="800" w:right="380"/>
        <w:spacing w:after="0" w:line="251" w:lineRule="auto"/>
        <w:rPr>
          <w:sz w:val="20"/>
          <w:szCs w:val="20"/>
          <w:color w:val="auto"/>
        </w:rPr>
      </w:pPr>
      <w:r>
        <w:rPr>
          <w:rFonts w:ascii="Arial" w:cs="Arial" w:eastAsia="Arial" w:hAnsi="Arial"/>
          <w:sz w:val="11"/>
          <w:szCs w:val="11"/>
          <w:color w:val="auto"/>
        </w:rPr>
        <w:t>(u)that any person who signed a document (which we have reviewed for the purposes of the opinion given in this letter) as a witness was physically present at the time when the signatory signed such document;</w:t>
      </w:r>
    </w:p>
    <w:p>
      <w:pPr>
        <w:spacing w:after="0" w:line="95" w:lineRule="exact"/>
        <w:rPr>
          <w:sz w:val="20"/>
          <w:szCs w:val="20"/>
          <w:color w:val="auto"/>
        </w:rPr>
      </w:pPr>
    </w:p>
    <w:p>
      <w:pPr>
        <w:ind w:left="800"/>
        <w:spacing w:after="0"/>
        <w:rPr>
          <w:sz w:val="20"/>
          <w:szCs w:val="20"/>
          <w:color w:val="auto"/>
        </w:rPr>
      </w:pPr>
      <w:r>
        <w:rPr>
          <w:rFonts w:ascii="Arial" w:cs="Arial" w:eastAsia="Arial" w:hAnsi="Arial"/>
          <w:sz w:val="11"/>
          <w:szCs w:val="11"/>
          <w:color w:val="auto"/>
        </w:rPr>
        <w:t>(v)the conformity to originals of all documents submitted to us as copies of originals and the authenticity of the originals;</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(w)that the documents and records referred to in paragraphs 2.4 and 2.5 are accurate and complete;</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(x)that except as disclosed in the documents referred to in paragraph 2.4, and the search and enquiry referred to in paragraph 2.5:</w:t>
      </w:r>
    </w:p>
    <w:p>
      <w:pPr>
        <w:spacing w:after="0" w:line="114" w:lineRule="exact"/>
        <w:rPr>
          <w:sz w:val="20"/>
          <w:szCs w:val="20"/>
          <w:color w:val="auto"/>
        </w:rPr>
      </w:pPr>
    </w:p>
    <w:p>
      <w:pPr>
        <w:ind w:left="1520" w:right="360"/>
        <w:spacing w:after="0" w:line="251" w:lineRule="auto"/>
        <w:rPr>
          <w:sz w:val="20"/>
          <w:szCs w:val="20"/>
          <w:color w:val="auto"/>
        </w:rPr>
      </w:pPr>
      <w:r>
        <w:rPr>
          <w:rFonts w:ascii="Arial" w:cs="Arial" w:eastAsia="Arial" w:hAnsi="Arial"/>
          <w:sz w:val="11"/>
          <w:szCs w:val="11"/>
          <w:color w:val="auto"/>
        </w:rPr>
        <w:t>(i)no arrangement or composition with or for the benefit of the creditors of the Company (including a voluntary arrangement as defined in the Insolvency Act 1986) has been entered into or proposed;</w:t>
      </w:r>
    </w:p>
    <w:p>
      <w:pPr>
        <w:spacing w:after="0" w:line="95"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(ii)no moratorium has come into force in respect of the Company under Part A1 of the Insolvency Act 1986;</w:t>
      </w:r>
    </w:p>
    <w:p>
      <w:pPr>
        <w:spacing w:after="0" w:line="106" w:lineRule="exact"/>
        <w:rPr>
          <w:sz w:val="20"/>
          <w:szCs w:val="20"/>
          <w:color w:val="auto"/>
        </w:rPr>
      </w:pPr>
    </w:p>
    <w:p>
      <w:pPr>
        <w:ind w:left="1520" w:right="380"/>
        <w:spacing w:after="0" w:line="251" w:lineRule="auto"/>
        <w:rPr>
          <w:sz w:val="20"/>
          <w:szCs w:val="20"/>
          <w:color w:val="auto"/>
        </w:rPr>
      </w:pPr>
      <w:r>
        <w:rPr>
          <w:rFonts w:ascii="Arial" w:cs="Arial" w:eastAsia="Arial" w:hAnsi="Arial"/>
          <w:sz w:val="11"/>
          <w:szCs w:val="11"/>
          <w:color w:val="auto"/>
        </w:rPr>
        <w:t>(iii)no receiver or administrative receiver has taken possession of or being appointed over nor has any mortgagee, chargee or other encumbrancer taken possession of the whole or any material part of the assets of the Company;</w:t>
      </w:r>
    </w:p>
    <w:p>
      <w:pPr>
        <w:spacing w:after="0" w:line="95" w:lineRule="exact"/>
        <w:rPr>
          <w:sz w:val="20"/>
          <w:szCs w:val="20"/>
          <w:color w:val="auto"/>
        </w:rPr>
      </w:pPr>
    </w:p>
    <w:p>
      <w:pPr>
        <w:ind w:left="1520" w:right="480"/>
        <w:spacing w:after="0" w:line="251" w:lineRule="auto"/>
        <w:rPr>
          <w:sz w:val="20"/>
          <w:szCs w:val="20"/>
          <w:color w:val="auto"/>
        </w:rPr>
      </w:pPr>
      <w:r>
        <w:rPr>
          <w:rFonts w:ascii="Arial" w:cs="Arial" w:eastAsia="Arial" w:hAnsi="Arial"/>
          <w:sz w:val="11"/>
          <w:szCs w:val="11"/>
          <w:color w:val="auto"/>
        </w:rPr>
        <w:t>(iv)neither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95" w:lineRule="exact"/>
        <w:rPr>
          <w:sz w:val="20"/>
          <w:szCs w:val="20"/>
          <w:color w:val="auto"/>
        </w:rPr>
      </w:pPr>
    </w:p>
    <w:p>
      <w:pPr>
        <w:ind w:left="1520" w:right="460"/>
        <w:spacing w:after="0" w:line="251" w:lineRule="auto"/>
        <w:rPr>
          <w:sz w:val="20"/>
          <w:szCs w:val="20"/>
          <w:color w:val="auto"/>
        </w:rPr>
      </w:pPr>
      <w:r>
        <w:rPr>
          <w:rFonts w:ascii="Arial" w:cs="Arial" w:eastAsia="Arial" w:hAnsi="Arial"/>
          <w:sz w:val="11"/>
          <w:szCs w:val="11"/>
          <w:color w:val="auto"/>
        </w:rPr>
        <w:t>(v)neither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(vi)no administrator has been appointed of the Company under paragraphs 14 or 22 of Schedule B1 to the Insolvency Act 1986 or otherwise;</w:t>
      </w:r>
    </w:p>
    <w:p>
      <w:pPr>
        <w:spacing w:after="0" w:line="114" w:lineRule="exact"/>
        <w:rPr>
          <w:sz w:val="20"/>
          <w:szCs w:val="20"/>
          <w:color w:val="auto"/>
        </w:rPr>
      </w:pPr>
    </w:p>
    <w:p>
      <w:pPr>
        <w:ind w:left="1520" w:right="600"/>
        <w:spacing w:after="0" w:line="251" w:lineRule="auto"/>
        <w:rPr>
          <w:sz w:val="20"/>
          <w:szCs w:val="20"/>
          <w:color w:val="auto"/>
        </w:rPr>
      </w:pPr>
      <w:r>
        <w:rPr>
          <w:rFonts w:ascii="Arial" w:cs="Arial" w:eastAsia="Arial" w:hAnsi="Arial"/>
          <w:sz w:val="11"/>
          <w:szCs w:val="11"/>
          <w:color w:val="auto"/>
        </w:rPr>
        <w:t>(vii)no petition has been presented nor a resolution been passed nor has an order been made for the administration or the winding-up, bankruptcy or dissolution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289" w:right="1440" w:bottom="1440" w:gutter="0" w:footer="0" w:header="0"/>
        </w:sectPr>
      </w:pPr>
    </w:p>
    <w:bookmarkStart w:id="312" w:name="page313"/>
    <w:bookmarkEnd w:id="312"/>
    <w:p>
      <w:pPr>
        <w:ind w:left="800" w:right="400"/>
        <w:spacing w:after="0" w:line="234" w:lineRule="auto"/>
        <w:rPr>
          <w:sz w:val="20"/>
          <w:szCs w:val="20"/>
          <w:color w:val="auto"/>
        </w:rPr>
      </w:pPr>
      <w:r>
        <w:rPr>
          <w:rFonts w:ascii="Arial" w:cs="Arial" w:eastAsia="Arial" w:hAnsi="Arial"/>
          <w:sz w:val="11"/>
          <w:szCs w:val="11"/>
          <w:color w:val="auto"/>
        </w:rPr>
        <w:t>(y)as at each Allotment Date,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w:t>
      </w:r>
    </w:p>
    <w:p>
      <w:pPr>
        <w:spacing w:after="0" w:line="103" w:lineRule="exact"/>
        <w:rPr>
          <w:sz w:val="20"/>
          <w:szCs w:val="20"/>
          <w:color w:val="auto"/>
        </w:rPr>
      </w:pPr>
    </w:p>
    <w:p>
      <w:pPr>
        <w:ind w:left="800" w:right="400"/>
        <w:spacing w:after="0" w:line="236" w:lineRule="auto"/>
        <w:rPr>
          <w:sz w:val="20"/>
          <w:szCs w:val="20"/>
          <w:color w:val="auto"/>
        </w:rPr>
      </w:pPr>
      <w:r>
        <w:rPr>
          <w:rFonts w:ascii="Arial" w:cs="Arial" w:eastAsia="Arial" w:hAnsi="Arial"/>
          <w:sz w:val="11"/>
          <w:szCs w:val="11"/>
          <w:color w:val="auto"/>
        </w:rPr>
        <w:t>(z)all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referred to in paragraph 2.5 was complete and accurate in all respects and has not, since the time of the search and enquiry, been altered and that the results of the search and enquiry will remain complete and accurate as at each Allotment Date;</w:t>
      </w:r>
    </w:p>
    <w:p>
      <w:pPr>
        <w:spacing w:after="0" w:line="95" w:lineRule="exact"/>
        <w:rPr>
          <w:sz w:val="20"/>
          <w:szCs w:val="20"/>
          <w:color w:val="auto"/>
        </w:rPr>
      </w:pPr>
    </w:p>
    <w:p>
      <w:pPr>
        <w:ind w:left="1520" w:right="300" w:hanging="937"/>
        <w:spacing w:after="0" w:line="251" w:lineRule="auto"/>
        <w:tabs>
          <w:tab w:leader="none" w:pos="827"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that no event analogous to any of the events mentioned in paragraph 3.8(x) or any other insolvency procedure has occurred in respect of the Company in a country other than England and that no steps have been taken to subject either of them to such a procedure;</w:t>
      </w:r>
    </w:p>
    <w:p>
      <w:pPr>
        <w:spacing w:after="0" w:line="95" w:lineRule="exact"/>
        <w:rPr>
          <w:rFonts w:ascii="Arial" w:cs="Arial" w:eastAsia="Arial" w:hAnsi="Arial"/>
          <w:sz w:val="11"/>
          <w:szCs w:val="11"/>
          <w:color w:val="auto"/>
        </w:rPr>
      </w:pPr>
    </w:p>
    <w:p>
      <w:pPr>
        <w:ind w:left="1520" w:right="400" w:hanging="937"/>
        <w:spacing w:after="0" w:line="239" w:lineRule="auto"/>
        <w:tabs>
          <w:tab w:leader="none" w:pos="827"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that there are no provisions of the laws of any jurisdiction outside England which would be contravened by the execution or delivery of the documents in paragraph 2.4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94" w:lineRule="exact"/>
        <w:rPr>
          <w:rFonts w:ascii="Arial" w:cs="Arial" w:eastAsia="Arial" w:hAnsi="Arial"/>
          <w:sz w:val="11"/>
          <w:szCs w:val="11"/>
          <w:color w:val="auto"/>
        </w:rPr>
      </w:pPr>
    </w:p>
    <w:p>
      <w:pPr>
        <w:ind w:left="1520" w:right="360" w:hanging="937"/>
        <w:spacing w:after="0" w:line="251" w:lineRule="auto"/>
        <w:tabs>
          <w:tab w:leader="none" w:pos="786" w:val="left"/>
        </w:tabs>
        <w:numPr>
          <w:ilvl w:val="0"/>
          <w:numId w:val="25"/>
        </w:numPr>
        <w:rPr>
          <w:rFonts w:ascii="Arial" w:cs="Arial" w:eastAsia="Arial" w:hAnsi="Arial"/>
          <w:sz w:val="11"/>
          <w:szCs w:val="11"/>
          <w:color w:val="auto"/>
        </w:rPr>
      </w:pPr>
      <w:r>
        <w:rPr>
          <w:rFonts w:ascii="Arial" w:cs="Arial" w:eastAsia="Arial" w:hAnsi="Arial"/>
          <w:sz w:val="11"/>
          <w:szCs w:val="11"/>
          <w:color w:val="auto"/>
        </w:rPr>
        <w:t>to extent that the entry into a document in paragraph 2.4 by the Company constitutes a regulated activity for the purposes of the Financial Services and Markets Act 2000 the Company will be in compliance with all applicable requirements of that Act and any regulations or rules made under that Act;</w:t>
      </w:r>
    </w:p>
    <w:p>
      <w:pPr>
        <w:spacing w:after="0" w:line="95" w:lineRule="exact"/>
        <w:rPr>
          <w:rFonts w:ascii="Arial" w:cs="Arial" w:eastAsia="Arial" w:hAnsi="Arial"/>
          <w:sz w:val="11"/>
          <w:szCs w:val="11"/>
          <w:color w:val="auto"/>
        </w:rPr>
      </w:pPr>
    </w:p>
    <w:p>
      <w:pPr>
        <w:ind w:left="800" w:hanging="217"/>
        <w:spacing w:after="0"/>
        <w:tabs>
          <w:tab w:leader="none" w:pos="8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that there are no written or oral representations made in connection with the documents in paragraph 2.4 which have not been disclosed to us;</w:t>
      </w:r>
    </w:p>
    <w:p>
      <w:pPr>
        <w:spacing w:after="0" w:line="113" w:lineRule="exact"/>
        <w:rPr>
          <w:rFonts w:ascii="Arial" w:cs="Arial" w:eastAsia="Arial" w:hAnsi="Arial"/>
          <w:sz w:val="11"/>
          <w:szCs w:val="11"/>
          <w:color w:val="auto"/>
        </w:rPr>
      </w:pPr>
    </w:p>
    <w:p>
      <w:pPr>
        <w:ind w:left="800" w:hanging="217"/>
        <w:spacing w:after="0"/>
        <w:tabs>
          <w:tab w:leader="none" w:pos="8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that there are no written or oral agreements modifying the terms of the documents in paragraph 2.4 which have not been disclosed to us;</w:t>
      </w:r>
    </w:p>
    <w:p>
      <w:pPr>
        <w:spacing w:after="0" w:line="113" w:lineRule="exact"/>
        <w:rPr>
          <w:rFonts w:ascii="Arial" w:cs="Arial" w:eastAsia="Arial" w:hAnsi="Arial"/>
          <w:sz w:val="11"/>
          <w:szCs w:val="11"/>
          <w:color w:val="auto"/>
        </w:rPr>
      </w:pPr>
    </w:p>
    <w:p>
      <w:pPr>
        <w:ind w:left="800" w:hanging="217"/>
        <w:spacing w:after="0"/>
        <w:tabs>
          <w:tab w:leader="none" w:pos="8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that there is no other information known to the Company or its employees, agents or sub-contractors and not disclosed to us which would affect the opinions expressed below; and</w:t>
      </w:r>
    </w:p>
    <w:p>
      <w:pPr>
        <w:spacing w:after="0" w:line="113" w:lineRule="exact"/>
        <w:rPr>
          <w:rFonts w:ascii="Arial" w:cs="Arial" w:eastAsia="Arial" w:hAnsi="Arial"/>
          <w:sz w:val="11"/>
          <w:szCs w:val="11"/>
          <w:color w:val="auto"/>
        </w:rPr>
      </w:pPr>
    </w:p>
    <w:p>
      <w:pPr>
        <w:ind w:left="820" w:hanging="237"/>
        <w:spacing w:after="0"/>
        <w:tabs>
          <w:tab w:leader="none" w:pos="8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that there has been no change in the facts and matters disclosed in the search and enquiry referred to in paragraph 2.5 since we made them.</w:t>
      </w:r>
    </w:p>
    <w:p>
      <w:pPr>
        <w:spacing w:after="0" w:line="234"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4.Opinion</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4.1On the basis of the above assumptions (and subject to the reservations and qualifications set out herein and to any matters not disclosed to us) we are of the opinion that as at today’s date:</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289" w:right="1440" w:bottom="1440" w:gutter="0" w:footer="0" w:header="0"/>
        </w:sectPr>
      </w:pPr>
    </w:p>
    <w:bookmarkStart w:id="313" w:name="page314"/>
    <w:bookmarkEnd w:id="313"/>
    <w:p>
      <w:pPr>
        <w:ind w:left="800"/>
        <w:spacing w:after="0"/>
        <w:rPr>
          <w:sz w:val="20"/>
          <w:szCs w:val="20"/>
          <w:color w:val="auto"/>
        </w:rPr>
      </w:pPr>
      <w:r>
        <w:rPr>
          <w:rFonts w:ascii="Arial" w:cs="Arial" w:eastAsia="Arial" w:hAnsi="Arial"/>
          <w:sz w:val="11"/>
          <w:szCs w:val="11"/>
          <w:color w:val="auto"/>
        </w:rPr>
        <w:t>(a)the Existing Shares have been duly and validly authorised and issued, fully paid or credited as fully paid;</w:t>
      </w:r>
    </w:p>
    <w:p>
      <w:pPr>
        <w:spacing w:after="0" w:line="114" w:lineRule="exact"/>
        <w:rPr>
          <w:sz w:val="20"/>
          <w:szCs w:val="20"/>
          <w:color w:val="auto"/>
        </w:rPr>
      </w:pPr>
    </w:p>
    <w:p>
      <w:pPr>
        <w:ind w:left="800" w:right="660"/>
        <w:spacing w:after="0" w:line="251" w:lineRule="auto"/>
        <w:rPr>
          <w:sz w:val="20"/>
          <w:szCs w:val="20"/>
          <w:color w:val="auto"/>
        </w:rPr>
      </w:pPr>
      <w:r>
        <w:rPr>
          <w:rFonts w:ascii="Arial" w:cs="Arial" w:eastAsia="Arial" w:hAnsi="Arial"/>
          <w:sz w:val="11"/>
          <w:szCs w:val="11"/>
          <w:color w:val="auto"/>
        </w:rPr>
        <w:t>(b)the Public Warrant Shares will, when registered in the name of the recipient in the register of members of the Company and when paid for and issued pursuant to the terms of the Warrant Agreement be duly and validly authorised and issued, fully paid or credited as fully paid;</w:t>
      </w:r>
    </w:p>
    <w:p>
      <w:pPr>
        <w:spacing w:after="0" w:line="88" w:lineRule="exact"/>
        <w:rPr>
          <w:sz w:val="20"/>
          <w:szCs w:val="20"/>
          <w:color w:val="auto"/>
        </w:rPr>
      </w:pPr>
    </w:p>
    <w:p>
      <w:pPr>
        <w:ind w:left="800" w:right="400"/>
        <w:spacing w:after="0" w:line="251" w:lineRule="auto"/>
        <w:rPr>
          <w:sz w:val="20"/>
          <w:szCs w:val="20"/>
          <w:color w:val="auto"/>
        </w:rPr>
      </w:pPr>
      <w:r>
        <w:rPr>
          <w:rFonts w:ascii="Arial" w:cs="Arial" w:eastAsia="Arial" w:hAnsi="Arial"/>
          <w:sz w:val="11"/>
          <w:szCs w:val="11"/>
          <w:color w:val="auto"/>
        </w:rPr>
        <w:t>(c)the CLN Shares will, when registered in the name of the recipient in the register of members of the Company and when issued pursuant to the terms of the CLN Instrument be duly and validly authorised and issued, fully paid or credited as fully paid;</w:t>
      </w: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289" w:right="1440" w:bottom="1440" w:gutter="0" w:footer="0" w:header="0"/>
        </w:sectPr>
      </w:pPr>
    </w:p>
    <w:bookmarkStart w:id="314" w:name="page315"/>
    <w:bookmarkEnd w:id="314"/>
    <w:p>
      <w:pPr>
        <w:ind w:left="800" w:right="400"/>
        <w:spacing w:after="0" w:line="251" w:lineRule="auto"/>
        <w:rPr>
          <w:sz w:val="20"/>
          <w:szCs w:val="20"/>
          <w:color w:val="auto"/>
        </w:rPr>
      </w:pPr>
      <w:r>
        <w:rPr>
          <w:rFonts w:ascii="Arial" w:cs="Arial" w:eastAsia="Arial" w:hAnsi="Arial"/>
          <w:sz w:val="11"/>
          <w:szCs w:val="11"/>
          <w:color w:val="auto"/>
        </w:rPr>
        <w:t>(d)the SEPA Shares will, when registered in the name of the recipient in the register of members of the Company and when paid for and issued pursuant to the terms of the SEPA be duly and validly authorised and issued, fully paid or credited as fully paid;</w:t>
      </w:r>
    </w:p>
    <w:p>
      <w:pPr>
        <w:spacing w:after="0" w:line="95" w:lineRule="exact"/>
        <w:rPr>
          <w:sz w:val="20"/>
          <w:szCs w:val="20"/>
          <w:color w:val="auto"/>
        </w:rPr>
      </w:pPr>
    </w:p>
    <w:p>
      <w:pPr>
        <w:ind w:left="800" w:right="380"/>
        <w:spacing w:after="0" w:line="251" w:lineRule="auto"/>
        <w:rPr>
          <w:sz w:val="20"/>
          <w:szCs w:val="20"/>
          <w:color w:val="auto"/>
        </w:rPr>
      </w:pPr>
      <w:r>
        <w:rPr>
          <w:rFonts w:ascii="Arial" w:cs="Arial" w:eastAsia="Arial" w:hAnsi="Arial"/>
          <w:sz w:val="11"/>
          <w:szCs w:val="11"/>
          <w:color w:val="auto"/>
        </w:rPr>
        <w:t>(e)the CPN Shares will, when registered in the name of the recipient in the register of members of the Company and when issued pursuant to the terms of the applicable CPN Instruments be duly and validly authorised and issued, fully paid or credited as fully paid;</w:t>
      </w:r>
    </w:p>
    <w:p>
      <w:pPr>
        <w:spacing w:after="0" w:line="95" w:lineRule="exact"/>
        <w:rPr>
          <w:sz w:val="20"/>
          <w:szCs w:val="20"/>
          <w:color w:val="auto"/>
        </w:rPr>
      </w:pPr>
    </w:p>
    <w:p>
      <w:pPr>
        <w:ind w:left="800" w:right="300"/>
        <w:spacing w:after="0" w:line="251" w:lineRule="auto"/>
        <w:rPr>
          <w:sz w:val="20"/>
          <w:szCs w:val="20"/>
          <w:color w:val="auto"/>
        </w:rPr>
      </w:pPr>
      <w:r>
        <w:rPr>
          <w:rFonts w:ascii="Arial" w:cs="Arial" w:eastAsia="Arial" w:hAnsi="Arial"/>
          <w:sz w:val="11"/>
          <w:szCs w:val="11"/>
          <w:color w:val="auto"/>
        </w:rPr>
        <w:t>(f)the Private Warrant Shares will, when registered in the name of the recipient in the register of members of the Company and when paid for and issued pursuant to the terms of the Private Warrant Instrument be duly and validly authorised and issued, fully paid or credited as fully paid;</w:t>
      </w:r>
    </w:p>
    <w:p>
      <w:pPr>
        <w:spacing w:after="0" w:line="88" w:lineRule="exact"/>
        <w:rPr>
          <w:sz w:val="20"/>
          <w:szCs w:val="20"/>
          <w:color w:val="auto"/>
        </w:rPr>
      </w:pPr>
    </w:p>
    <w:p>
      <w:pPr>
        <w:ind w:left="800" w:right="680"/>
        <w:spacing w:after="0" w:line="251" w:lineRule="auto"/>
        <w:rPr>
          <w:sz w:val="20"/>
          <w:szCs w:val="20"/>
          <w:color w:val="auto"/>
        </w:rPr>
      </w:pPr>
      <w:r>
        <w:rPr>
          <w:rFonts w:ascii="Arial" w:cs="Arial" w:eastAsia="Arial" w:hAnsi="Arial"/>
          <w:sz w:val="11"/>
          <w:szCs w:val="11"/>
          <w:color w:val="auto"/>
        </w:rPr>
        <w:t>(g)the JVB Shares will, when registered in the name of the recipient in the register of members of the Company and when issued by the Company in satisfaction of its obligations as guarantor under the terms of the JVB Note be duly and validly authorised and issued, fully paid or credited as fully paid;</w:t>
      </w:r>
    </w:p>
    <w:p>
      <w:pPr>
        <w:spacing w:after="0" w:line="95" w:lineRule="exact"/>
        <w:rPr>
          <w:sz w:val="20"/>
          <w:szCs w:val="20"/>
          <w:color w:val="auto"/>
        </w:rPr>
      </w:pPr>
    </w:p>
    <w:p>
      <w:pPr>
        <w:ind w:left="800" w:right="460"/>
        <w:spacing w:after="0" w:line="251" w:lineRule="auto"/>
        <w:rPr>
          <w:sz w:val="20"/>
          <w:szCs w:val="20"/>
          <w:color w:val="auto"/>
        </w:rPr>
      </w:pPr>
      <w:r>
        <w:rPr>
          <w:rFonts w:ascii="Arial" w:cs="Arial" w:eastAsia="Arial" w:hAnsi="Arial"/>
          <w:sz w:val="11"/>
          <w:szCs w:val="11"/>
          <w:color w:val="auto"/>
        </w:rPr>
        <w:t>(h)the Cohen Shares will, when registered in the name of the recipient in the register of members of the Company and when issued pursuant to the terms of the Cohen Note be duly and validly authorised and issued, fully paid or credited as fully paid and will not be subject to any call for payment of further capital;</w:t>
      </w:r>
    </w:p>
    <w:p>
      <w:pPr>
        <w:spacing w:after="0" w:line="88" w:lineRule="exact"/>
        <w:rPr>
          <w:sz w:val="20"/>
          <w:szCs w:val="20"/>
          <w:color w:val="auto"/>
        </w:rPr>
      </w:pPr>
    </w:p>
    <w:p>
      <w:pPr>
        <w:ind w:left="800" w:right="300"/>
        <w:spacing w:after="0" w:line="251" w:lineRule="auto"/>
        <w:rPr>
          <w:sz w:val="20"/>
          <w:szCs w:val="20"/>
          <w:color w:val="auto"/>
        </w:rPr>
      </w:pPr>
      <w:r>
        <w:rPr>
          <w:rFonts w:ascii="Arial" w:cs="Arial" w:eastAsia="Arial" w:hAnsi="Arial"/>
          <w:sz w:val="11"/>
          <w:szCs w:val="11"/>
          <w:color w:val="auto"/>
        </w:rPr>
        <w:t>(i)the Berenberg Shares will, when registered in the name of the recipient in the register of members of the Company and when issued pursuant to the terms of the Berenberg Letter be duly and validly authorised and issued, fully paid or credited as fully paid;</w:t>
      </w:r>
    </w:p>
    <w:p>
      <w:pPr>
        <w:spacing w:after="0" w:line="95" w:lineRule="exact"/>
        <w:rPr>
          <w:sz w:val="20"/>
          <w:szCs w:val="20"/>
          <w:color w:val="auto"/>
        </w:rPr>
      </w:pPr>
    </w:p>
    <w:p>
      <w:pPr>
        <w:ind w:left="800" w:right="440"/>
        <w:spacing w:after="0" w:line="251" w:lineRule="auto"/>
        <w:rPr>
          <w:sz w:val="20"/>
          <w:szCs w:val="20"/>
          <w:color w:val="auto"/>
        </w:rPr>
      </w:pPr>
      <w:r>
        <w:rPr>
          <w:rFonts w:ascii="Arial" w:cs="Arial" w:eastAsia="Arial" w:hAnsi="Arial"/>
          <w:sz w:val="11"/>
          <w:szCs w:val="11"/>
          <w:color w:val="auto"/>
        </w:rPr>
        <w:t>(j)the Cantor Shares will, when registered in the name of the recipient in the register of members of the Company and when issued pursuant to the terms of the Cantor Letter be duly and validly authorised and issued, fully paid or credited as fully paid;</w:t>
      </w:r>
    </w:p>
    <w:p>
      <w:pPr>
        <w:spacing w:after="0" w:line="88" w:lineRule="exact"/>
        <w:rPr>
          <w:sz w:val="20"/>
          <w:szCs w:val="20"/>
          <w:color w:val="auto"/>
        </w:rPr>
      </w:pPr>
    </w:p>
    <w:p>
      <w:pPr>
        <w:ind w:left="800" w:right="420"/>
        <w:spacing w:after="0" w:line="251" w:lineRule="auto"/>
        <w:rPr>
          <w:sz w:val="20"/>
          <w:szCs w:val="20"/>
          <w:color w:val="auto"/>
        </w:rPr>
      </w:pPr>
      <w:r>
        <w:rPr>
          <w:rFonts w:ascii="Arial" w:cs="Arial" w:eastAsia="Arial" w:hAnsi="Arial"/>
          <w:sz w:val="11"/>
          <w:szCs w:val="11"/>
          <w:color w:val="auto"/>
        </w:rPr>
        <w:t>(k)the Maxim Shares will, when registered in the name of the recipient in the register of members of the Company and when issued pursuant to the terms of the Maxim Letter be duly and validly authorised and issued, fully paid or credited as fully paid;</w:t>
      </w:r>
    </w:p>
    <w:p>
      <w:pPr>
        <w:spacing w:after="0" w:line="95" w:lineRule="exact"/>
        <w:rPr>
          <w:sz w:val="20"/>
          <w:szCs w:val="20"/>
          <w:color w:val="auto"/>
        </w:rPr>
      </w:pPr>
    </w:p>
    <w:p>
      <w:pPr>
        <w:ind w:left="800" w:right="300"/>
        <w:spacing w:after="0" w:line="251" w:lineRule="auto"/>
        <w:rPr>
          <w:sz w:val="20"/>
          <w:szCs w:val="20"/>
          <w:color w:val="auto"/>
        </w:rPr>
      </w:pPr>
      <w:r>
        <w:rPr>
          <w:rFonts w:ascii="Arial" w:cs="Arial" w:eastAsia="Arial" w:hAnsi="Arial"/>
          <w:sz w:val="11"/>
          <w:szCs w:val="11"/>
          <w:color w:val="auto"/>
        </w:rPr>
        <w:t>(l)the Roth Shares will, when registered in the name of the recipient in the register of members of the Company and when issued pursuant to the terms of the Roth Letter be duly and validly authorised and issued, fully paid or credited as fully paid;</w:t>
      </w:r>
    </w:p>
    <w:p>
      <w:pPr>
        <w:spacing w:after="0" w:line="13" w:lineRule="exact"/>
        <w:rPr>
          <w:sz w:val="20"/>
          <w:szCs w:val="20"/>
          <w:color w:val="auto"/>
        </w:rPr>
      </w:pPr>
    </w:p>
    <w:p>
      <w:pPr>
        <w:ind w:left="800" w:right="480"/>
        <w:spacing w:after="0" w:line="251" w:lineRule="auto"/>
        <w:rPr>
          <w:sz w:val="20"/>
          <w:szCs w:val="20"/>
          <w:color w:val="auto"/>
        </w:rPr>
      </w:pPr>
      <w:r>
        <w:rPr>
          <w:rFonts w:ascii="Arial" w:cs="Arial" w:eastAsia="Arial" w:hAnsi="Arial"/>
          <w:sz w:val="11"/>
          <w:szCs w:val="11"/>
          <w:color w:val="auto"/>
        </w:rPr>
        <w:t>(m)the EF Hutton Shares will, when registered in the name of the recipient in the register of members of the Company and when issued pursuant to the terms of the EF Hutton Letter be duly and validly authorised and issued, fully paid or credited as fully paid;</w:t>
      </w:r>
    </w:p>
    <w:p>
      <w:pPr>
        <w:spacing w:after="0" w:line="88" w:lineRule="exact"/>
        <w:rPr>
          <w:sz w:val="20"/>
          <w:szCs w:val="20"/>
          <w:color w:val="auto"/>
        </w:rPr>
      </w:pPr>
    </w:p>
    <w:p>
      <w:pPr>
        <w:ind w:left="800" w:right="380"/>
        <w:spacing w:after="0" w:line="251" w:lineRule="auto"/>
        <w:rPr>
          <w:sz w:val="20"/>
          <w:szCs w:val="20"/>
          <w:color w:val="auto"/>
        </w:rPr>
      </w:pPr>
      <w:r>
        <w:rPr>
          <w:rFonts w:ascii="Arial" w:cs="Arial" w:eastAsia="Arial" w:hAnsi="Arial"/>
          <w:sz w:val="11"/>
          <w:szCs w:val="11"/>
          <w:color w:val="auto"/>
        </w:rPr>
        <w:t>(n)the Northland Shares will, when registered in the name of the recipient in the register of members of the Company and when issued pursuant to the terms of the Northland Note be duly and validly authorised and issued, fully paid or credited as fully paid; and</w:t>
      </w: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372" w:right="1440" w:bottom="1440" w:gutter="0" w:footer="0" w:header="0"/>
        </w:sectPr>
      </w:pPr>
    </w:p>
    <w:bookmarkStart w:id="315" w:name="page316"/>
    <w:bookmarkEnd w:id="315"/>
    <w:p>
      <w:pPr>
        <w:ind w:left="800" w:right="540"/>
        <w:spacing w:after="0" w:line="251" w:lineRule="auto"/>
        <w:rPr>
          <w:sz w:val="20"/>
          <w:szCs w:val="20"/>
          <w:color w:val="auto"/>
        </w:rPr>
      </w:pPr>
      <w:r>
        <w:rPr>
          <w:rFonts w:ascii="Arial" w:cs="Arial" w:eastAsia="Arial" w:hAnsi="Arial"/>
          <w:sz w:val="11"/>
          <w:szCs w:val="11"/>
          <w:color w:val="auto"/>
        </w:rPr>
        <w:t>(o)the ASA Shares will, when registered in the name of the recipient in the register of members of the Company and when issued pursuant to the terms of the ASAs be duly and validly authorised and issued, fully paid or credited as fully paid.</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5.Extent of opinion</w:t>
      </w:r>
    </w:p>
    <w:p>
      <w:pPr>
        <w:spacing w:after="0" w:line="106" w:lineRule="exact"/>
        <w:rPr>
          <w:sz w:val="20"/>
          <w:szCs w:val="20"/>
          <w:color w:val="auto"/>
        </w:rPr>
      </w:pPr>
    </w:p>
    <w:p>
      <w:pPr>
        <w:ind w:left="100" w:right="560"/>
        <w:spacing w:after="0" w:line="251" w:lineRule="auto"/>
        <w:rPr>
          <w:sz w:val="20"/>
          <w:szCs w:val="20"/>
          <w:color w:val="auto"/>
        </w:rPr>
      </w:pPr>
      <w:r>
        <w:rPr>
          <w:rFonts w:ascii="Arial" w:cs="Arial" w:eastAsia="Arial" w:hAnsi="Arial"/>
          <w:sz w:val="11"/>
          <w:szCs w:val="11"/>
          <w:color w:val="auto"/>
        </w:rPr>
        <w:t>5.1We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95" w:lineRule="exact"/>
        <w:rPr>
          <w:sz w:val="20"/>
          <w:szCs w:val="20"/>
          <w:color w:val="auto"/>
        </w:rPr>
      </w:pPr>
    </w:p>
    <w:p>
      <w:pPr>
        <w:ind w:left="100" w:right="260"/>
        <w:spacing w:after="0" w:line="239" w:lineRule="auto"/>
        <w:rPr>
          <w:sz w:val="20"/>
          <w:szCs w:val="20"/>
          <w:color w:val="auto"/>
        </w:rPr>
      </w:pPr>
      <w:r>
        <w:rPr>
          <w:rFonts w:ascii="Arial" w:cs="Arial" w:eastAsia="Arial" w:hAnsi="Arial"/>
          <w:sz w:val="11"/>
          <w:szCs w:val="11"/>
          <w:color w:val="auto"/>
        </w:rPr>
        <w:t>5.2This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6.Disclosure and reliance</w:t>
      </w:r>
    </w:p>
    <w:p>
      <w:pPr>
        <w:spacing w:after="0" w:line="106" w:lineRule="exact"/>
        <w:rPr>
          <w:sz w:val="20"/>
          <w:szCs w:val="20"/>
          <w:color w:val="auto"/>
        </w:rPr>
      </w:pPr>
    </w:p>
    <w:p>
      <w:pPr>
        <w:ind w:left="100" w:right="280"/>
        <w:spacing w:after="0" w:line="239" w:lineRule="auto"/>
        <w:rPr>
          <w:sz w:val="20"/>
          <w:szCs w:val="20"/>
          <w:color w:val="auto"/>
        </w:rPr>
      </w:pPr>
      <w:r>
        <w:rPr>
          <w:rFonts w:ascii="Arial" w:cs="Arial" w:eastAsia="Arial" w:hAnsi="Arial"/>
          <w:sz w:val="11"/>
          <w:szCs w:val="11"/>
          <w:color w:val="auto"/>
        </w:rPr>
        <w:t>6.1This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Existing Shares and the Potential Shares. In giving such consent, we do not thereby admit that we are in the category of persons whose consent is required under the Securities Act or the rules and regulations thereunder.</w:t>
      </w:r>
    </w:p>
    <w:p>
      <w:pPr>
        <w:spacing w:after="0" w:line="102" w:lineRule="exact"/>
        <w:rPr>
          <w:sz w:val="20"/>
          <w:szCs w:val="20"/>
          <w:color w:val="auto"/>
        </w:rPr>
      </w:pPr>
    </w:p>
    <w:p>
      <w:pPr>
        <w:ind w:left="100" w:right="540"/>
        <w:spacing w:after="0" w:line="251" w:lineRule="auto"/>
        <w:rPr>
          <w:sz w:val="20"/>
          <w:szCs w:val="20"/>
          <w:color w:val="auto"/>
        </w:rPr>
      </w:pPr>
      <w:r>
        <w:rPr>
          <w:rFonts w:ascii="Arial" w:cs="Arial" w:eastAsia="Arial" w:hAnsi="Arial"/>
          <w:sz w:val="11"/>
          <w:szCs w:val="11"/>
          <w:color w:val="auto"/>
        </w:rPr>
        <w:t>6.2Other than for the purpose set out in the prior paragraph, this letter may not be relied upon, or assigned, for any purpose, without our prior written consent, which may be granted or withheld in our discretion.</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1233805" cy="2476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6">
                      <a:extLst>
                        <a:ext uri="{28A0092B-C50C-407E-A947-70E740481C1C}"/>
                      </a:extLst>
                    </a:blip>
                    <a:srcRect/>
                    <a:stretch>
                      <a:fillRect/>
                    </a:stretch>
                  </pic:blipFill>
                  <pic:spPr bwMode="auto">
                    <a:xfrm>
                      <a:off x="0" y="0"/>
                      <a:ext cx="1233805"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Taylor Wessing LLP</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259715</wp:posOffset>
            </wp:positionV>
            <wp:extent cx="6778625" cy="349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372" w:right="1440" w:bottom="1440" w:gutter="0" w:footer="0" w:header="0"/>
        </w:sectPr>
      </w:pPr>
    </w:p>
    <w:bookmarkStart w:id="316" w:name="page317"/>
    <w:bookmarkEnd w:id="316"/>
    <w:p>
      <w:pPr>
        <w:spacing w:after="0" w:line="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Exhibit 23.1</w:t>
      </w:r>
    </w:p>
    <w:p>
      <w:pPr>
        <w:spacing w:after="0" w:line="200" w:lineRule="exact"/>
        <w:rPr>
          <w:sz w:val="20"/>
          <w:szCs w:val="20"/>
          <w:color w:val="auto"/>
        </w:rPr>
      </w:pPr>
    </w:p>
    <w:p>
      <w:pPr>
        <w:spacing w:after="0" w:line="371" w:lineRule="exact"/>
        <w:rPr>
          <w:sz w:val="20"/>
          <w:szCs w:val="20"/>
          <w:color w:val="auto"/>
        </w:rPr>
      </w:pPr>
    </w:p>
    <w:p>
      <w:pPr>
        <w:ind w:left="1080"/>
        <w:spacing w:after="0"/>
        <w:rPr>
          <w:sz w:val="20"/>
          <w:szCs w:val="20"/>
          <w:color w:val="auto"/>
        </w:rPr>
      </w:pPr>
      <w:r>
        <w:rPr>
          <w:rFonts w:ascii="Arial" w:cs="Arial" w:eastAsia="Arial" w:hAnsi="Arial"/>
          <w:sz w:val="11"/>
          <w:szCs w:val="11"/>
          <w:u w:val="single" w:color="auto"/>
          <w:color w:val="auto"/>
        </w:rPr>
        <w:t>INDEPENDENT REGISTERED PUBLIC ACCOUNTING FIRM’S CONSENT</w:t>
      </w:r>
    </w:p>
    <w:p>
      <w:pPr>
        <w:spacing w:after="0" w:line="332" w:lineRule="exact"/>
        <w:rPr>
          <w:sz w:val="20"/>
          <w:szCs w:val="20"/>
          <w:color w:val="auto"/>
        </w:rPr>
      </w:pPr>
    </w:p>
    <w:p>
      <w:pPr>
        <w:ind w:right="20"/>
        <w:spacing w:after="0" w:line="242" w:lineRule="auto"/>
        <w:rPr>
          <w:sz w:val="20"/>
          <w:szCs w:val="20"/>
          <w:color w:val="auto"/>
        </w:rPr>
      </w:pPr>
      <w:r>
        <w:rPr>
          <w:rFonts w:ascii="Arial" w:cs="Arial" w:eastAsia="Arial" w:hAnsi="Arial"/>
          <w:sz w:val="10"/>
          <w:szCs w:val="10"/>
          <w:color w:val="auto"/>
        </w:rPr>
        <w:t>We consent to the inclusion in this registration statement of Rezolve AI Limited and Subsidiaries on Amendment No. 1 to Form F -1 of our report dated May 20, 2024, except for Notes 20.20, 13, and 14, as to which the date is June 11, 2023, expect Note 17 as to which the date is October 28, 2024, with respect to our audits of the carve-out consolidated financial statements of Rezolve AI Limited and Subsidiaries as of December 31, 2023 and 2022 (Restated) and for the years ended December 31, 2023 and December 31 2022 (restated). Our report includes an explanatory paragraph as to the company’s ability to continue as a going concern and an emphasis-of-matter for the restatement of the 2022 Financial Statements. We also consent to the reference to our firm under the heading “Experts” in such registration statement.</w:t>
      </w: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1"/>
          <w:szCs w:val="11"/>
          <w:color w:val="auto"/>
        </w:rPr>
        <w:t>/s/ Grassi &amp; Co., CPAs, P.C.</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Grassi &amp; Co., CPAs, P.C. Jericho,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October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114300</wp:posOffset>
            </wp:positionV>
            <wp:extent cx="6778625" cy="349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1"/>
          <w:szCs w:val="11"/>
          <w:b w:val="1"/>
          <w:bCs w:val="1"/>
          <w:color w:val="auto"/>
        </w:rPr>
        <w:t>Exhibit 23.2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INDEPENDENT REGISTERED PUBLIC ACCOUNTING FIRM’S CONSENT</w:t>
      </w:r>
    </w:p>
    <w:p>
      <w:pPr>
        <w:spacing w:after="0" w:line="1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We consent to the inclusion in this Registration Statement of Rezolve AI Limited on Amendment No. 1 to Form F-1 File No. 333-282004 of our report dated December 4, 2023, which includes an explanatory paragraph as to Armada Acquisition Corp. I’s ability to continue as a going concern, with respect to our audits of the financial statements of Armada Acquisition Corp. I as of September 30, 2023 and 2022 and for the years ended September 30, 2023 and 2022 , appearing in the Annual Report on Form 10-K of Armada Acquisition Corp. I for the year ended September 30, 2023, which is part of this Registration Statement. We were dismissed as auditors on August 21, 2024 and, accordingly, we have not performed any audit or review procedures with respect to any financial statements appearing in such Registration Statement for the periods after the date of our dismissal. We also consent to the reference to our Firm under the heading “Experts” in such Registration Statement.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Marcum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Marcum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East Hanover, NJ</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October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643890</wp:posOffset>
            </wp:positionV>
            <wp:extent cx="6778625" cy="349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63" w:right="640" w:bottom="1440" w:gutter="0" w:footer="0" w:header="0"/>
        </w:sectPr>
      </w:pPr>
    </w:p>
    <w:bookmarkStart w:id="318" w:name="page319"/>
    <w:bookmarkEnd w:id="318"/>
    <w:p>
      <w:pPr>
        <w:jc w:val="right"/>
        <w:spacing w:after="0"/>
        <w:rPr>
          <w:sz w:val="20"/>
          <w:szCs w:val="20"/>
          <w:color w:val="auto"/>
        </w:rPr>
      </w:pPr>
      <w:r>
        <w:rPr>
          <w:rFonts w:ascii="Calibri" w:cs="Calibri" w:eastAsia="Calibri" w:hAnsi="Calibri"/>
          <w:sz w:val="11"/>
          <w:szCs w:val="11"/>
          <w:b w:val="1"/>
          <w:bCs w:val="1"/>
          <w:color w:val="auto"/>
        </w:rPr>
        <w:t>Exhibit 107</w:t>
      </w:r>
    </w:p>
    <w:p>
      <w:pPr>
        <w:spacing w:after="0" w:line="1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CALCULATION OF REGISTRATION FEE Form F-1</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(Form</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Type)</w:t>
      </w:r>
    </w:p>
    <w:p>
      <w:pPr>
        <w:spacing w:after="0" w:line="1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REZOLVE AI LIMITED</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(Exact name of registrant as specified in its charter)</w:t>
      </w:r>
    </w:p>
    <w:p>
      <w:pPr>
        <w:spacing w:after="0" w:line="1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9"/>
          <w:szCs w:val="9"/>
          <w:color w:val="auto"/>
        </w:rPr>
        <w:t>CALCULATION OF REGISTRATION FEE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840" w:type="dxa"/>
            <w:vAlign w:val="bottom"/>
            <w:tcBorders>
              <w:top w:val="single" w:sz="8" w:color="auto"/>
            </w:tcBorders>
          </w:tcPr>
          <w:p>
            <w:pPr>
              <w:spacing w:after="0"/>
              <w:rPr>
                <w:sz w:val="9"/>
                <w:szCs w:val="9"/>
                <w:color w:val="auto"/>
              </w:rPr>
            </w:pPr>
          </w:p>
        </w:tc>
        <w:tc>
          <w:tcPr>
            <w:tcW w:w="2720" w:type="dxa"/>
            <w:vAlign w:val="bottom"/>
            <w:tcBorders>
              <w:top w:val="single" w:sz="8" w:color="auto"/>
              <w:right w:val="single" w:sz="8" w:color="auto"/>
            </w:tcBorders>
          </w:tcPr>
          <w:p>
            <w:pPr>
              <w:spacing w:after="0"/>
              <w:rPr>
                <w:sz w:val="9"/>
                <w:szCs w:val="9"/>
                <w:color w:val="auto"/>
              </w:rPr>
            </w:pPr>
          </w:p>
        </w:tc>
        <w:tc>
          <w:tcPr>
            <w:tcW w:w="1500" w:type="dxa"/>
            <w:vAlign w:val="bottom"/>
            <w:tcBorders>
              <w:top w:val="single" w:sz="8" w:color="auto"/>
              <w:right w:val="single" w:sz="8" w:color="auto"/>
            </w:tcBorders>
            <w:vMerge w:val="restart"/>
          </w:tcPr>
          <w:p>
            <w:pPr>
              <w:ind w:left="380"/>
              <w:spacing w:after="0"/>
              <w:rPr>
                <w:sz w:val="20"/>
                <w:szCs w:val="20"/>
                <w:color w:val="auto"/>
              </w:rPr>
            </w:pPr>
            <w:r>
              <w:rPr>
                <w:rFonts w:ascii="Times New Roman" w:cs="Times New Roman" w:eastAsia="Times New Roman" w:hAnsi="Times New Roman"/>
                <w:sz w:val="7"/>
                <w:szCs w:val="7"/>
                <w:color w:val="auto"/>
              </w:rPr>
              <w:t>Amount to be registered</w:t>
            </w:r>
            <w:r>
              <w:rPr>
                <w:rFonts w:ascii="Times New Roman" w:cs="Times New Roman" w:eastAsia="Times New Roman" w:hAnsi="Times New Roman"/>
                <w:sz w:val="9"/>
                <w:szCs w:val="9"/>
                <w:color w:val="auto"/>
                <w:vertAlign w:val="superscript"/>
              </w:rPr>
              <w:t>(1)</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7"/>
                <w:szCs w:val="7"/>
                <w:color w:val="auto"/>
                <w:w w:val="94"/>
              </w:rPr>
              <w:t>Proposed Maximum Offering Price per</w:t>
            </w:r>
          </w:p>
        </w:tc>
        <w:tc>
          <w:tcPr>
            <w:tcW w:w="190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7"/>
                <w:szCs w:val="7"/>
                <w:color w:val="auto"/>
              </w:rPr>
              <w:t>Proposed Maximum Aggregate Offering Price</w:t>
            </w:r>
          </w:p>
        </w:tc>
        <w:tc>
          <w:tcPr>
            <w:tcW w:w="13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840" w:type="dxa"/>
            <w:vAlign w:val="bottom"/>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7"/>
                <w:szCs w:val="7"/>
                <w:color w:val="auto"/>
              </w:rPr>
              <w:t>Security</w:t>
            </w:r>
          </w:p>
        </w:tc>
        <w:tc>
          <w:tcPr>
            <w:tcW w:w="1900" w:type="dxa"/>
            <w:vAlign w:val="bottom"/>
            <w:tcBorders>
              <w:right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840" w:type="dxa"/>
            <w:vAlign w:val="bottom"/>
          </w:tcPr>
          <w:p>
            <w:pPr>
              <w:spacing w:after="0"/>
              <w:rPr>
                <w:sz w:val="7"/>
                <w:szCs w:val="7"/>
                <w:color w:val="auto"/>
              </w:rPr>
            </w:pPr>
          </w:p>
        </w:tc>
        <w:tc>
          <w:tcPr>
            <w:tcW w:w="2720" w:type="dxa"/>
            <w:vAlign w:val="bottom"/>
            <w:tcBorders>
              <w:right w:val="single" w:sz="8" w:color="auto"/>
            </w:tcBorders>
          </w:tcPr>
          <w:p>
            <w:pPr>
              <w:jc w:val="center"/>
              <w:ind w:right="1826"/>
              <w:spacing w:after="0"/>
              <w:rPr>
                <w:sz w:val="20"/>
                <w:szCs w:val="20"/>
                <w:color w:val="auto"/>
              </w:rPr>
            </w:pPr>
            <w:r>
              <w:rPr>
                <w:rFonts w:ascii="Times New Roman" w:cs="Times New Roman" w:eastAsia="Times New Roman" w:hAnsi="Times New Roman"/>
                <w:sz w:val="7"/>
                <w:szCs w:val="7"/>
                <w:color w:val="auto"/>
                <w:w w:val="94"/>
              </w:rPr>
              <w:t>Title of Each Class of</w:t>
            </w:r>
          </w:p>
        </w:tc>
        <w:tc>
          <w:tcPr>
            <w:tcW w:w="150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7"/>
                <w:szCs w:val="7"/>
                <w:color w:val="auto"/>
              </w:rPr>
              <w:t>Amount of</w:t>
            </w:r>
          </w:p>
        </w:tc>
        <w:tc>
          <w:tcPr>
            <w:tcW w:w="0" w:type="dxa"/>
            <w:vAlign w:val="bottom"/>
          </w:tcPr>
          <w:p>
            <w:pPr>
              <w:spacing w:after="0"/>
              <w:rPr>
                <w:sz w:val="1"/>
                <w:szCs w:val="1"/>
                <w:color w:val="auto"/>
              </w:rPr>
            </w:pPr>
          </w:p>
        </w:tc>
      </w:tr>
      <w:tr>
        <w:trPr>
          <w:trHeight w:val="91"/>
        </w:trPr>
        <w:tc>
          <w:tcPr>
            <w:tcW w:w="1840" w:type="dxa"/>
            <w:vAlign w:val="bottom"/>
            <w:tcBorders>
              <w:bottom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jc w:val="center"/>
              <w:ind w:right="1806"/>
              <w:spacing w:after="0"/>
              <w:rPr>
                <w:sz w:val="20"/>
                <w:szCs w:val="20"/>
                <w:color w:val="auto"/>
              </w:rPr>
            </w:pPr>
            <w:r>
              <w:rPr>
                <w:rFonts w:ascii="Times New Roman" w:cs="Times New Roman" w:eastAsia="Times New Roman" w:hAnsi="Times New Roman"/>
                <w:sz w:val="7"/>
                <w:szCs w:val="7"/>
                <w:color w:val="auto"/>
                <w:w w:val="96"/>
              </w:rPr>
              <w:t>Securities to be Registered</w:t>
            </w:r>
          </w:p>
        </w:tc>
        <w:tc>
          <w:tcPr>
            <w:tcW w:w="15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7"/>
                <w:szCs w:val="7"/>
                <w:color w:val="auto"/>
              </w:rPr>
              <w:t>Registration Fee</w:t>
            </w:r>
            <w:r>
              <w:rPr>
                <w:rFonts w:ascii="Times New Roman" w:cs="Times New Roman" w:eastAsia="Times New Roman" w:hAnsi="Times New Roman"/>
                <w:sz w:val="5"/>
                <w:szCs w:val="5"/>
                <w:color w:val="auto"/>
              </w:rPr>
              <w:t>(6)</w:t>
            </w:r>
          </w:p>
        </w:tc>
        <w:tc>
          <w:tcPr>
            <w:tcW w:w="0" w:type="dxa"/>
            <w:vAlign w:val="bottom"/>
          </w:tcPr>
          <w:p>
            <w:pPr>
              <w:spacing w:after="0"/>
              <w:rPr>
                <w:sz w:val="1"/>
                <w:szCs w:val="1"/>
                <w:color w:val="auto"/>
              </w:rPr>
            </w:pPr>
          </w:p>
        </w:tc>
      </w:tr>
      <w:tr>
        <w:trPr>
          <w:trHeight w:val="113"/>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rPr>
              <w:t>Ordinary Shares Underlying the Public Warrants</w:t>
            </w:r>
          </w:p>
        </w:tc>
        <w:tc>
          <w:tcPr>
            <w:tcW w:w="2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7,499,994</w:t>
            </w:r>
          </w:p>
        </w:tc>
        <w:tc>
          <w:tcPr>
            <w:tcW w:w="1220" w:type="dxa"/>
            <w:vAlign w:val="bottom"/>
            <w:tcBorders>
              <w:bottom w:val="single" w:sz="8" w:color="auto"/>
              <w:right w:val="single" w:sz="8" w:color="auto"/>
            </w:tcBorders>
          </w:tcPr>
          <w:p>
            <w:pPr>
              <w:ind w:left="60"/>
              <w:spacing w:after="0" w:line="113" w:lineRule="exact"/>
              <w:rPr>
                <w:sz w:val="20"/>
                <w:szCs w:val="20"/>
                <w:color w:val="auto"/>
              </w:rPr>
            </w:pPr>
            <w:r>
              <w:rPr>
                <w:rFonts w:ascii="Times New Roman" w:cs="Times New Roman" w:eastAsia="Times New Roman" w:hAnsi="Times New Roman"/>
                <w:sz w:val="9"/>
                <w:szCs w:val="9"/>
                <w:color w:val="auto"/>
              </w:rPr>
              <w:t>$11.50</w:t>
            </w:r>
            <w:r>
              <w:rPr>
                <w:rFonts w:ascii="Times New Roman" w:cs="Times New Roman" w:eastAsia="Times New Roman" w:hAnsi="Times New Roman"/>
                <w:sz w:val="12"/>
                <w:szCs w:val="12"/>
                <w:color w:val="auto"/>
                <w:vertAlign w:val="superscript"/>
              </w:rPr>
              <w:t>(2)</w:t>
            </w:r>
          </w:p>
        </w:tc>
        <w:tc>
          <w:tcPr>
            <w:tcW w:w="1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$86,249,931</w:t>
            </w: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$12,730.49</w:t>
            </w: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rPr>
              <w:t>Secondary Offering Ordinary Shares</w:t>
            </w:r>
          </w:p>
        </w:tc>
        <w:tc>
          <w:tcPr>
            <w:tcW w:w="2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163,619,604</w:t>
            </w:r>
          </w:p>
        </w:tc>
        <w:tc>
          <w:tcPr>
            <w:tcW w:w="1220" w:type="dxa"/>
            <w:vAlign w:val="bottom"/>
            <w:tcBorders>
              <w:bottom w:val="single" w:sz="8" w:color="auto"/>
              <w:right w:val="single" w:sz="8" w:color="auto"/>
            </w:tcBorders>
          </w:tcPr>
          <w:p>
            <w:pPr>
              <w:ind w:left="60"/>
              <w:spacing w:after="0" w:line="107" w:lineRule="exact"/>
              <w:rPr>
                <w:sz w:val="20"/>
                <w:szCs w:val="20"/>
                <w:color w:val="auto"/>
              </w:rPr>
            </w:pPr>
            <w:r>
              <w:rPr>
                <w:rFonts w:ascii="Times New Roman" w:cs="Times New Roman" w:eastAsia="Times New Roman" w:hAnsi="Times New Roman"/>
                <w:sz w:val="9"/>
                <w:szCs w:val="9"/>
                <w:color w:val="auto"/>
              </w:rPr>
              <w:t>$8.08</w:t>
            </w:r>
            <w:r>
              <w:rPr>
                <w:rFonts w:ascii="Times New Roman" w:cs="Times New Roman" w:eastAsia="Times New Roman" w:hAnsi="Times New Roman"/>
                <w:sz w:val="12"/>
                <w:szCs w:val="12"/>
                <w:color w:val="auto"/>
                <w:vertAlign w:val="superscript"/>
              </w:rPr>
              <w:t>(3)</w:t>
            </w:r>
          </w:p>
        </w:tc>
        <w:tc>
          <w:tcPr>
            <w:tcW w:w="1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$1,322,046,400.32</w:t>
            </w: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$195,134.05</w:t>
            </w: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rPr>
              <w:t>Secondary Offering Ordinary Shares</w:t>
            </w:r>
          </w:p>
        </w:tc>
        <w:tc>
          <w:tcPr>
            <w:tcW w:w="2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20,879,204</w:t>
            </w:r>
          </w:p>
        </w:tc>
        <w:tc>
          <w:tcPr>
            <w:tcW w:w="1220" w:type="dxa"/>
            <w:vAlign w:val="bottom"/>
            <w:tcBorders>
              <w:bottom w:val="single" w:sz="8" w:color="auto"/>
              <w:right w:val="single" w:sz="8" w:color="auto"/>
            </w:tcBorders>
          </w:tcPr>
          <w:p>
            <w:pPr>
              <w:ind w:left="60"/>
              <w:spacing w:after="0" w:line="107" w:lineRule="exact"/>
              <w:rPr>
                <w:sz w:val="20"/>
                <w:szCs w:val="20"/>
                <w:color w:val="auto"/>
              </w:rPr>
            </w:pPr>
            <w:r>
              <w:rPr>
                <w:rFonts w:ascii="Times New Roman" w:cs="Times New Roman" w:eastAsia="Times New Roman" w:hAnsi="Times New Roman"/>
                <w:sz w:val="9"/>
                <w:szCs w:val="9"/>
                <w:color w:val="auto"/>
              </w:rPr>
              <w:t>$5.06</w:t>
            </w:r>
            <w:r>
              <w:rPr>
                <w:rFonts w:ascii="Times New Roman" w:cs="Times New Roman" w:eastAsia="Times New Roman" w:hAnsi="Times New Roman"/>
                <w:sz w:val="12"/>
                <w:szCs w:val="12"/>
                <w:color w:val="auto"/>
                <w:vertAlign w:val="superscript"/>
              </w:rPr>
              <w:t>(4)</w:t>
            </w:r>
          </w:p>
        </w:tc>
        <w:tc>
          <w:tcPr>
            <w:tcW w:w="1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$105,648,772</w:t>
            </w:r>
          </w:p>
        </w:tc>
        <w:tc>
          <w:tcPr>
            <w:tcW w:w="1360" w:type="dxa"/>
            <w:vAlign w:val="bottom"/>
            <w:tcBorders>
              <w:bottom w:val="single" w:sz="8" w:color="auto"/>
            </w:tcBorders>
          </w:tcPr>
          <w:p>
            <w:pPr>
              <w:ind w:left="40"/>
              <w:spacing w:after="0" w:line="107" w:lineRule="exact"/>
              <w:rPr>
                <w:sz w:val="20"/>
                <w:szCs w:val="20"/>
                <w:color w:val="auto"/>
              </w:rPr>
            </w:pPr>
            <w:r>
              <w:rPr>
                <w:rFonts w:ascii="Times New Roman" w:cs="Times New Roman" w:eastAsia="Times New Roman" w:hAnsi="Times New Roman"/>
                <w:sz w:val="9"/>
                <w:szCs w:val="9"/>
                <w:color w:val="auto"/>
              </w:rPr>
              <w:t>$16,174.83</w:t>
            </w:r>
            <w:r>
              <w:rPr>
                <w:rFonts w:ascii="Times New Roman" w:cs="Times New Roman" w:eastAsia="Times New Roman" w:hAnsi="Times New Roman"/>
                <w:sz w:val="12"/>
                <w:szCs w:val="12"/>
                <w:color w:val="auto"/>
                <w:vertAlign w:val="superscript"/>
              </w:rPr>
              <w:t>(7)</w:t>
            </w:r>
          </w:p>
        </w:tc>
        <w:tc>
          <w:tcPr>
            <w:tcW w:w="0" w:type="dxa"/>
            <w:vAlign w:val="bottom"/>
          </w:tcPr>
          <w:p>
            <w:pPr>
              <w:spacing w:after="0"/>
              <w:rPr>
                <w:sz w:val="1"/>
                <w:szCs w:val="1"/>
                <w:color w:val="auto"/>
              </w:rPr>
            </w:pPr>
          </w:p>
        </w:tc>
      </w:tr>
      <w:tr>
        <w:trPr>
          <w:trHeight w:val="92"/>
        </w:trPr>
        <w:tc>
          <w:tcPr>
            <w:tcW w:w="1840" w:type="dxa"/>
            <w:vAlign w:val="bottom"/>
          </w:tcPr>
          <w:p>
            <w:pPr>
              <w:ind w:left="20"/>
              <w:spacing w:after="0" w:line="93" w:lineRule="exact"/>
              <w:rPr>
                <w:sz w:val="20"/>
                <w:szCs w:val="20"/>
                <w:color w:val="auto"/>
              </w:rPr>
            </w:pPr>
            <w:r>
              <w:rPr>
                <w:rFonts w:ascii="Times New Roman" w:cs="Times New Roman" w:eastAsia="Times New Roman" w:hAnsi="Times New Roman"/>
                <w:sz w:val="9"/>
                <w:szCs w:val="9"/>
                <w:color w:val="auto"/>
              </w:rPr>
              <w:t>Secondary Offering Ordinary Shares</w:t>
            </w:r>
          </w:p>
        </w:tc>
        <w:tc>
          <w:tcPr>
            <w:tcW w:w="27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ind w:left="40"/>
              <w:spacing w:after="0" w:line="93" w:lineRule="exact"/>
              <w:rPr>
                <w:sz w:val="20"/>
                <w:szCs w:val="20"/>
                <w:color w:val="auto"/>
              </w:rPr>
            </w:pPr>
            <w:r>
              <w:rPr>
                <w:rFonts w:ascii="Times New Roman" w:cs="Times New Roman" w:eastAsia="Times New Roman" w:hAnsi="Times New Roman"/>
                <w:sz w:val="9"/>
                <w:szCs w:val="9"/>
                <w:color w:val="auto"/>
              </w:rPr>
              <w:t>569,982</w:t>
            </w:r>
          </w:p>
        </w:tc>
        <w:tc>
          <w:tcPr>
            <w:tcW w:w="1220" w:type="dxa"/>
            <w:vAlign w:val="bottom"/>
            <w:tcBorders>
              <w:right w:val="single" w:sz="8" w:color="auto"/>
            </w:tcBorders>
          </w:tcPr>
          <w:p>
            <w:pPr>
              <w:ind w:left="60"/>
              <w:spacing w:after="0" w:line="92" w:lineRule="exact"/>
              <w:rPr>
                <w:sz w:val="20"/>
                <w:szCs w:val="20"/>
                <w:color w:val="auto"/>
              </w:rPr>
            </w:pPr>
            <w:r>
              <w:rPr>
                <w:rFonts w:ascii="Times New Roman" w:cs="Times New Roman" w:eastAsia="Times New Roman" w:hAnsi="Times New Roman"/>
                <w:sz w:val="8"/>
                <w:szCs w:val="8"/>
                <w:color w:val="auto"/>
              </w:rPr>
              <w:t>$8.08</w:t>
            </w:r>
            <w:r>
              <w:rPr>
                <w:rFonts w:ascii="Times New Roman" w:cs="Times New Roman" w:eastAsia="Times New Roman" w:hAnsi="Times New Roman"/>
                <w:sz w:val="10"/>
                <w:szCs w:val="10"/>
                <w:color w:val="auto"/>
                <w:vertAlign w:val="superscript"/>
              </w:rPr>
              <w:t>(5)</w:t>
            </w:r>
          </w:p>
        </w:tc>
        <w:tc>
          <w:tcPr>
            <w:tcW w:w="1900" w:type="dxa"/>
            <w:vAlign w:val="bottom"/>
            <w:tcBorders>
              <w:right w:val="single" w:sz="8" w:color="auto"/>
            </w:tcBorders>
          </w:tcPr>
          <w:p>
            <w:pPr>
              <w:ind w:left="60"/>
              <w:spacing w:after="0" w:line="93" w:lineRule="exact"/>
              <w:rPr>
                <w:sz w:val="20"/>
                <w:szCs w:val="20"/>
                <w:color w:val="auto"/>
              </w:rPr>
            </w:pPr>
            <w:r>
              <w:rPr>
                <w:rFonts w:ascii="Times New Roman" w:cs="Times New Roman" w:eastAsia="Times New Roman" w:hAnsi="Times New Roman"/>
                <w:sz w:val="9"/>
                <w:szCs w:val="9"/>
                <w:color w:val="auto"/>
              </w:rPr>
              <w:t>$4,605,454.56</w:t>
            </w:r>
          </w:p>
        </w:tc>
        <w:tc>
          <w:tcPr>
            <w:tcW w:w="1360" w:type="dxa"/>
            <w:vAlign w:val="bottom"/>
          </w:tcPr>
          <w:p>
            <w:pPr>
              <w:ind w:left="40"/>
              <w:spacing w:after="0" w:line="93" w:lineRule="exact"/>
              <w:rPr>
                <w:sz w:val="20"/>
                <w:szCs w:val="20"/>
                <w:color w:val="auto"/>
              </w:rPr>
            </w:pPr>
            <w:r>
              <w:rPr>
                <w:rFonts w:ascii="Times New Roman" w:cs="Times New Roman" w:eastAsia="Times New Roman" w:hAnsi="Times New Roman"/>
                <w:sz w:val="9"/>
                <w:szCs w:val="9"/>
                <w:color w:val="auto"/>
              </w:rPr>
              <w:t>$679.77</w:t>
            </w:r>
          </w:p>
        </w:tc>
        <w:tc>
          <w:tcPr>
            <w:tcW w:w="0" w:type="dxa"/>
            <w:vAlign w:val="bottom"/>
          </w:tcPr>
          <w:p>
            <w:pPr>
              <w:spacing w:after="0"/>
              <w:rPr>
                <w:sz w:val="1"/>
                <w:szCs w:val="1"/>
                <w:color w:val="auto"/>
              </w:rPr>
            </w:pPr>
          </w:p>
        </w:tc>
      </w:tr>
      <w:tr>
        <w:trPr>
          <w:trHeight w:val="118"/>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rPr>
              <w:t>Underlying Private Warrants</w:t>
            </w:r>
          </w:p>
        </w:tc>
        <w:tc>
          <w:tcPr>
            <w:tcW w:w="272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rPr>
              <w:t>Total</w:t>
            </w:r>
          </w:p>
        </w:tc>
        <w:tc>
          <w:tcPr>
            <w:tcW w:w="2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9"/>
                <w:szCs w:val="9"/>
                <w:color w:val="auto"/>
              </w:rPr>
              <w:t>—</w:t>
            </w:r>
          </w:p>
        </w:tc>
        <w:tc>
          <w:tcPr>
            <w:tcW w:w="1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$1,518,550,557.88</w:t>
            </w: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$224,719.14</w:t>
            </w: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color w:val="auto"/>
              </w:rPr>
              <w:t>Total Fees Previously Paid</w:t>
            </w:r>
          </w:p>
        </w:tc>
        <w:tc>
          <w:tcPr>
            <w:tcW w:w="2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$208,544.31</w:t>
            </w:r>
          </w:p>
        </w:tc>
        <w:tc>
          <w:tcPr>
            <w:tcW w:w="0" w:type="dxa"/>
            <w:vAlign w:val="bottom"/>
          </w:tcPr>
          <w:p>
            <w:pPr>
              <w:spacing w:after="0"/>
              <w:rPr>
                <w:sz w:val="1"/>
                <w:szCs w:val="1"/>
                <w:color w:val="auto"/>
              </w:rPr>
            </w:pPr>
          </w:p>
        </w:tc>
      </w:tr>
      <w:tr>
        <w:trPr>
          <w:trHeight w:val="106"/>
        </w:trPr>
        <w:tc>
          <w:tcPr>
            <w:tcW w:w="1840" w:type="dxa"/>
            <w:vAlign w:val="bottom"/>
          </w:tcPr>
          <w:p>
            <w:pPr>
              <w:ind w:left="20"/>
              <w:spacing w:after="0"/>
              <w:rPr>
                <w:sz w:val="20"/>
                <w:szCs w:val="20"/>
                <w:color w:val="auto"/>
              </w:rPr>
            </w:pPr>
            <w:r>
              <w:rPr>
                <w:rFonts w:ascii="Times New Roman" w:cs="Times New Roman" w:eastAsia="Times New Roman" w:hAnsi="Times New Roman"/>
                <w:sz w:val="9"/>
                <w:szCs w:val="9"/>
                <w:color w:val="auto"/>
              </w:rPr>
              <w:t>Registration Fee Due</w:t>
            </w:r>
          </w:p>
        </w:tc>
        <w:tc>
          <w:tcPr>
            <w:tcW w:w="272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9"/>
                <w:szCs w:val="9"/>
                <w:color w:val="auto"/>
              </w:rPr>
              <w:t>$16,174.83</w:t>
            </w:r>
          </w:p>
        </w:tc>
        <w:tc>
          <w:tcPr>
            <w:tcW w:w="0" w:type="dxa"/>
            <w:vAlign w:val="bottom"/>
          </w:tcPr>
          <w:p>
            <w:pPr>
              <w:spacing w:after="0"/>
              <w:rPr>
                <w:sz w:val="1"/>
                <w:szCs w:val="1"/>
                <w:color w:val="auto"/>
              </w:rPr>
            </w:pPr>
          </w:p>
        </w:tc>
      </w:tr>
      <w:tr>
        <w:trPr>
          <w:trHeight w:val="304"/>
        </w:trPr>
        <w:tc>
          <w:tcPr>
            <w:tcW w:w="184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(1)Pursuant to Rule 416(a) under the Securities Act of 1933, as amended (the “Securities Act”), there are also being registered an indeterminable number of additional securities as may be issued as a result of stock splits, stock dividends or similar transactions.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(2)Estimated solely for the purpose of the calculation of the registration fee pursuant to Rule 457(g), based on the exercise price of the warrants.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(3)Estimated solely for the purpose of the calculation of the registration fee pursuant to Rule 457(c) under the Securities Act, based on the average of the high and the low prices as reported on the Nasdaq Stock Market LLC on August 30, 2024.</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(4)Estimated solely for the purpose of the calculation of the registration fee pursuant to Rule 457(c) under the Securities Act, based on the average of the high and the low prices as reported on the Nasdaq Stock Market LLC on October 23, 2024</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(5)Estimated solely for the purpose of the calculation of the registration fee pursuant to Rule 457(g) and Rule 457(c) under the Securities Act, based on the average of the high and the low prices as reported on the Nasdaq Stock Market LLC on August 30, 2024.</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(6)Calculated by multiplying the proposed maximum aggregate offering price by 0.00014760.</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(7)Calculated by multiplying the proposed maximum aggregate offering price by 0.00015310.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110490</wp:posOffset>
            </wp:positionV>
            <wp:extent cx="6778625" cy="349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720" w:top="748" w:right="640" w:bottom="1440" w:gutter="0" w:footer="0" w:header="0"/>
        </w:sectPr>
      </w:pPr>
    </w:p>
    <w:bookmarkStart w:id="319" w:name="page320"/>
    <w:bookmarkEnd w:id="319"/>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404"/>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1)"/>
      <w:numFmt w:val="lowerLetter"/>
      <w:start w:val="27"/>
    </w:lvl>
  </w:abstractNum>
  <w:abstractNum w:abstractNumId="3">
    <w:nsid w:val="7FDCC233"/>
    <w:multiLevelType w:val="hybridMultilevel"/>
    <w:lvl w:ilvl="0">
      <w:lvlJc w:val="left"/>
      <w:lvlText w:val="2"/>
      <w:numFmt w:val="bullet"/>
      <w:start w:val="1"/>
    </w:lvl>
  </w:abstractNum>
  <w:abstractNum w:abstractNumId="4">
    <w:nsid w:val="1BEFD79F"/>
    <w:multiLevelType w:val="hybridMultilevel"/>
    <w:lvl w:ilvl="0">
      <w:lvlJc w:val="left"/>
      <w:lvlText w:val="(%1)"/>
      <w:numFmt w:val="lowerRoman"/>
      <w:start w:val="1"/>
    </w:lvl>
  </w:abstractNum>
  <w:abstractNum w:abstractNumId="5">
    <w:nsid w:val="41A7C4C9"/>
    <w:multiLevelType w:val="hybridMultilevel"/>
    <w:lvl w:ilvl="0">
      <w:lvlJc w:val="left"/>
      <w:lvlText w:val="2"/>
      <w:numFmt w:val="bullet"/>
      <w:start w:val="1"/>
    </w:lvl>
  </w:abstractNum>
  <w:abstractNum w:abstractNumId="6">
    <w:nsid w:val="6B68079A"/>
    <w:multiLevelType w:val="hybridMultilevel"/>
    <w:lvl w:ilvl="0">
      <w:lvlJc w:val="left"/>
      <w:lvlText w:val="3"/>
      <w:numFmt w:val="bullet"/>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45"/>
    </w:lvl>
  </w:abstractNum>
  <w:abstractNum w:abstractNumId="13">
    <w:nsid w:val="257130A3"/>
    <w:multiLevelType w:val="hybridMultilevel"/>
    <w:lvl w:ilvl="0">
      <w:lvlJc w:val="left"/>
      <w:lvlText w:val="(%1)"/>
      <w:numFmt w:val="decimal"/>
      <w:start w:val="46"/>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lowerRoman"/>
      <w:start w:val="2"/>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Roman"/>
      <w:start w:val="2"/>
    </w:lvl>
  </w:abstractNum>
  <w:abstractNum w:abstractNumId="18">
    <w:nsid w:val="721DA317"/>
    <w:multiLevelType w:val="hybridMultilevel"/>
    <w:lvl w:ilvl="0">
      <w:lvlJc w:val="left"/>
      <w:lvlText w:val="(%1)"/>
      <w:numFmt w:val="lowerRoman"/>
      <w:start w:val="2"/>
    </w:lvl>
  </w:abstractNum>
  <w:abstractNum w:abstractNumId="19">
    <w:nsid w:val="2443A858"/>
    <w:multiLevelType w:val="hybridMultilevel"/>
    <w:lvl w:ilvl="0">
      <w:lvlJc w:val="left"/>
      <w:lvlText w:val="(%1)"/>
      <w:numFmt w:val="lowerRoman"/>
      <w:start w:val="2"/>
    </w:lvl>
  </w:abstractNum>
  <w:abstractNum w:abstractNumId="20">
    <w:nsid w:val="2D1D5AE9"/>
    <w:multiLevelType w:val="hybridMultilevel"/>
    <w:lvl w:ilvl="0">
      <w:lvlJc w:val="left"/>
      <w:lvlText w:val="(%1)"/>
      <w:numFmt w:val="lowerRoman"/>
      <w:start w:val="2"/>
    </w:lvl>
  </w:abstractNum>
  <w:abstractNum w:abstractNumId="21">
    <w:nsid w:val="6763845E"/>
    <w:multiLevelType w:val="hybridMultilevel"/>
    <w:lvl w:ilvl="0">
      <w:lvlJc w:val="left"/>
      <w:lvlText w:val="(%1)"/>
      <w:numFmt w:val="lowerRoman"/>
      <w:start w:val="2"/>
    </w:lvl>
  </w:abstractNum>
  <w:abstractNum w:abstractNumId="22">
    <w:nsid w:val="75A2A8D4"/>
    <w:multiLevelType w:val="hybridMultilevel"/>
    <w:lvl w:ilvl="0">
      <w:lvlJc w:val="left"/>
      <w:lvlText w:val="(%1)"/>
      <w:numFmt w:val="lowerRoman"/>
      <w:start w:val="2"/>
    </w:lvl>
  </w:abstractNum>
  <w:abstractNum w:abstractNumId="23">
    <w:nsid w:val="8EDBDAB"/>
    <w:multiLevelType w:val="hybridMultilevel"/>
    <w:lvl w:ilvl="0">
      <w:lvlJc w:val="left"/>
      <w:lvlText w:val="%1"/>
      <w:numFmt w:val="decimal"/>
      <w:start w:val="107"/>
    </w:lvl>
  </w:abstractNum>
  <w:abstractNum w:abstractNumId="24">
    <w:nsid w:val="79838CB2"/>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7" Type="http://schemas.openxmlformats.org/officeDocument/2006/relationships/image" Target="media/image335.png"/><Relationship Id="rId363" Type="http://schemas.openxmlformats.org/officeDocument/2006/relationships/image" Target="media/image336.png"/><Relationship Id="rId364" Type="http://schemas.openxmlformats.org/officeDocument/2006/relationships/image" Target="media/image337.png"/><Relationship Id="rId365" Type="http://schemas.openxmlformats.org/officeDocument/2006/relationships/image" Target="media/image338.png"/><Relationship Id="rId366" Type="http://schemas.openxmlformats.org/officeDocument/2006/relationships/image" Target="media/image339.png"/><Relationship Id="rId367" Type="http://schemas.openxmlformats.org/officeDocument/2006/relationships/image" Target="media/image340.png"/><Relationship Id="rId368" Type="http://schemas.openxmlformats.org/officeDocument/2006/relationships/image" Target="media/image341.png"/><Relationship Id="rId369" Type="http://schemas.openxmlformats.org/officeDocument/2006/relationships/image" Target="media/image342.jpeg"/><Relationship Id="rId370" Type="http://schemas.openxmlformats.org/officeDocument/2006/relationships/image" Target="media/image343.png"/><Relationship Id="rId371" Type="http://schemas.openxmlformats.org/officeDocument/2006/relationships/image" Target="media/image344.png"/><Relationship Id="rId372" Type="http://schemas.openxmlformats.org/officeDocument/2006/relationships/image" Target="media/image345.png"/><Relationship Id="rId373" Type="http://schemas.openxmlformats.org/officeDocument/2006/relationships/image" Target="media/image346.png"/><Relationship Id="rId374" Type="http://schemas.openxmlformats.org/officeDocument/2006/relationships/image" Target="media/image347.png"/><Relationship Id="rId375" Type="http://schemas.openxmlformats.org/officeDocument/2006/relationships/image" Target="media/image348.png"/><Relationship Id="rId376" Type="http://schemas.openxmlformats.org/officeDocument/2006/relationships/image" Target="media/image349.png"/><Relationship Id="rId377" Type="http://schemas.openxmlformats.org/officeDocument/2006/relationships/image" Target="media/image350.png"/><Relationship Id="rId378" Type="http://schemas.openxmlformats.org/officeDocument/2006/relationships/image" Target="media/image351.png"/><Relationship Id="rId379" Type="http://schemas.openxmlformats.org/officeDocument/2006/relationships/image" Target="media/image352.png"/><Relationship Id="rId380" Type="http://schemas.openxmlformats.org/officeDocument/2006/relationships/image" Target="media/image353.png"/><Relationship Id="rId381" Type="http://schemas.openxmlformats.org/officeDocument/2006/relationships/image" Target="media/image354.png"/><Relationship Id="rId382" Type="http://schemas.openxmlformats.org/officeDocument/2006/relationships/image" Target="media/image355.png"/><Relationship Id="rId383" Type="http://schemas.openxmlformats.org/officeDocument/2006/relationships/image" Target="media/image356.png"/><Relationship Id="rId384" Type="http://schemas.openxmlformats.org/officeDocument/2006/relationships/image" Target="media/image357.png"/><Relationship Id="rId385" Type="http://schemas.openxmlformats.org/officeDocument/2006/relationships/image" Target="media/image358.png"/><Relationship Id="rId386" Type="http://schemas.openxmlformats.org/officeDocument/2006/relationships/image" Target="media/image359.jpeg"/><Relationship Id="rId387" Type="http://schemas.openxmlformats.org/officeDocument/2006/relationships/image" Target="media/image360.png"/><Relationship Id="rId388" Type="http://schemas.openxmlformats.org/officeDocument/2006/relationships/image" Target="media/image361.png"/><Relationship Id="rId389" Type="http://schemas.openxmlformats.org/officeDocument/2006/relationships/image" Target="media/image362.png"/><Relationship Id="rId390" Type="http://schemas.openxmlformats.org/officeDocument/2006/relationships/image" Target="media/image363.png"/><Relationship Id="rId342" Type="http://schemas.openxmlformats.org/officeDocument/2006/relationships/hyperlink" Target="https://www.sec.gov/Archives/edgar/data/1920294/000119312523240685/d309194df4a.htm#anxacov" TargetMode="External"/><Relationship Id="rId343" Type="http://schemas.openxmlformats.org/officeDocument/2006/relationships/hyperlink" Target="https://www.sec.gov/Archives/edgar/data/1920294/000119312523240685/d309194df4a.htm#anxaa" TargetMode="External"/><Relationship Id="rId344" Type="http://schemas.openxmlformats.org/officeDocument/2006/relationships/hyperlink" Target="https://www.sec.gov/Archives/edgar/data/1920294/000119312524204510/d885107dex11.htm" TargetMode="External"/><Relationship Id="rId345" Type="http://schemas.openxmlformats.org/officeDocument/2006/relationships/hyperlink" Target="https://www.sec.gov/Archives/edgar/data/1920294/000119312524204510/d885107dex21.htm" TargetMode="External"/><Relationship Id="rId346" Type="http://schemas.openxmlformats.org/officeDocument/2006/relationships/hyperlink" Target="https://www.sec.gov/Archives/edgar/data/1920294/000119312524204510/d885107dex22.htm" TargetMode="External"/><Relationship Id="rId348" Type="http://schemas.openxmlformats.org/officeDocument/2006/relationships/hyperlink" Target="https://www.sec.gov/Archives/edgar/data/1920294/000119312524204510/d885107dex43.htm" TargetMode="External"/><Relationship Id="rId349" Type="http://schemas.openxmlformats.org/officeDocument/2006/relationships/hyperlink" Target="https://www.sec.gov/Archives/edgar/data/1920294/000119312524204510/d885107dex44.htm" TargetMode="External"/><Relationship Id="rId350" Type="http://schemas.openxmlformats.org/officeDocument/2006/relationships/hyperlink" Target="https://www.sec.gov/Archives/edgar/data/1920294/000119312524204510/d885107dex46.htm" TargetMode="External"/><Relationship Id="rId351" Type="http://schemas.openxmlformats.org/officeDocument/2006/relationships/hyperlink" Target="https://www.sec.gov/Archives/edgar/data/1920294/000119312524204510/d885107dex47.htm" TargetMode="External"/><Relationship Id="rId352" Type="http://schemas.openxmlformats.org/officeDocument/2006/relationships/hyperlink" Target="https://www.sec.gov/Archives/edgar/data/1920294/000119312524159410/d309194dex1017.htm" TargetMode="External"/><Relationship Id="rId353" Type="http://schemas.openxmlformats.org/officeDocument/2006/relationships/hyperlink" Target="https://www.sec.gov/Archives/edgar/data/1920294/000119312524143103/d309194dex1018.htm" TargetMode="External"/><Relationship Id="rId354" Type="http://schemas.openxmlformats.org/officeDocument/2006/relationships/hyperlink" Target="https://www.sec.gov/Archives/edgar/data/1920294/000119312524143103/d309194dex1019.htm" TargetMode="External"/><Relationship Id="rId355" Type="http://schemas.openxmlformats.org/officeDocument/2006/relationships/hyperlink" Target="https://www.sec.gov/Archives/edgar/data/1920294/000119312524143103/d309194dex1020.htm" TargetMode="External"/><Relationship Id="rId356" Type="http://schemas.openxmlformats.org/officeDocument/2006/relationships/hyperlink" Target="https://www.sec.gov/Archives/edgar/data/1920294/000119312524143103/d309194dex1021.htm" TargetMode="External"/><Relationship Id="rId357" Type="http://schemas.openxmlformats.org/officeDocument/2006/relationships/hyperlink" Target="https://www.sec.gov/Archives/edgar/data/1920294/000119312524143103/d309194dex1022.htm" TargetMode="External"/><Relationship Id="rId358" Type="http://schemas.openxmlformats.org/officeDocument/2006/relationships/hyperlink" Target="https://www.sec.gov/Archives/edgar/data/1920294/000119312524143103/d309194dex1023.htm" TargetMode="External"/><Relationship Id="rId359" Type="http://schemas.openxmlformats.org/officeDocument/2006/relationships/hyperlink" Target="https://www.sec.gov/Archives/edgar/data/1920294/000119312524143103/d309194dex1024.htm" TargetMode="External"/><Relationship Id="rId360" Type="http://schemas.openxmlformats.org/officeDocument/2006/relationships/hyperlink" Target="https://www.sec.gov/Archives/edgar/data/1844817/000119312524028592/d701134dex21.htm" TargetMode="External"/><Relationship Id="rId361" Type="http://schemas.openxmlformats.org/officeDocument/2006/relationships/hyperlink" Target="https://www.sec.gov/Archives/edgar/data/1920294/000095017024104513/rzlv-ex10_13.htm" TargetMode="External"/><Relationship Id="rId362" Type="http://schemas.openxmlformats.org/officeDocument/2006/relationships/hyperlink" Target="https://www.sec.gov/Archives/edgar/data/1920294/000095017024106474/rzlv-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2024-10-29T10:40:18Z</dcterms:created>
  <dcterms:modified xsi:type="dcterms:W3CDTF">2024-10-29T10:40:18Z</dcterms:modified>
</cp:coreProperties>
</file>