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66001dsc13d.htm"/>
      <w:bookmarkStart w:id="1" w:name="ksd866001dsc13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Rezolve AI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Ordinary Shares, par value £0.0001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G75398 100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3rd Floor, 80 New Bond Street </w:t>
      </w:r>
    </w:p>
    <w:p>
      <w:pPr>
        <w:pStyle w:val="TextBody"/>
        <w:bidi w:val="0"/>
        <w:spacing w:before="0" w:after="0"/>
        <w:jc w:val="center"/>
        <w:rPr>
          <w:rFonts w:ascii="Times New Roman" w:hAnsi="Times New Roman"/>
          <w:b/>
          <w:sz w:val="20"/>
        </w:rPr>
      </w:pPr>
      <w:r>
        <w:rPr>
          <w:rFonts w:ascii="Times New Roman" w:hAnsi="Times New Roman"/>
          <w:b/>
          <w:sz w:val="20"/>
        </w:rPr>
        <w:t xml:space="preserve">London, WIS 1SB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20"/>
        </w:rPr>
      </w:pPr>
      <w:r>
        <w:rPr>
          <w:rFonts w:ascii="Times New Roman" w:hAnsi="Times New Roman"/>
          <w:b/>
          <w:sz w:val="20"/>
        </w:rPr>
        <w:t xml:space="preserve">+44 7785 32 33 32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15, 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Note: </w:t>
      </w:r>
      <w:r>
        <w:rPr>
          <w:rFonts w:ascii="Times New Roman" w:hAnsi="Times New Roman"/>
          <w:sz w:val="20"/>
        </w:rPr>
        <w:t xml:space="preserve">Schedules filed in paper format shall include a signed original and five copies of the schedule, including all exhibits. See Rule 13d-7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86"/>
        <w:gridCol w:w="120"/>
        <w:gridCol w:w="3227"/>
        <w:gridCol w:w="120"/>
        <w:gridCol w:w="3152"/>
      </w:tblGrid>
      <w:tr>
        <w:trPr/>
        <w:tc>
          <w:tcPr>
            <w:tcW w:w="35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pPr>
            <w:r>
              <w:rPr/>
              <w:t>CUSIP No. G75398 100</w:t>
            </w:r>
          </w:p>
        </w:tc>
        <w:tc>
          <w:tcPr>
            <w:tcW w:w="120" w:type="dxa"/>
            <w:tcBorders/>
            <w:vAlign w:val="bottom"/>
          </w:tcPr>
          <w:p>
            <w:pPr>
              <w:pStyle w:val="TableContents"/>
              <w:bidi w:val="0"/>
              <w:spacing w:before="0" w:after="283"/>
              <w:jc w:val="left"/>
              <w:rPr/>
            </w:pPr>
            <w:r>
              <w:rPr/>
              <w:t>  </w:t>
            </w:r>
          </w:p>
        </w:tc>
        <w:tc>
          <w:tcPr>
            <w:tcW w:w="3227" w:type="dxa"/>
            <w:tcBorders/>
          </w:tcPr>
          <w:p>
            <w:pPr>
              <w:pStyle w:val="TableContents"/>
              <w:bidi w:val="0"/>
              <w:spacing w:before="0" w:after="283"/>
              <w:jc w:val="center"/>
              <w:rPr/>
            </w:pPr>
            <w:r>
              <w:rPr/>
              <w:t>13D</w:t>
            </w:r>
          </w:p>
        </w:tc>
        <w:tc>
          <w:tcPr>
            <w:tcW w:w="120" w:type="dxa"/>
            <w:tcBorders/>
            <w:vAlign w:val="bottom"/>
          </w:tcPr>
          <w:p>
            <w:pPr>
              <w:pStyle w:val="TableContents"/>
              <w:bidi w:val="0"/>
              <w:spacing w:before="0" w:after="283"/>
              <w:jc w:val="left"/>
              <w:rPr/>
            </w:pPr>
            <w:r>
              <w:rPr/>
              <w:t>  </w:t>
            </w:r>
          </w:p>
        </w:tc>
        <w:tc>
          <w:tcPr>
            <w:tcW w:w="3152" w:type="dxa"/>
            <w:tcBorders/>
          </w:tcPr>
          <w:p>
            <w:pPr>
              <w:pStyle w:val="TableContents"/>
              <w:bidi w:val="0"/>
              <w:spacing w:before="0" w:after="283"/>
              <w:jc w:val="right"/>
              <w:rPr/>
            </w:pPr>
            <w:r>
              <w:rPr/>
              <w:t>Page 2 of 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4"/>
        <w:gridCol w:w="122"/>
        <w:gridCol w:w="779"/>
        <w:gridCol w:w="175"/>
        <w:gridCol w:w="169"/>
        <w:gridCol w:w="175"/>
        <w:gridCol w:w="8278"/>
      </w:tblGrid>
      <w:tr>
        <w:trPr/>
        <w:tc>
          <w:tcPr>
            <w:tcW w:w="4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278" w:type="dxa"/>
            <w:tcBorders/>
            <w:vAlign w:val="center"/>
          </w:tcPr>
          <w:p>
            <w:pPr>
              <w:pStyle w:val="TableContents"/>
              <w:bidi w:val="0"/>
              <w:spacing w:before="0" w:after="283"/>
              <w:jc w:val="left"/>
              <w:rPr>
                <w:sz w:val="4"/>
                <w:szCs w:val="4"/>
              </w:rPr>
            </w:pPr>
            <w:r>
              <w:rPr>
                <w:sz w:val="4"/>
                <w:szCs w:val="4"/>
              </w:rPr>
            </w:r>
          </w:p>
        </w:tc>
      </w:tr>
      <w:tr>
        <w:trPr/>
        <w:tc>
          <w:tcPr>
            <w:tcW w:w="40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6"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Daniel Wagner</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Kingdom</w:t>
            </w:r>
          </w:p>
        </w:tc>
      </w:tr>
    </w:tbl>
    <w:tbl>
      <w:tblPr>
        <w:tblW w:w="4950" w:type="pct"/>
        <w:jc w:val="left"/>
        <w:tblInd w:w="0" w:type="dxa"/>
        <w:tblLayout w:type="fixed"/>
        <w:tblCellMar>
          <w:top w:w="0" w:type="dxa"/>
          <w:left w:w="0" w:type="dxa"/>
          <w:bottom w:w="0" w:type="dxa"/>
          <w:right w:w="0" w:type="dxa"/>
        </w:tblCellMar>
      </w:tblPr>
      <w:tblGrid>
        <w:gridCol w:w="437"/>
        <w:gridCol w:w="356"/>
        <w:gridCol w:w="766"/>
        <w:gridCol w:w="174"/>
        <w:gridCol w:w="445"/>
        <w:gridCol w:w="174"/>
        <w:gridCol w:w="7750"/>
      </w:tblGrid>
      <w:tr>
        <w:trPr/>
        <w:tc>
          <w:tcPr>
            <w:tcW w:w="43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750"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4,698,505</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35,266,716</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4,698,505</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75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35,266,716</w:t>
            </w:r>
          </w:p>
        </w:tc>
      </w:tr>
    </w:tbl>
    <w:tbl>
      <w:tblPr>
        <w:tblW w:w="4950" w:type="pct"/>
        <w:jc w:val="left"/>
        <w:tblInd w:w="0" w:type="dxa"/>
        <w:tblLayout w:type="fixed"/>
        <w:tblCellMar>
          <w:top w:w="0" w:type="dxa"/>
          <w:left w:w="0" w:type="dxa"/>
          <w:bottom w:w="0" w:type="dxa"/>
          <w:right w:w="0" w:type="dxa"/>
        </w:tblCellMar>
      </w:tblPr>
      <w:tblGrid>
        <w:gridCol w:w="424"/>
        <w:gridCol w:w="125"/>
        <w:gridCol w:w="951"/>
        <w:gridCol w:w="213"/>
        <w:gridCol w:w="205"/>
        <w:gridCol w:w="213"/>
        <w:gridCol w:w="7971"/>
      </w:tblGrid>
      <w:tr>
        <w:trPr/>
        <w:tc>
          <w:tcPr>
            <w:tcW w:w="4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4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39,965,221(</w:t>
            </w:r>
            <w:r>
              <w:rPr>
                <w:rFonts w:ascii="Times New Roman" w:hAnsi="Times New Roman"/>
                <w:b/>
                <w:sz w:val="20"/>
              </w:rPr>
              <w:t>1</w:t>
            </w:r>
            <w:r>
              <w:rPr>
                <w:rFonts w:ascii="Times New Roman" w:hAnsi="Times New Roman"/>
                <w:sz w:val="20"/>
              </w:rPr>
              <w:t>)</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23.21%(2)</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4,698,505 shares directly held by Daniel Wagner and (ii) 35,266,716 shares directly held by DBLP Sea Cow Limited (DBLP). Legal title to the shares of DBLP are held solely by Daniel Wagner and beneficially held by John Wagner. Daniel Wagner and John Wagner each serves as a director on the board of director of DBLP and, therefore, may be deemed to share voting and investment power over the shares held by DBLP.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percentage calculations herein are based on 172,182,769 shares of Ordinary Shares outstanding as of August 21, 2024, as disclosed in the Issuers Form 20-F filed August 21, 2024, after giving effect to the closing of the business combination contemplated by that certain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Acquisition Corp. I, Rezolve Limited, a private limited company organized under the laws of England and Wales, Rezolve AI Limited, a private limited liability company registered under the laws of England and Wales with registration number 14573691 (Rezolve) and Rezolve Merger Sub, Inc.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86"/>
        <w:gridCol w:w="120"/>
        <w:gridCol w:w="3227"/>
        <w:gridCol w:w="120"/>
        <w:gridCol w:w="3152"/>
      </w:tblGrid>
      <w:tr>
        <w:trPr/>
        <w:tc>
          <w:tcPr>
            <w:tcW w:w="35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pPr>
            <w:r>
              <w:rPr/>
              <w:t>CUSIP No. G75398 100</w:t>
            </w:r>
          </w:p>
        </w:tc>
        <w:tc>
          <w:tcPr>
            <w:tcW w:w="120" w:type="dxa"/>
            <w:tcBorders/>
            <w:vAlign w:val="bottom"/>
          </w:tcPr>
          <w:p>
            <w:pPr>
              <w:pStyle w:val="TableContents"/>
              <w:bidi w:val="0"/>
              <w:spacing w:before="0" w:after="283"/>
              <w:jc w:val="left"/>
              <w:rPr/>
            </w:pPr>
            <w:r>
              <w:rPr/>
              <w:t>  </w:t>
            </w:r>
          </w:p>
        </w:tc>
        <w:tc>
          <w:tcPr>
            <w:tcW w:w="3227" w:type="dxa"/>
            <w:tcBorders/>
          </w:tcPr>
          <w:p>
            <w:pPr>
              <w:pStyle w:val="TableContents"/>
              <w:bidi w:val="0"/>
              <w:spacing w:before="0" w:after="283"/>
              <w:jc w:val="center"/>
              <w:rPr/>
            </w:pPr>
            <w:r>
              <w:rPr/>
              <w:t>13D</w:t>
            </w:r>
          </w:p>
        </w:tc>
        <w:tc>
          <w:tcPr>
            <w:tcW w:w="120" w:type="dxa"/>
            <w:tcBorders/>
            <w:vAlign w:val="bottom"/>
          </w:tcPr>
          <w:p>
            <w:pPr>
              <w:pStyle w:val="TableContents"/>
              <w:bidi w:val="0"/>
              <w:spacing w:before="0" w:after="283"/>
              <w:jc w:val="left"/>
              <w:rPr/>
            </w:pPr>
            <w:r>
              <w:rPr/>
              <w:t>  </w:t>
            </w:r>
          </w:p>
        </w:tc>
        <w:tc>
          <w:tcPr>
            <w:tcW w:w="3152" w:type="dxa"/>
            <w:tcBorders/>
          </w:tcPr>
          <w:p>
            <w:pPr>
              <w:pStyle w:val="TableContents"/>
              <w:bidi w:val="0"/>
              <w:spacing w:before="0" w:after="283"/>
              <w:jc w:val="right"/>
              <w:rPr/>
            </w:pPr>
            <w:r>
              <w:rPr/>
              <w:t>Page 3 of 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4"/>
        <w:gridCol w:w="122"/>
        <w:gridCol w:w="779"/>
        <w:gridCol w:w="175"/>
        <w:gridCol w:w="169"/>
        <w:gridCol w:w="175"/>
        <w:gridCol w:w="8278"/>
      </w:tblGrid>
      <w:tr>
        <w:trPr/>
        <w:tc>
          <w:tcPr>
            <w:tcW w:w="4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278" w:type="dxa"/>
            <w:tcBorders/>
            <w:vAlign w:val="center"/>
          </w:tcPr>
          <w:p>
            <w:pPr>
              <w:pStyle w:val="TableContents"/>
              <w:bidi w:val="0"/>
              <w:spacing w:before="0" w:after="283"/>
              <w:jc w:val="left"/>
              <w:rPr>
                <w:sz w:val="4"/>
                <w:szCs w:val="4"/>
              </w:rPr>
            </w:pPr>
            <w:r>
              <w:rPr>
                <w:sz w:val="4"/>
                <w:szCs w:val="4"/>
              </w:rPr>
            </w:r>
          </w:p>
        </w:tc>
      </w:tr>
      <w:tr>
        <w:trPr/>
        <w:tc>
          <w:tcPr>
            <w:tcW w:w="40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6"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John Wagner</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Kingdom</w:t>
            </w:r>
          </w:p>
        </w:tc>
      </w:tr>
    </w:tbl>
    <w:tbl>
      <w:tblPr>
        <w:tblW w:w="4950" w:type="pct"/>
        <w:jc w:val="left"/>
        <w:tblInd w:w="0" w:type="dxa"/>
        <w:tblLayout w:type="fixed"/>
        <w:tblCellMar>
          <w:top w:w="0" w:type="dxa"/>
          <w:left w:w="0" w:type="dxa"/>
          <w:bottom w:w="0" w:type="dxa"/>
          <w:right w:w="0" w:type="dxa"/>
        </w:tblCellMar>
      </w:tblPr>
      <w:tblGrid>
        <w:gridCol w:w="437"/>
        <w:gridCol w:w="356"/>
        <w:gridCol w:w="766"/>
        <w:gridCol w:w="174"/>
        <w:gridCol w:w="445"/>
        <w:gridCol w:w="174"/>
        <w:gridCol w:w="7750"/>
      </w:tblGrid>
      <w:tr>
        <w:trPr/>
        <w:tc>
          <w:tcPr>
            <w:tcW w:w="43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750" w:type="dxa"/>
            <w:tcBorders/>
            <w:vAlign w:val="center"/>
          </w:tcPr>
          <w:p>
            <w:pPr>
              <w:pStyle w:val="TableContents"/>
              <w:bidi w:val="0"/>
              <w:spacing w:before="0" w:after="283"/>
              <w:jc w:val="left"/>
              <w:rPr>
                <w:sz w:val="4"/>
                <w:szCs w:val="4"/>
              </w:rPr>
            </w:pPr>
            <w:r>
              <w:rPr>
                <w:sz w:val="4"/>
                <w:szCs w:val="4"/>
              </w:rPr>
            </w:r>
          </w:p>
        </w:tc>
      </w:tr>
      <w:tr>
        <w:trPr/>
        <w:tc>
          <w:tcPr>
            <w:tcW w:w="1559"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815,989</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35,266,716</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50"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815,989</w:t>
            </w:r>
          </w:p>
        </w:tc>
      </w:tr>
      <w:tr>
        <w:trPr/>
        <w:tc>
          <w:tcPr>
            <w:tcW w:w="1559"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750"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35,266,716</w:t>
            </w:r>
          </w:p>
        </w:tc>
      </w:tr>
    </w:tbl>
    <w:tbl>
      <w:tblPr>
        <w:tblW w:w="4950" w:type="pct"/>
        <w:jc w:val="left"/>
        <w:tblInd w:w="0" w:type="dxa"/>
        <w:tblLayout w:type="fixed"/>
        <w:tblCellMar>
          <w:top w:w="0" w:type="dxa"/>
          <w:left w:w="0" w:type="dxa"/>
          <w:bottom w:w="0" w:type="dxa"/>
          <w:right w:w="0" w:type="dxa"/>
        </w:tblCellMar>
      </w:tblPr>
      <w:tblGrid>
        <w:gridCol w:w="424"/>
        <w:gridCol w:w="125"/>
        <w:gridCol w:w="951"/>
        <w:gridCol w:w="213"/>
        <w:gridCol w:w="205"/>
        <w:gridCol w:w="213"/>
        <w:gridCol w:w="7971"/>
      </w:tblGrid>
      <w:tr>
        <w:trPr/>
        <w:tc>
          <w:tcPr>
            <w:tcW w:w="4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4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36,082,705(1)</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 xml:space="preserve">20.96%(2)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815,989 shares directly held by John Wagner and (ii) 35,266,716 shares directly held by DBLP. Legal title to the shares of DBLP are held solely by Daniel Wagner and beneficially held by John Wagner. Daniel Wagner and John Wagner each serves as a director on the board of director of DBLP and, therefore, may be deemed to share voting and investment power over the shares held by DBLP.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percentage calculations herein are based on 172,182,769 shares of Ordinary Shares outstanding as of August 21, 2024, as disclosed in the Issuers Form 20-F filed on August 21, 2024, after giving effect to the closing of the business combination contemplated by that certain the Business Combination Agreement.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86"/>
        <w:gridCol w:w="120"/>
        <w:gridCol w:w="3227"/>
        <w:gridCol w:w="120"/>
        <w:gridCol w:w="3152"/>
      </w:tblGrid>
      <w:tr>
        <w:trPr/>
        <w:tc>
          <w:tcPr>
            <w:tcW w:w="35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pPr>
            <w:r>
              <w:rPr/>
              <w:t>CUSIP No. G75398 100</w:t>
            </w:r>
          </w:p>
        </w:tc>
        <w:tc>
          <w:tcPr>
            <w:tcW w:w="120" w:type="dxa"/>
            <w:tcBorders/>
            <w:vAlign w:val="bottom"/>
          </w:tcPr>
          <w:p>
            <w:pPr>
              <w:pStyle w:val="TableContents"/>
              <w:bidi w:val="0"/>
              <w:spacing w:before="0" w:after="283"/>
              <w:jc w:val="left"/>
              <w:rPr/>
            </w:pPr>
            <w:r>
              <w:rPr/>
              <w:t>  </w:t>
            </w:r>
          </w:p>
        </w:tc>
        <w:tc>
          <w:tcPr>
            <w:tcW w:w="3227" w:type="dxa"/>
            <w:tcBorders/>
          </w:tcPr>
          <w:p>
            <w:pPr>
              <w:pStyle w:val="TableContents"/>
              <w:bidi w:val="0"/>
              <w:spacing w:before="0" w:after="283"/>
              <w:jc w:val="center"/>
              <w:rPr/>
            </w:pPr>
            <w:r>
              <w:rPr/>
              <w:t>13D</w:t>
            </w:r>
          </w:p>
        </w:tc>
        <w:tc>
          <w:tcPr>
            <w:tcW w:w="120" w:type="dxa"/>
            <w:tcBorders/>
            <w:vAlign w:val="bottom"/>
          </w:tcPr>
          <w:p>
            <w:pPr>
              <w:pStyle w:val="TableContents"/>
              <w:bidi w:val="0"/>
              <w:spacing w:before="0" w:after="283"/>
              <w:jc w:val="left"/>
              <w:rPr/>
            </w:pPr>
            <w:r>
              <w:rPr/>
              <w:t>  </w:t>
            </w:r>
          </w:p>
        </w:tc>
        <w:tc>
          <w:tcPr>
            <w:tcW w:w="3152" w:type="dxa"/>
            <w:tcBorders/>
          </w:tcPr>
          <w:p>
            <w:pPr>
              <w:pStyle w:val="TableContents"/>
              <w:bidi w:val="0"/>
              <w:spacing w:before="0" w:after="283"/>
              <w:jc w:val="right"/>
              <w:rPr/>
            </w:pPr>
            <w:r>
              <w:rPr/>
              <w:t>Page 4 of 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04"/>
        <w:gridCol w:w="122"/>
        <w:gridCol w:w="779"/>
        <w:gridCol w:w="175"/>
        <w:gridCol w:w="169"/>
        <w:gridCol w:w="175"/>
        <w:gridCol w:w="8278"/>
      </w:tblGrid>
      <w:tr>
        <w:trPr/>
        <w:tc>
          <w:tcPr>
            <w:tcW w:w="4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278" w:type="dxa"/>
            <w:tcBorders/>
            <w:vAlign w:val="center"/>
          </w:tcPr>
          <w:p>
            <w:pPr>
              <w:pStyle w:val="TableContents"/>
              <w:bidi w:val="0"/>
              <w:spacing w:before="0" w:after="283"/>
              <w:jc w:val="left"/>
              <w:rPr>
                <w:sz w:val="4"/>
                <w:szCs w:val="4"/>
              </w:rPr>
            </w:pPr>
            <w:r>
              <w:rPr>
                <w:sz w:val="4"/>
                <w:szCs w:val="4"/>
              </w:rPr>
            </w:r>
          </w:p>
        </w:tc>
      </w:tr>
      <w:tr>
        <w:trPr/>
        <w:tc>
          <w:tcPr>
            <w:tcW w:w="40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76"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DBLP Sea Cow Limited</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0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76"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Kingdom</w:t>
            </w:r>
          </w:p>
        </w:tc>
      </w:tr>
    </w:tbl>
    <w:tbl>
      <w:tblPr>
        <w:tblW w:w="4950" w:type="pct"/>
        <w:jc w:val="left"/>
        <w:tblInd w:w="0" w:type="dxa"/>
        <w:tblLayout w:type="fixed"/>
        <w:tblCellMar>
          <w:top w:w="0" w:type="dxa"/>
          <w:left w:w="0" w:type="dxa"/>
          <w:bottom w:w="0" w:type="dxa"/>
          <w:right w:w="0" w:type="dxa"/>
        </w:tblCellMar>
      </w:tblPr>
      <w:tblGrid>
        <w:gridCol w:w="438"/>
        <w:gridCol w:w="358"/>
        <w:gridCol w:w="764"/>
        <w:gridCol w:w="174"/>
        <w:gridCol w:w="445"/>
        <w:gridCol w:w="174"/>
        <w:gridCol w:w="7749"/>
      </w:tblGrid>
      <w:tr>
        <w:trPr/>
        <w:tc>
          <w:tcPr>
            <w:tcW w:w="438"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749" w:type="dxa"/>
            <w:tcBorders/>
            <w:vAlign w:val="center"/>
          </w:tcPr>
          <w:p>
            <w:pPr>
              <w:pStyle w:val="TableContents"/>
              <w:bidi w:val="0"/>
              <w:spacing w:before="0" w:after="283"/>
              <w:jc w:val="left"/>
              <w:rPr>
                <w:sz w:val="4"/>
                <w:szCs w:val="4"/>
              </w:rPr>
            </w:pPr>
            <w:r>
              <w:rPr>
                <w:sz w:val="4"/>
                <w:szCs w:val="4"/>
              </w:rPr>
            </w:r>
          </w:p>
        </w:tc>
      </w:tr>
      <w:tr>
        <w:trPr/>
        <w:tc>
          <w:tcPr>
            <w:tcW w:w="1560"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6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35,266,716(</w:t>
            </w:r>
            <w:r>
              <w:rPr>
                <w:rFonts w:ascii="Times New Roman" w:hAnsi="Times New Roman"/>
                <w:b/>
                <w:sz w:val="20"/>
              </w:rPr>
              <w:t>1</w:t>
            </w:r>
            <w:r>
              <w:rPr>
                <w:rFonts w:ascii="Times New Roman" w:hAnsi="Times New Roman"/>
                <w:sz w:val="20"/>
              </w:rPr>
              <w:t>)</w:t>
            </w:r>
          </w:p>
        </w:tc>
      </w:tr>
      <w:tr>
        <w:trPr/>
        <w:tc>
          <w:tcPr>
            <w:tcW w:w="156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4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60"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74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35,266,716(</w:t>
            </w:r>
            <w:r>
              <w:rPr>
                <w:rFonts w:ascii="Times New Roman" w:hAnsi="Times New Roman"/>
                <w:b/>
                <w:sz w:val="20"/>
              </w:rPr>
              <w:t>1</w:t>
            </w:r>
            <w:r>
              <w:rPr>
                <w:rFonts w:ascii="Times New Roman" w:hAnsi="Times New Roman"/>
                <w:sz w:val="20"/>
              </w:rPr>
              <w:t>)</w:t>
            </w:r>
          </w:p>
        </w:tc>
      </w:tr>
    </w:tbl>
    <w:tbl>
      <w:tblPr>
        <w:tblW w:w="4950" w:type="pct"/>
        <w:jc w:val="left"/>
        <w:tblInd w:w="0" w:type="dxa"/>
        <w:tblLayout w:type="fixed"/>
        <w:tblCellMar>
          <w:top w:w="0" w:type="dxa"/>
          <w:left w:w="0" w:type="dxa"/>
          <w:bottom w:w="0" w:type="dxa"/>
          <w:right w:w="0" w:type="dxa"/>
        </w:tblCellMar>
      </w:tblPr>
      <w:tblGrid>
        <w:gridCol w:w="424"/>
        <w:gridCol w:w="125"/>
        <w:gridCol w:w="951"/>
        <w:gridCol w:w="213"/>
        <w:gridCol w:w="205"/>
        <w:gridCol w:w="213"/>
        <w:gridCol w:w="7971"/>
      </w:tblGrid>
      <w:tr>
        <w:trPr/>
        <w:tc>
          <w:tcPr>
            <w:tcW w:w="4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7971" w:type="dxa"/>
            <w:tcBorders/>
            <w:vAlign w:val="center"/>
          </w:tcPr>
          <w:p>
            <w:pPr>
              <w:pStyle w:val="TableContents"/>
              <w:bidi w:val="0"/>
              <w:spacing w:before="0" w:after="283"/>
              <w:jc w:val="left"/>
              <w:rPr>
                <w:sz w:val="4"/>
                <w:szCs w:val="4"/>
              </w:rPr>
            </w:pPr>
            <w:r>
              <w:rPr>
                <w:sz w:val="4"/>
                <w:szCs w:val="4"/>
              </w:rPr>
            </w:r>
          </w:p>
        </w:tc>
      </w:tr>
      <w:tr>
        <w:trPr/>
        <w:tc>
          <w:tcPr>
            <w:tcW w:w="4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53"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35,266,716(</w:t>
            </w:r>
            <w:r>
              <w:rPr>
                <w:rFonts w:ascii="Times New Roman" w:hAnsi="Times New Roman"/>
                <w:b/>
                <w:sz w:val="20"/>
              </w:rPr>
              <w:t>1</w:t>
            </w:r>
            <w:r>
              <w:rPr>
                <w:rFonts w:ascii="Times New Roman" w:hAnsi="Times New Roman"/>
                <w:sz w:val="20"/>
              </w:rPr>
              <w:t>)</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 xml:space="preserve">20.48%(2) </w:t>
            </w:r>
          </w:p>
        </w:tc>
      </w:tr>
      <w:tr>
        <w:trPr/>
        <w:tc>
          <w:tcPr>
            <w:tcW w:w="4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53"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title to the shares of DBLP are held solely by Daniel Wagner and beneficially held by John Wagner. Daniel Wagner and John Wagner each serves as a director on the board of directors of DBLP and, therefore, may be deemed to share voting and investment power over the shares held by DBLP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percentage calculations herein are based on 172,182,769 shares of Ordinary Shares outstanding as of August 21, 2024, as disclosed in the Issuers Form 20-F filed on August 21, 2024, after giving effect to the closing of the business combination contemplated by that certain the Business Combination Agreement.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86"/>
        <w:gridCol w:w="120"/>
        <w:gridCol w:w="3227"/>
        <w:gridCol w:w="120"/>
        <w:gridCol w:w="3152"/>
      </w:tblGrid>
      <w:tr>
        <w:trPr/>
        <w:tc>
          <w:tcPr>
            <w:tcW w:w="35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pPr>
            <w:r>
              <w:rPr/>
              <w:t>CUSIP No. G75398 100</w:t>
            </w:r>
          </w:p>
        </w:tc>
        <w:tc>
          <w:tcPr>
            <w:tcW w:w="120" w:type="dxa"/>
            <w:tcBorders/>
            <w:vAlign w:val="bottom"/>
          </w:tcPr>
          <w:p>
            <w:pPr>
              <w:pStyle w:val="TableContents"/>
              <w:bidi w:val="0"/>
              <w:spacing w:before="0" w:after="283"/>
              <w:jc w:val="left"/>
              <w:rPr/>
            </w:pPr>
            <w:r>
              <w:rPr/>
              <w:t>  </w:t>
            </w:r>
          </w:p>
        </w:tc>
        <w:tc>
          <w:tcPr>
            <w:tcW w:w="3227" w:type="dxa"/>
            <w:tcBorders/>
          </w:tcPr>
          <w:p>
            <w:pPr>
              <w:pStyle w:val="TableContents"/>
              <w:bidi w:val="0"/>
              <w:spacing w:before="0" w:after="283"/>
              <w:jc w:val="center"/>
              <w:rPr/>
            </w:pPr>
            <w:r>
              <w:rPr/>
              <w:t>13D</w:t>
            </w:r>
          </w:p>
        </w:tc>
        <w:tc>
          <w:tcPr>
            <w:tcW w:w="120" w:type="dxa"/>
            <w:tcBorders/>
            <w:vAlign w:val="bottom"/>
          </w:tcPr>
          <w:p>
            <w:pPr>
              <w:pStyle w:val="TableContents"/>
              <w:bidi w:val="0"/>
              <w:spacing w:before="0" w:after="283"/>
              <w:jc w:val="left"/>
              <w:rPr/>
            </w:pPr>
            <w:r>
              <w:rPr/>
              <w:t>  </w:t>
            </w:r>
          </w:p>
        </w:tc>
        <w:tc>
          <w:tcPr>
            <w:tcW w:w="3152" w:type="dxa"/>
            <w:tcBorders/>
          </w:tcPr>
          <w:p>
            <w:pPr>
              <w:pStyle w:val="TableContents"/>
              <w:bidi w:val="0"/>
              <w:spacing w:before="0" w:after="283"/>
              <w:jc w:val="right"/>
              <w:rPr/>
            </w:pPr>
            <w:r>
              <w:rPr/>
              <w:t>Page 5 of 7 pages</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Security and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statement on Schedule 13D (the Schedule 13D) relates to the ordinary shares, par value £0.0001 per share (the Ordinary Shares), of Revolve AI Limited, a private limited liability company registered under the laws of England and Wales with the registration number 14573691 (the Issuer), whose principal executive offices are located at 3rd Floor, 80 New Bond Street, London, WIS 1SB, United Kingdom.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Schedule 13D is being filed by the following persons (each a Reporting Person and, collectively, the Reporting Persons): </w:t>
      </w:r>
    </w:p>
    <w:p>
      <w:pPr>
        <w:pStyle w:val="TextBody"/>
        <w:bidi w:val="0"/>
        <w:spacing w:before="120" w:after="0"/>
        <w:jc w:val="left"/>
        <w:rPr>
          <w:rFonts w:ascii="Times New Roman" w:hAnsi="Times New Roman"/>
          <w:sz w:val="20"/>
        </w:rPr>
      </w:pPr>
      <w:r>
        <w:rPr>
          <w:rFonts w:ascii="Times New Roman" w:hAnsi="Times New Roman"/>
          <w:sz w:val="20"/>
        </w:rPr>
        <w:t xml:space="preserve">Daniel Wagner; </w:t>
      </w:r>
    </w:p>
    <w:p>
      <w:pPr>
        <w:pStyle w:val="TextBody"/>
        <w:bidi w:val="0"/>
        <w:spacing w:before="0" w:after="0"/>
        <w:jc w:val="left"/>
        <w:rPr>
          <w:rFonts w:ascii="Times New Roman" w:hAnsi="Times New Roman"/>
          <w:sz w:val="20"/>
        </w:rPr>
      </w:pPr>
      <w:r>
        <w:rPr>
          <w:rFonts w:ascii="Times New Roman" w:hAnsi="Times New Roman"/>
          <w:sz w:val="20"/>
        </w:rPr>
        <w:t xml:space="preserve">John Wagner; and </w:t>
      </w:r>
    </w:p>
    <w:p>
      <w:pPr>
        <w:pStyle w:val="TextBody"/>
        <w:bidi w:val="0"/>
        <w:spacing w:before="0" w:after="0"/>
        <w:jc w:val="left"/>
        <w:rPr>
          <w:rFonts w:ascii="Times New Roman" w:hAnsi="Times New Roman"/>
          <w:sz w:val="20"/>
        </w:rPr>
      </w:pPr>
      <w:r>
        <w:rPr>
          <w:rFonts w:ascii="Times New Roman" w:hAnsi="Times New Roman"/>
          <w:sz w:val="20"/>
        </w:rPr>
        <w:t xml:space="preserve">DBLP Sea Cow Limited (DBLP). </w:t>
      </w:r>
    </w:p>
    <w:p>
      <w:pPr>
        <w:pStyle w:val="TextBody"/>
        <w:bidi w:val="0"/>
        <w:spacing w:before="240" w:after="0"/>
        <w:jc w:val="left"/>
        <w:rPr>
          <w:rFonts w:ascii="Times New Roman" w:hAnsi="Times New Roman"/>
          <w:sz w:val="20"/>
        </w:rPr>
      </w:pPr>
      <w:r>
        <w:rPr>
          <w:rFonts w:ascii="Times New Roman" w:hAnsi="Times New Roman"/>
          <w:sz w:val="20"/>
        </w:rPr>
        <w:t xml:space="preserve">Daniel Wagner and John Wagner are both citizens of the United Kingdom. DBLP is a company incorporated in the Seychelles. The address for the principal business office of each Reporting Person is 5 New Street Square, London EC4A 3BF,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occupation of Daniel Wagner is CEO and Executive Director of the Issuer, and John Wagner is a director of the Issuer. Legal title to the shares of DBLP are held solely by Daniel Wagner and beneficially held by John Wagner. Daniel Wagner and John Wagner each serves as a director on the board of director of DBLP and, therefore, may be deemed to share voting and investment power over the shares held by DBLP </w:t>
      </w:r>
    </w:p>
    <w:p>
      <w:pPr>
        <w:pStyle w:val="TextBody"/>
        <w:bidi w:val="0"/>
        <w:spacing w:before="240" w:after="0"/>
        <w:jc w:val="left"/>
        <w:rPr>
          <w:rFonts w:ascii="Times New Roman" w:hAnsi="Times New Roman"/>
          <w:sz w:val="20"/>
        </w:rPr>
      </w:pPr>
      <w:r>
        <w:rPr>
          <w:rFonts w:ascii="Times New Roman" w:hAnsi="Times New Roman"/>
          <w:sz w:val="20"/>
        </w:rPr>
        <w:t xml:space="preserve">During the last five years, none of the Reporting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b/>
              </w:rPr>
            </w:pPr>
            <w:r>
              <w:rPr>
                <w:b/>
              </w:rPr>
              <w:t>Item 3.</w:t>
            </w:r>
          </w:p>
        </w:tc>
        <w:tc>
          <w:tcPr>
            <w:tcW w:w="91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 of Funds or Other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responses to Items 2, 4, 5 and 6 of this Schedule,13D are incorporated into this Item 3 by reference. </w:t>
      </w:r>
    </w:p>
    <w:p>
      <w:pPr>
        <w:pStyle w:val="TextBody"/>
        <w:bidi w:val="0"/>
        <w:spacing w:before="240" w:after="0"/>
        <w:jc w:val="left"/>
        <w:rPr>
          <w:rFonts w:ascii="Times New Roman" w:hAnsi="Times New Roman"/>
          <w:sz w:val="20"/>
        </w:rPr>
      </w:pPr>
      <w:r>
        <w:rPr>
          <w:rFonts w:ascii="Times New Roman" w:hAnsi="Times New Roman"/>
          <w:sz w:val="20"/>
        </w:rPr>
        <w:t>On August 15, 2024 (the Closing Date), the Issuer consummated the previously announced business combination pursuant to the Business Combination Agreement, dated as of December 17, 2021, as amended on November 10, 2022 and further amended and restated pursuant to the terms of an amendment and restatement deed dated June 16, 2023 (as amended or supplemented from time to time, the Business Combination Agreement), by and among the Issuer, Armada Acquisition Corp. I, a Delaware corporation (Armada), Rezolve Limited, a private limited company organized under the laws of England and Wales (Rezolve Limited), and Rezolve Merger Sub, Inc., a Delaware corporation (Rezolve Merger Sub). Upon consummation of the Business Combination, on August 15, 2024, (i) the Issuer effected a re-classification of its share capital whereby the Issuers series A shares were reclassified as ordinary shares of same class as existing ordinary shares on issue in the Issuer, with nominal value £0.0001 per share (the Ordinary Shares) such that immediately following each Reporting Person held his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(ii) the Company merged with and into Rezolve Merger Sub, with Armada surviving as a wholly owned subsidiary of the Issuer, with shareholders of Armada received Ordinary Shares in exchange for their existing common stock of Armada and Armada warrant holders having their warrants automatically exchanged by assumption by the Issuer of the obligations under such warrants. The consideration deemed paid by Armada for Rezolve in the business combination was valued at One Billion, Six Hundred Thousand Dollars ($1,600,000,000), paid in the form of the ordinary shares of Rezolve (as the surviving company) valued at $10.00 per share.</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Business Combination Agreement does not purport to be complete and is qualified in its entirety by reference to the Business Combination Agreement, which is incorporated by reference as an exhibit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responses set forth in Item 2, 3, 5 and 6 hereof are incorporated by reference in their entirety.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of Directors with respect to the business and affairs of the Issuer and may from time to time consider pursuing or proposing such matters with advisors, the Issuer, or other persons.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this Item 4 of this Schedule 13D, the Reporting Persons do not have any present plans or proposals that relate to or would result in any of the actions specified in clauses (a) through (j) of the instructions to Item 4 of this Schedule 13D.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5.</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 (b) </w:t>
      </w:r>
    </w:p>
    <w:p>
      <w:pPr>
        <w:pStyle w:val="TextBody"/>
        <w:bidi w:val="0"/>
        <w:spacing w:before="120" w:after="0"/>
        <w:jc w:val="left"/>
        <w:rPr>
          <w:rFonts w:ascii="Times New Roman" w:hAnsi="Times New Roman"/>
          <w:sz w:val="20"/>
        </w:rPr>
      </w:pPr>
      <w:r>
        <w:rPr>
          <w:rFonts w:ascii="Times New Roman" w:hAnsi="Times New Roman"/>
          <w:sz w:val="20"/>
        </w:rPr>
        <w:t xml:space="preserve">(a)(b) The information relating to the beneficial ownership of Common Stock by each of the Reporting Persons set forth in Rows 7 through 13 of the cover pages hereto (including the footnotes thereto) is incorporated by reference. </w:t>
      </w:r>
    </w:p>
    <w:p>
      <w:pPr>
        <w:pStyle w:val="TextBody"/>
        <w:bidi w:val="0"/>
        <w:spacing w:before="120" w:after="0"/>
        <w:jc w:val="left"/>
        <w:rPr>
          <w:rFonts w:ascii="Times New Roman" w:hAnsi="Times New Roman"/>
          <w:sz w:val="20"/>
        </w:rPr>
      </w:pPr>
      <w:r>
        <w:rPr>
          <w:rFonts w:ascii="Times New Roman" w:hAnsi="Times New Roman"/>
          <w:sz w:val="20"/>
        </w:rPr>
        <w:t xml:space="preserve">(c) Except as set forth in this Schedule 13D, no Reporting Person, has effected any transaction in the Common Stock in the 60 days preceding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The information in Item 2 is incorporated by reference into this Item 5(d). </w:t>
      </w:r>
    </w:p>
    <w:p>
      <w:pPr>
        <w:pStyle w:val="TextBody"/>
        <w:bidi w:val="0"/>
        <w:spacing w:before="120" w:after="0"/>
        <w:jc w:val="left"/>
        <w:rPr>
          <w:rFonts w:ascii="Times New Roman" w:hAnsi="Times New Roman"/>
          <w:sz w:val="20"/>
        </w:rPr>
      </w:pPr>
      <w:r>
        <w:rPr>
          <w:rFonts w:ascii="Times New Roman" w:hAnsi="Times New Roman"/>
          <w:sz w:val="20"/>
        </w:rPr>
        <w:t xml:space="preserve">(e) Not applicable.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86"/>
        <w:gridCol w:w="120"/>
        <w:gridCol w:w="3227"/>
        <w:gridCol w:w="120"/>
        <w:gridCol w:w="3152"/>
      </w:tblGrid>
      <w:tr>
        <w:trPr/>
        <w:tc>
          <w:tcPr>
            <w:tcW w:w="35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pPr>
            <w:r>
              <w:rPr/>
              <w:t>CUSIP No. G75398 100</w:t>
            </w:r>
          </w:p>
        </w:tc>
        <w:tc>
          <w:tcPr>
            <w:tcW w:w="120" w:type="dxa"/>
            <w:tcBorders/>
            <w:vAlign w:val="bottom"/>
          </w:tcPr>
          <w:p>
            <w:pPr>
              <w:pStyle w:val="TableContents"/>
              <w:bidi w:val="0"/>
              <w:spacing w:before="0" w:after="283"/>
              <w:jc w:val="left"/>
              <w:rPr/>
            </w:pPr>
            <w:r>
              <w:rPr/>
              <w:t>  </w:t>
            </w:r>
          </w:p>
        </w:tc>
        <w:tc>
          <w:tcPr>
            <w:tcW w:w="3227" w:type="dxa"/>
            <w:tcBorders/>
          </w:tcPr>
          <w:p>
            <w:pPr>
              <w:pStyle w:val="TableContents"/>
              <w:bidi w:val="0"/>
              <w:spacing w:before="0" w:after="283"/>
              <w:jc w:val="center"/>
              <w:rPr/>
            </w:pPr>
            <w:r>
              <w:rPr/>
              <w:t>13D</w:t>
            </w:r>
          </w:p>
        </w:tc>
        <w:tc>
          <w:tcPr>
            <w:tcW w:w="120" w:type="dxa"/>
            <w:tcBorders/>
            <w:vAlign w:val="bottom"/>
          </w:tcPr>
          <w:p>
            <w:pPr>
              <w:pStyle w:val="TableContents"/>
              <w:bidi w:val="0"/>
              <w:spacing w:before="0" w:after="283"/>
              <w:jc w:val="left"/>
              <w:rPr/>
            </w:pPr>
            <w:r>
              <w:rPr/>
              <w:t>  </w:t>
            </w:r>
          </w:p>
        </w:tc>
        <w:tc>
          <w:tcPr>
            <w:tcW w:w="3152" w:type="dxa"/>
            <w:tcBorders/>
          </w:tcPr>
          <w:p>
            <w:pPr>
              <w:pStyle w:val="TableContents"/>
              <w:bidi w:val="0"/>
              <w:spacing w:before="0" w:after="283"/>
              <w:jc w:val="right"/>
              <w:rPr/>
            </w:pPr>
            <w:r>
              <w:rPr/>
              <w:t>Page 6 of 7 pages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6.</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Contracts, Arrangements, Understandings or Relationships with Respect to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furnished in Item 3 is incorporated into this Item 6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the Issuer entered into that certain Investor Rights Agreement with the Reporting Persons (the Investor Rights Agreement). Pursuant to the terms of the Investor Rights Agreement, the Reporting Persons are entitled to certain piggyback registration rights and customary demand registration rights. The Investor Rights Agreement provides that the Issuer will, as soon as practicable, and in any event within 21 days after August 16, 2024, file with the SEC a shelf registration statement. The Issuer will use its commercially reasonable efforts to have such shelf registration statement declared effective as soon as practicable after the filing thereof, but no later than the 45th day (or the 5th day business after the Securities and Exchange Commission (the SEC) notifies the Issuer that it will review such shelf registration statement) following the filing deadline, in each case subject to the terms and conditions set forth therein; and the Issuer will not be subject to any form of monetary penalty for its failure to do so.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Investor Rights Agreement, subject to certain exceptions, the Reporting Persons agreed to not transfer or make any announcement of any intention to effect a transfer, in respect of the shares beneficially owned or otherwise held by the Reporting Persons prior to the termination of the applicable lock-up period, subject to certain customary exceptions, including: (i) transfers to permitted transferees upon written notice to the Issuer, such as a member of the persons immediate family or to a trust, the beneficiary of which is a member of the persons immediate family or an affiliate of such person; (ii) to a charitable organization upon written notice to the Issuer, by the laws of descent and distribution upon death, or pursuant to a qualified domestic relations order; and (iii) pursuant to any liquidation, merger, stock exchange or other similar transaction which results in all of the Issuers stockholders having the right to exchange Ordinary Shares for cash, securities, or other property. </w:t>
      </w:r>
    </w:p>
    <w:p>
      <w:pPr>
        <w:pStyle w:val="TextBody"/>
        <w:bidi w:val="0"/>
        <w:spacing w:before="360" w:after="0"/>
        <w:jc w:val="left"/>
        <w:rPr>
          <w:rFonts w:ascii="Times New Roman" w:hAnsi="Times New Roman"/>
          <w:i/>
          <w:sz w:val="20"/>
        </w:rPr>
      </w:pPr>
      <w:r>
        <w:rPr>
          <w:rFonts w:ascii="Times New Roman" w:hAnsi="Times New Roman"/>
          <w:i/>
          <w:sz w:val="20"/>
        </w:rPr>
        <w:t xml:space="preserve">Lock-In Agreements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the Issuer entered into separate Lock-In Agreements (theLock-In Agreements) with the Reporting Persons, pursuant to which the Ordinary Shares held by the Reporting Persons will be locked-up and subject to transfer restrictions for 180 days following the Closing, subject to certain customary exceptions, including: (i) transfers to permitted transferees upon written notice to the Issuer, such as a member of the persons immediate family or to a trust, the beneficiary of which is a member of the persons immediate family or an affiliate of such person; (ii) to a charitable organization upon written notice to the Issuer, by the laws of descent and distribution upon death, or pursuant to a qualified domestic relations order; and (iii) pursuant to any liquidation, merger, stock exchange or other similar transaction which results in all of the Issuer stockholders having the right to exchange their Ordinary Shares for cash, securities, or other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Materials to be Filed as 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5"/>
        <w:gridCol w:w="689"/>
        <w:gridCol w:w="8901"/>
      </w:tblGrid>
      <w:tr>
        <w:trPr/>
        <w:tc>
          <w:tcPr>
            <w:tcW w:w="615" w:type="dxa"/>
            <w:tcBorders/>
            <w:vAlign w:val="center"/>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left"/>
              <w:rPr>
                <w:sz w:val="4"/>
                <w:szCs w:val="4"/>
              </w:rPr>
            </w:pPr>
            <w:r>
              <w:rPr>
                <w:sz w:val="4"/>
                <w:szCs w:val="4"/>
              </w:rPr>
            </w:r>
          </w:p>
        </w:tc>
      </w:tr>
      <w:tr>
        <w:trPr/>
        <w:tc>
          <w:tcPr>
            <w:tcW w:w="6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689" w:type="dxa"/>
            <w:tcBorders/>
            <w:vAlign w:val="bottom"/>
          </w:tcPr>
          <w:p>
            <w:pPr>
              <w:pStyle w:val="TableContents"/>
              <w:bidi w:val="0"/>
              <w:spacing w:before="0" w:after="283"/>
              <w:jc w:val="left"/>
              <w:rPr/>
            </w:pPr>
            <w:r>
              <w:rPr/>
              <w:t>  </w:t>
            </w:r>
          </w:p>
        </w:tc>
        <w:tc>
          <w:tcPr>
            <w:tcW w:w="89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1</w:t>
            </w:r>
          </w:p>
        </w:tc>
        <w:tc>
          <w:tcPr>
            <w:tcW w:w="689"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Joint filing Agreement dated August 26, 2024.</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2</w:t>
            </w:r>
          </w:p>
        </w:tc>
        <w:tc>
          <w:tcPr>
            <w:tcW w:w="689"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Business Combination Agreement, dated December 17, 2021, as amended on November 10, 2022 and as further amended and restated on June 16, 2023, as amended on August 4, 2023 (incorporated by reference to exhibit 2.1 of Rezolve AI Limiteds Registration Statement on Form F-4, filed with the SEC on July 5, 2024).</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3</w:t>
            </w:r>
          </w:p>
        </w:tc>
        <w:tc>
          <w:tcPr>
            <w:tcW w:w="689"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Investor Rights Agreement, dated August 15, 2024, by and among Rezolve AI Limited and the holders party thereto (incorporated by reference to exhibit 4.6 of Rezolve AI Limiteds Form F-20, filed with the SEC on August 21, 2024)</w:t>
            </w:r>
          </w:p>
        </w:tc>
      </w:tr>
      <w:tr>
        <w:trPr>
          <w:trHeight w:val="120" w:hRule="atLeast"/>
        </w:trPr>
        <w:tc>
          <w:tcPr>
            <w:tcW w:w="61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4</w:t>
            </w:r>
          </w:p>
        </w:tc>
        <w:tc>
          <w:tcPr>
            <w:tcW w:w="689" w:type="dxa"/>
            <w:tcBorders/>
            <w:vAlign w:val="bottom"/>
          </w:tcPr>
          <w:p>
            <w:pPr>
              <w:pStyle w:val="TableContents"/>
              <w:bidi w:val="0"/>
              <w:spacing w:before="0" w:after="283"/>
              <w:jc w:val="left"/>
              <w:rPr/>
            </w:pPr>
            <w:r>
              <w:rPr/>
              <w:t>  </w:t>
            </w:r>
          </w:p>
        </w:tc>
        <w:tc>
          <w:tcPr>
            <w:tcW w:w="8901" w:type="dxa"/>
            <w:tcBorders/>
          </w:tcPr>
          <w:p>
            <w:pPr>
              <w:pStyle w:val="TableContents"/>
              <w:bidi w:val="0"/>
              <w:spacing w:before="0" w:after="283"/>
              <w:jc w:val="left"/>
              <w:rPr/>
            </w:pPr>
            <w:r>
              <w:rPr/>
              <w:t>Form of Lock-In Agreement, dated August 15, 2024 (incorporated by reference to exhibit 4.7 of Rezolve AI Limiteds Form F-20, filed with the SEC on August 21, 2024).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86"/>
        <w:gridCol w:w="120"/>
        <w:gridCol w:w="3227"/>
        <w:gridCol w:w="120"/>
        <w:gridCol w:w="3152"/>
      </w:tblGrid>
      <w:tr>
        <w:trPr/>
        <w:tc>
          <w:tcPr>
            <w:tcW w:w="35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3586" w:type="dxa"/>
            <w:tcBorders/>
          </w:tcPr>
          <w:p>
            <w:pPr>
              <w:pStyle w:val="TableContents"/>
              <w:bidi w:val="0"/>
              <w:spacing w:before="0" w:after="283"/>
              <w:jc w:val="left"/>
              <w:rPr/>
            </w:pPr>
            <w:r>
              <w:rPr/>
              <w:t>CUSIP No. G75398 100</w:t>
            </w:r>
          </w:p>
        </w:tc>
        <w:tc>
          <w:tcPr>
            <w:tcW w:w="120" w:type="dxa"/>
            <w:tcBorders/>
            <w:vAlign w:val="bottom"/>
          </w:tcPr>
          <w:p>
            <w:pPr>
              <w:pStyle w:val="TableContents"/>
              <w:bidi w:val="0"/>
              <w:spacing w:before="0" w:after="283"/>
              <w:jc w:val="left"/>
              <w:rPr/>
            </w:pPr>
            <w:r>
              <w:rPr/>
              <w:t>  </w:t>
            </w:r>
          </w:p>
        </w:tc>
        <w:tc>
          <w:tcPr>
            <w:tcW w:w="3227" w:type="dxa"/>
            <w:tcBorders/>
          </w:tcPr>
          <w:p>
            <w:pPr>
              <w:pStyle w:val="TableContents"/>
              <w:bidi w:val="0"/>
              <w:spacing w:before="0" w:after="283"/>
              <w:jc w:val="center"/>
              <w:rPr/>
            </w:pPr>
            <w:r>
              <w:rPr/>
              <w:t>13D</w:t>
            </w:r>
          </w:p>
        </w:tc>
        <w:tc>
          <w:tcPr>
            <w:tcW w:w="120" w:type="dxa"/>
            <w:tcBorders/>
            <w:vAlign w:val="bottom"/>
          </w:tcPr>
          <w:p>
            <w:pPr>
              <w:pStyle w:val="TableContents"/>
              <w:bidi w:val="0"/>
              <w:spacing w:before="0" w:after="283"/>
              <w:jc w:val="left"/>
              <w:rPr/>
            </w:pPr>
            <w:r>
              <w:rPr/>
              <w:t>  </w:t>
            </w:r>
          </w:p>
        </w:tc>
        <w:tc>
          <w:tcPr>
            <w:tcW w:w="3152" w:type="dxa"/>
            <w:tcBorders/>
          </w:tcPr>
          <w:p>
            <w:pPr>
              <w:pStyle w:val="TableContents"/>
              <w:bidi w:val="0"/>
              <w:spacing w:before="0" w:after="283"/>
              <w:jc w:val="right"/>
              <w:rPr/>
            </w:pPr>
            <w:r>
              <w:rPr/>
              <w:t>Page 7 of 7 pages</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August 26,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Wagner</w:t>
            </w:r>
          </w:p>
        </w:tc>
      </w:tr>
      <w:tr>
        <w:trPr/>
        <w:tc>
          <w:tcPr>
            <w:tcW w:w="4082" w:type="dxa"/>
            <w:gridSpan w:val="3"/>
            <w:tcBorders/>
          </w:tcPr>
          <w:p>
            <w:pPr>
              <w:pStyle w:val="TableContents"/>
              <w:bidi w:val="0"/>
              <w:spacing w:before="0" w:after="283"/>
              <w:jc w:val="left"/>
              <w:rPr>
                <w:b/>
              </w:rPr>
            </w:pPr>
            <w:r>
              <w:rPr>
                <w:b/>
              </w:rPr>
              <w:t>DANIEL WAGNER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Wagner</w:t>
            </w:r>
          </w:p>
        </w:tc>
      </w:tr>
      <w:tr>
        <w:trPr/>
        <w:tc>
          <w:tcPr>
            <w:tcW w:w="4082" w:type="dxa"/>
            <w:gridSpan w:val="3"/>
            <w:tcBorders/>
          </w:tcPr>
          <w:p>
            <w:pPr>
              <w:pStyle w:val="TableContents"/>
              <w:bidi w:val="0"/>
              <w:spacing w:before="0" w:after="283"/>
              <w:jc w:val="left"/>
              <w:rPr>
                <w:b/>
              </w:rPr>
            </w:pPr>
            <w:r>
              <w:rPr>
                <w:b/>
              </w:rPr>
              <w:t>JOHN WAGNER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DBLP SEA COW LIMITED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Wagner</w:t>
            </w:r>
          </w:p>
        </w:tc>
      </w:tr>
      <w:tr>
        <w:trPr/>
        <w:tc>
          <w:tcPr>
            <w:tcW w:w="4082" w:type="dxa"/>
            <w:gridSpan w:val="3"/>
            <w:tcBorders/>
          </w:tcPr>
          <w:p>
            <w:pPr>
              <w:pStyle w:val="TableContents"/>
              <w:bidi w:val="0"/>
              <w:spacing w:before="0" w:after="283"/>
              <w:jc w:val="left"/>
              <w:rPr/>
            </w:pPr>
            <w:r>
              <w:rPr/>
              <w:t>Name: Daniel Wagner</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2" w:name="d866001dex991.htm"/>
      <w:bookmarkStart w:id="3" w:name="ksd866001dex991"/>
      <w:bookmarkEnd w:id="2"/>
      <w:bookmarkEnd w:id="3"/>
      <w:r>
        <w:rPr>
          <w:rFonts w:ascii="Times New Roman" w:hAnsi="Times New Roman"/>
          <w:b/>
          <w:sz w:val="20"/>
        </w:rPr>
        <w:t xml:space="preserve">Exhibit 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In accordance with Rule 13d-1(k)(1) under the Securities Exchange Act of 1934, as amended, the persons named below agree to the joint filing of a Statement on Schedule 13D (including amendments thereto) with respect to the ordinary shares, par value £0.0001 per share, of Rezolve AI Limited, a private limited liability company registered under the laws of England and Wales with registration number 14573691, and further agree that this Joint Filing Agreement be included as an Exhibit thereto. In evidence thereof, the undersigned, being duly authorized, have executed this Joint Filing Agreement this 26th day of August, 2024.</w:t>
      </w:r>
    </w:p>
    <w:p>
      <w:pPr>
        <w:pStyle w:val="TextBody"/>
        <w:bidi w:val="0"/>
        <w:spacing w:before="240" w:after="0"/>
        <w:jc w:val="left"/>
        <w:rPr>
          <w:rFonts w:ascii="Times New Roman" w:hAnsi="Times New Roman"/>
          <w:sz w:val="20"/>
        </w:rPr>
      </w:pPr>
      <w:r>
        <w:rPr>
          <w:rFonts w:ascii="Times New Roman" w:hAnsi="Times New Roman"/>
          <w:sz w:val="20"/>
        </w:rPr>
        <w:t>IN WITNESS WHEREOF, the undersigned have executed this Agreement as of the 26th day of August, 2024.</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Wagner</w:t>
            </w:r>
          </w:p>
        </w:tc>
      </w:tr>
      <w:tr>
        <w:trPr/>
        <w:tc>
          <w:tcPr>
            <w:tcW w:w="4082" w:type="dxa"/>
            <w:gridSpan w:val="3"/>
            <w:tcBorders/>
          </w:tcPr>
          <w:p>
            <w:pPr>
              <w:pStyle w:val="TableContents"/>
              <w:bidi w:val="0"/>
              <w:spacing w:before="0" w:after="283"/>
              <w:jc w:val="left"/>
              <w:rPr>
                <w:b/>
              </w:rPr>
            </w:pPr>
            <w:r>
              <w:rPr>
                <w:b/>
              </w:rPr>
              <w:t>DANIEL WAGNER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Wagner</w:t>
            </w:r>
          </w:p>
        </w:tc>
      </w:tr>
      <w:tr>
        <w:trPr/>
        <w:tc>
          <w:tcPr>
            <w:tcW w:w="4082" w:type="dxa"/>
            <w:gridSpan w:val="3"/>
            <w:tcBorders/>
          </w:tcPr>
          <w:p>
            <w:pPr>
              <w:pStyle w:val="TableContents"/>
              <w:bidi w:val="0"/>
              <w:spacing w:before="0" w:after="283"/>
              <w:jc w:val="left"/>
              <w:rPr>
                <w:b/>
              </w:rPr>
            </w:pPr>
            <w:r>
              <w:rPr>
                <w:b/>
              </w:rPr>
              <w:t>JOHN WAGNER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DBLP SEA COW LIMITED</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Wagner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Daniel Wagner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3087</Words>
  <Characters>15292</Characters>
  <CharactersWithSpaces>18405</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