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4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87"/>
        </w:trPr>
        <w:tc>
          <w:tcPr>
            <w:tcW w:w="3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40" w:type="dxa"/>
            <w:vAlign w:val="bottom"/>
          </w:tcPr>
          <w:p>
            <w:pPr>
              <w:spacing w:after="0"/>
              <w:rPr>
                <w:sz w:val="16"/>
                <w:szCs w:val="16"/>
                <w:color w:val="auto"/>
              </w:rPr>
            </w:pPr>
          </w:p>
        </w:tc>
        <w:tc>
          <w:tcPr>
            <w:tcW w:w="43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34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4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3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111" w:lineRule="exact"/>
        <w:rPr>
          <w:sz w:val="24"/>
          <w:szCs w:val="24"/>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MAY 16,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20,249,283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up to 20,249,283 Ordinary Shares, consisting of (i) up to 2,760,848 Ordinary Shares issued in connection with the Bluedot Acquisition (as defined herein); (ii) up to 3,999,145 Ordinary Shares issued in connection with the GroupBy Acquisition (iii) up to 12,300,000 Ordinary Shares issuable to Western Alliance Bank ("</w:t>
      </w:r>
      <w:r>
        <w:rPr>
          <w:rFonts w:ascii="Times New Roman" w:cs="Times New Roman" w:eastAsia="Times New Roman" w:hAnsi="Times New Roman"/>
          <w:sz w:val="18"/>
          <w:szCs w:val="18"/>
          <w:b w:val="1"/>
          <w:bCs w:val="1"/>
          <w:i w:val="1"/>
          <w:iCs w:val="1"/>
          <w:color w:val="auto"/>
        </w:rPr>
        <w:t>WAB</w:t>
      </w:r>
      <w:r>
        <w:rPr>
          <w:rFonts w:ascii="Times New Roman" w:cs="Times New Roman" w:eastAsia="Times New Roman" w:hAnsi="Times New Roman"/>
          <w:sz w:val="18"/>
          <w:szCs w:val="18"/>
          <w:color w:val="auto"/>
        </w:rPr>
        <w:t>") in connection with the WAB Subscription Letter (as defined herein); (iv) up to 89,290 Ordinary Shares issuable to Roth Capital Partners, LLC as transaction-based compensation for the performance of advisory services rendered to the Company in connection with the Business Combination (as defined herein);</w:t>
      </w:r>
    </w:p>
    <w:p>
      <w:pPr>
        <w:spacing w:after="0" w:line="3"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300,000 Ordinary Shares issued to Radio Group Holding GmbH and certain other holders in connection with the settlement of an agreement;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 Ordinary Shares issued to DBLP in connection with the DBLP Settlement Agreement (as defined herein).</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8.23%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14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May 15, 2025, the closing price of the Ordinary Shares was $2.29 per share.</w:t>
      </w:r>
    </w:p>
    <w:p>
      <w:pPr>
        <w:spacing w:after="0" w:line="9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1411"/>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AND INDUSTRY DATA</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DIVIDEND POLICY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MARKET PRICE OF OUR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BUSINESS OF REZOLVE</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 ARTICLES OF ASSOCIATION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0" w:type="dxa"/>
            <w:vAlign w:val="bottom"/>
            <w:tcBorders>
              <w:left w:val="single" w:sz="8" w:color="0000EE"/>
              <w:right w:val="single" w:sz="8" w:color="0000FF"/>
            </w:tcBorders>
            <w:gridSpan w:val="9"/>
            <w:shd w:val="clear" w:color="auto" w:fill="0000FF"/>
          </w:tcPr>
          <w:p>
            <w:pPr>
              <w:spacing w:after="0" w:line="20" w:lineRule="exact"/>
              <w:rPr>
                <w:sz w:val="1"/>
                <w:szCs w:val="1"/>
                <w:color w:val="auto"/>
              </w:rPr>
            </w:pPr>
          </w:p>
        </w:tc>
        <w:tc>
          <w:tcPr>
            <w:tcW w:w="11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0" w:type="dxa"/>
            <w:vAlign w:val="bottom"/>
            <w:tcBorders>
              <w:left w:val="single" w:sz="8" w:color="0000EE"/>
              <w:right w:val="single" w:sz="8" w:color="0000FF"/>
            </w:tcBorders>
            <w:gridSpan w:val="9"/>
            <w:shd w:val="clear" w:color="auto" w:fill="0000FF"/>
          </w:tcPr>
          <w:p>
            <w:pPr>
              <w:spacing w:after="0" w:line="20" w:lineRule="exact"/>
              <w:rPr>
                <w:sz w:val="1"/>
                <w:szCs w:val="1"/>
                <w:color w:val="auto"/>
              </w:rPr>
            </w:pPr>
          </w:p>
        </w:tc>
        <w:tc>
          <w:tcPr>
            <w:tcW w:w="1640" w:type="dxa"/>
            <w:vAlign w:val="bottom"/>
            <w:tcBorders>
              <w:left w:val="single" w:sz="8" w:color="0000FF"/>
            </w:tcBorders>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2200" w:type="dxa"/>
            <w:vAlign w:val="bottom"/>
            <w:tcBorders>
              <w:left w:val="single" w:sz="8" w:color="0000EE"/>
              <w:right w:val="single" w:sz="8" w:color="0000EE"/>
            </w:tcBorders>
            <w:gridSpan w:val="9"/>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20,249,283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3" w:lineRule="exact"/>
        <w:rPr>
          <w:sz w:val="20"/>
          <w:szCs w:val="20"/>
          <w:color w:val="auto"/>
        </w:rPr>
      </w:pPr>
    </w:p>
    <w:p>
      <w:pPr>
        <w:ind w:right="160" w:firstLine="576"/>
        <w:spacing w:after="0" w:line="26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w:t>
      </w:r>
      <w:r>
        <w:rPr>
          <w:rFonts w:ascii="Times New Roman" w:cs="Times New Roman" w:eastAsia="Times New Roman" w:hAnsi="Times New Roman"/>
          <w:sz w:val="18"/>
          <w:szCs w:val="18"/>
          <w:b w:val="1"/>
          <w:bCs w:val="1"/>
          <w:i w:val="1"/>
          <w:iCs w:val="1"/>
          <w:color w:val="auto"/>
        </w:rPr>
        <w:t>First Bluedot Purchase Agreement</w:t>
      </w:r>
      <w:r>
        <w:rPr>
          <w:rFonts w:ascii="Times New Roman" w:cs="Times New Roman" w:eastAsia="Times New Roman" w:hAnsi="Times New Roman"/>
          <w:sz w:val="18"/>
          <w:szCs w:val="18"/>
          <w:color w:val="auto"/>
        </w:rPr>
        <w:t>”), by and between the Company and DBLP Sea Cow Ltd, a limited company organized under the laws of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pursuant to which the Company agreed to purchase, and DBLP agreed to sell, the entire issued and to be issued share capital of each of Bluedot</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4" w:name="page5"/>
    <w:bookmarkEnd w:id="4"/>
    <w:p>
      <w:pPr>
        <w:ind w:right="160"/>
        <w:spacing w:after="0" w:line="282" w:lineRule="auto"/>
        <w:rPr>
          <w:sz w:val="20"/>
          <w:szCs w:val="20"/>
          <w:color w:val="auto"/>
        </w:rPr>
      </w:pPr>
      <w:r>
        <w:rPr>
          <w:rFonts w:ascii="Times New Roman" w:cs="Times New Roman" w:eastAsia="Times New Roman" w:hAnsi="Times New Roman"/>
          <w:sz w:val="18"/>
          <w:szCs w:val="18"/>
          <w:color w:val="auto"/>
        </w:rPr>
        <w:t>Industries, Inc., a Delaware corporation, and Bluedot Industries Pty. Ltd, an Australian proprietary limited company registered in Victoria on 7 December 2013 with Australian Company Number 165 206 566 (the “</w:t>
      </w:r>
      <w:r>
        <w:rPr>
          <w:rFonts w:ascii="Times New Roman" w:cs="Times New Roman" w:eastAsia="Times New Roman" w:hAnsi="Times New Roman"/>
          <w:sz w:val="18"/>
          <w:szCs w:val="18"/>
          <w:b w:val="1"/>
          <w:bCs w:val="1"/>
          <w:i w:val="1"/>
          <w:iCs w:val="1"/>
          <w:color w:val="auto"/>
        </w:rPr>
        <w:t>First Bluedot Acquisition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58" w:lineRule="exact"/>
        <w:rPr>
          <w:sz w:val="20"/>
          <w:szCs w:val="20"/>
          <w:color w:val="auto"/>
        </w:rPr>
      </w:pPr>
    </w:p>
    <w:p>
      <w:pPr>
        <w:ind w:right="120" w:firstLine="576"/>
        <w:spacing w:after="0" w:line="259" w:lineRule="auto"/>
        <w:rPr>
          <w:sz w:val="20"/>
          <w:szCs w:val="20"/>
          <w:color w:val="auto"/>
        </w:rPr>
      </w:pPr>
      <w:r>
        <w:rPr>
          <w:rFonts w:ascii="Times New Roman" w:cs="Times New Roman" w:eastAsia="Times New Roman" w:hAnsi="Times New Roman"/>
          <w:sz w:val="18"/>
          <w:szCs w:val="18"/>
          <w:color w:val="auto"/>
        </w:rPr>
        <w:t>On March 17, 2025, Rezolve entered into a Purchase Agreement (the “</w:t>
      </w:r>
      <w:r>
        <w:rPr>
          <w:rFonts w:ascii="Times New Roman" w:cs="Times New Roman" w:eastAsia="Times New Roman" w:hAnsi="Times New Roman"/>
          <w:sz w:val="18"/>
          <w:szCs w:val="18"/>
          <w:b w:val="1"/>
          <w:bCs w:val="1"/>
          <w:i w:val="1"/>
          <w:iCs w:val="1"/>
          <w:color w:val="auto"/>
        </w:rPr>
        <w:t>Second Bluedot Purchase Agreement</w:t>
      </w:r>
      <w:r>
        <w:rPr>
          <w:rFonts w:ascii="Times New Roman" w:cs="Times New Roman" w:eastAsia="Times New Roman" w:hAnsi="Times New Roman"/>
          <w:sz w:val="18"/>
          <w:szCs w:val="18"/>
          <w:color w:val="auto"/>
        </w:rPr>
        <w:t>”), by and between the Company and Tanist Group Limited, a limited company organized under the laws of the British Virgin Islands (“</w:t>
      </w:r>
      <w:r>
        <w:rPr>
          <w:rFonts w:ascii="Times New Roman" w:cs="Times New Roman" w:eastAsia="Times New Roman" w:hAnsi="Times New Roman"/>
          <w:sz w:val="18"/>
          <w:szCs w:val="18"/>
          <w:b w:val="1"/>
          <w:bCs w:val="1"/>
          <w:i w:val="1"/>
          <w:iCs w:val="1"/>
          <w:color w:val="auto"/>
        </w:rPr>
        <w:t>Tanist</w:t>
      </w:r>
      <w:r>
        <w:rPr>
          <w:rFonts w:ascii="Times New Roman" w:cs="Times New Roman" w:eastAsia="Times New Roman" w:hAnsi="Times New Roman"/>
          <w:sz w:val="18"/>
          <w:szCs w:val="18"/>
          <w:color w:val="auto"/>
        </w:rPr>
        <w:t>”), pursuant to which the Company agreed to purchase, and Tanist agreed to sell, the entire issued and to be issued share capital of Bluedot Innovation Pty. Ltd, an Australian proprietary limited company registered in South Australia 161 734 621 (the “</w:t>
      </w:r>
      <w:r>
        <w:rPr>
          <w:rFonts w:ascii="Times New Roman" w:cs="Times New Roman" w:eastAsia="Times New Roman" w:hAnsi="Times New Roman"/>
          <w:sz w:val="18"/>
          <w:szCs w:val="18"/>
          <w:b w:val="1"/>
          <w:bCs w:val="1"/>
          <w:i w:val="1"/>
          <w:iCs w:val="1"/>
          <w:color w:val="auto"/>
        </w:rPr>
        <w:t>Second Bluedot Acquisition</w:t>
      </w:r>
      <w:r>
        <w:rPr>
          <w:rFonts w:ascii="Times New Roman" w:cs="Times New Roman" w:eastAsia="Times New Roman" w:hAnsi="Times New Roman"/>
          <w:sz w:val="18"/>
          <w:szCs w:val="18"/>
          <w:color w:val="auto"/>
        </w:rPr>
        <w:t>, and together with the First Bluedot Acquisition, the “</w:t>
      </w:r>
      <w:r>
        <w:rPr>
          <w:rFonts w:ascii="Times New Roman" w:cs="Times New Roman" w:eastAsia="Times New Roman" w:hAnsi="Times New Roman"/>
          <w:sz w:val="18"/>
          <w:szCs w:val="18"/>
          <w:b w:val="1"/>
          <w:bCs w:val="1"/>
          <w:i w:val="1"/>
          <w:iCs w:val="1"/>
          <w:color w:val="auto"/>
        </w:rPr>
        <w:t>Bluedot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6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58" w:lineRule="exact"/>
        <w:rPr>
          <w:sz w:val="20"/>
          <w:szCs w:val="20"/>
          <w:color w:val="auto"/>
        </w:rPr>
      </w:pPr>
    </w:p>
    <w:p>
      <w:pPr>
        <w:ind w:right="80" w:firstLine="576"/>
        <w:spacing w:after="0" w:line="259"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w:t>
      </w:r>
      <w:r>
        <w:rPr>
          <w:rFonts w:ascii="Times New Roman" w:cs="Times New Roman" w:eastAsia="Times New Roman" w:hAnsi="Times New Roman"/>
          <w:sz w:val="18"/>
          <w:szCs w:val="18"/>
          <w:b w:val="1"/>
          <w:bCs w:val="1"/>
          <w:i w:val="1"/>
          <w:iCs w:val="1"/>
          <w:color w:val="auto"/>
        </w:rPr>
        <w:t>GroupBy Purchase Agreement</w:t>
      </w:r>
      <w:r>
        <w:rPr>
          <w:rFonts w:ascii="Times New Roman" w:cs="Times New Roman" w:eastAsia="Times New Roman" w:hAnsi="Times New Roman"/>
          <w:sz w:val="18"/>
          <w:szCs w:val="18"/>
          <w:color w:val="auto"/>
        </w:rPr>
        <w:t>”), by and among the Company, GroupBy Inc., an Ontario, Canada corporation (“</w:t>
      </w:r>
      <w:r>
        <w:rPr>
          <w:rFonts w:ascii="Times New Roman" w:cs="Times New Roman" w:eastAsia="Times New Roman" w:hAnsi="Times New Roman"/>
          <w:sz w:val="18"/>
          <w:szCs w:val="18"/>
          <w:b w:val="1"/>
          <w:bCs w:val="1"/>
          <w:i w:val="1"/>
          <w:iCs w:val="1"/>
          <w:color w:val="auto"/>
        </w:rPr>
        <w:t>GroupBy</w:t>
      </w:r>
      <w:r>
        <w:rPr>
          <w:rFonts w:ascii="Times New Roman" w:cs="Times New Roman" w:eastAsia="Times New Roman" w:hAnsi="Times New Roman"/>
          <w:sz w:val="18"/>
          <w:szCs w:val="18"/>
          <w:color w:val="auto"/>
        </w:rPr>
        <w:t>”), GroupBy International Ltd., an Ontario, Canada corporation (“</w:t>
      </w:r>
      <w:r>
        <w:rPr>
          <w:rFonts w:ascii="Times New Roman" w:cs="Times New Roman" w:eastAsia="Times New Roman" w:hAnsi="Times New Roman"/>
          <w:sz w:val="18"/>
          <w:szCs w:val="18"/>
          <w:b w:val="1"/>
          <w:bCs w:val="1"/>
          <w:i w:val="1"/>
          <w:iCs w:val="1"/>
          <w:color w:val="auto"/>
        </w:rPr>
        <w:t>GroupBy International</w:t>
      </w:r>
      <w:r>
        <w:rPr>
          <w:rFonts w:ascii="Times New Roman" w:cs="Times New Roman" w:eastAsia="Times New Roman" w:hAnsi="Times New Roman"/>
          <w:sz w:val="18"/>
          <w:szCs w:val="18"/>
          <w:color w:val="auto"/>
        </w:rPr>
        <w:t>”)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14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10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32" w:right="459"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25" w:lineRule="exact"/>
        <w:rPr>
          <w:sz w:val="20"/>
          <w:szCs w:val="20"/>
          <w:color w:val="auto"/>
        </w:rPr>
      </w:pPr>
    </w:p>
    <w:p>
      <w:pPr>
        <w:ind w:right="2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7" w:name="page8"/>
    <w:bookmarkEnd w:id="7"/>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207" w:lineRule="exact"/>
        <w:rPr>
          <w:sz w:val="20"/>
          <w:szCs w:val="20"/>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9" w:name="page10"/>
    <w:bookmarkEnd w:id="9"/>
    <w:p>
      <w:pPr>
        <w:ind w:right="200"/>
        <w:spacing w:after="0" w:line="266" w:lineRule="auto"/>
        <w:rPr>
          <w:sz w:val="20"/>
          <w:szCs w:val="20"/>
          <w:color w:val="auto"/>
        </w:rPr>
      </w:pPr>
      <w:r>
        <w:rPr>
          <w:rFonts w:ascii="Times New Roman" w:cs="Times New Roman" w:eastAsia="Times New Roman" w:hAnsi="Times New Roman"/>
          <w:sz w:val="18"/>
          <w:szCs w:val="18"/>
          <w:color w:val="auto"/>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Bluedot Acquisition</w:t>
      </w:r>
    </w:p>
    <w:p>
      <w:pPr>
        <w:spacing w:after="0" w:line="229"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24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66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GroupBy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WAB Subscription Letter</w:t>
      </w:r>
    </w:p>
    <w:p>
      <w:pPr>
        <w:spacing w:after="0" w:line="225"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color w:val="auto"/>
        </w:rPr>
        <w:t>In connection with the Closing of the GroupBy Acquisiton, on March 25, 2025, the Company entered into a Subscription Letter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Lette</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 by and between the Company and WAB, pursuant to which the Company agreed to issue to WAB a number of Ordinary Shares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$12,300,000 (the "</w:t>
      </w:r>
      <w:r>
        <w:rPr>
          <w:rFonts w:ascii="Times New Roman" w:cs="Times New Roman" w:eastAsia="Times New Roman" w:hAnsi="Times New Roman"/>
          <w:sz w:val="18"/>
          <w:szCs w:val="18"/>
          <w:b w:val="1"/>
          <w:bCs w:val="1"/>
          <w:i w:val="1"/>
          <w:iCs w:val="1"/>
          <w:color w:val="auto"/>
        </w:rPr>
        <w:t>Subscription 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consideration for the allotment of the Subscription Shares, WAB will irrevocably and unconditionally release and discharge the Company from the obligations owed by the Company to WAB.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color w:val="auto"/>
        </w:rPr>
        <w:t>On February 7, 2025, the Company entered into a Settlement Agreement (the "</w:t>
      </w:r>
      <w:r>
        <w:rPr>
          <w:rFonts w:ascii="Times New Roman" w:cs="Times New Roman" w:eastAsia="Times New Roman" w:hAnsi="Times New Roman"/>
          <w:sz w:val="17"/>
          <w:szCs w:val="17"/>
          <w:b w:val="1"/>
          <w:bCs w:val="1"/>
          <w:i w:val="1"/>
          <w:iCs w:val="1"/>
          <w:color w:val="auto"/>
        </w:rPr>
        <w:t>DBLP Settlement Agreement</w:t>
      </w:r>
      <w:r>
        <w:rPr>
          <w:rFonts w:ascii="Times New Roman" w:cs="Times New Roman" w:eastAsia="Times New Roman" w:hAnsi="Times New Roman"/>
          <w:sz w:val="17"/>
          <w:szCs w:val="17"/>
          <w:color w:val="auto"/>
        </w:rPr>
        <w:t>") with DBLP, pursuant to which the Company agreed to issue DBLP 800,000 Ordinary Shares in exchange for the full and final settlement of all amounts owed to DBLP in the amount of $5,958,593.22.</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300" w:firstLine="576"/>
        <w:spacing w:after="0" w:line="282"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1" w:name="page12"/>
    <w:bookmarkEnd w:id="11"/>
    <w:p>
      <w:pPr>
        <w:ind w:right="160"/>
        <w:spacing w:after="0" w:line="282" w:lineRule="auto"/>
        <w:rPr>
          <w:sz w:val="20"/>
          <w:szCs w:val="20"/>
          <w:color w:val="auto"/>
        </w:rPr>
      </w:pPr>
      <w:r>
        <w:rPr>
          <w:rFonts w:ascii="Times New Roman" w:cs="Times New Roman" w:eastAsia="Times New Roman" w:hAnsi="Times New Roman"/>
          <w:sz w:val="18"/>
          <w:szCs w:val="18"/>
          <w:color w:val="auto"/>
        </w:rPr>
        <w:t>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62"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 w:name="page13"/>
    <w:bookmarkEnd w:id="12"/>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3" w:name="page14"/>
    <w:bookmarkEnd w:id="13"/>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4" w:name="page15"/>
    <w:bookmarkEnd w:id="14"/>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58,393,288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May 6, 2025 and does not give effect to issuances of Ordinary Shares or Warrants after such date, or the exercise of Warrants after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17"/>
          <w:szCs w:val="17"/>
          <w:color w:val="auto"/>
        </w:rPr>
        <w:t>Up to 20,249,283 Ordinary Shares, consisting of (i) up to 2,760,848 Ordinary Shares issued in connection with the Bluedot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offered by the Selling Acquisition; (ii) up to 3,999,145 Ordinary Shares issued in connection with the GroupBy Acquisition (iii) up to 12,300,000 Ordinary</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Holders</w:t>
      </w:r>
      <w:r>
        <w:rPr>
          <w:sz w:val="20"/>
          <w:szCs w:val="20"/>
          <w:color w:val="auto"/>
        </w:rPr>
        <w:tab/>
      </w:r>
      <w:r>
        <w:rPr>
          <w:rFonts w:ascii="Times New Roman" w:cs="Times New Roman" w:eastAsia="Times New Roman" w:hAnsi="Times New Roman"/>
          <w:sz w:val="18"/>
          <w:szCs w:val="18"/>
          <w:color w:val="auto"/>
        </w:rPr>
        <w:t>Shares issuable to WAB in connection with the WAB Subscription Letter; (iv) up to 89,290 Ordinary Shares issuable to Roth</w:t>
      </w:r>
    </w:p>
    <w:p>
      <w:pPr>
        <w:spacing w:after="0" w:line="9" w:lineRule="exact"/>
        <w:rPr>
          <w:sz w:val="20"/>
          <w:szCs w:val="20"/>
          <w:color w:val="auto"/>
        </w:rPr>
      </w:pPr>
    </w:p>
    <w:p>
      <w:pPr>
        <w:ind w:left="1660" w:right="240"/>
        <w:spacing w:after="0" w:line="250" w:lineRule="auto"/>
        <w:rPr>
          <w:sz w:val="20"/>
          <w:szCs w:val="20"/>
          <w:color w:val="auto"/>
        </w:rPr>
      </w:pPr>
      <w:r>
        <w:rPr>
          <w:rFonts w:ascii="Times New Roman" w:cs="Times New Roman" w:eastAsia="Times New Roman" w:hAnsi="Times New Roman"/>
          <w:sz w:val="18"/>
          <w:szCs w:val="18"/>
          <w:color w:val="auto"/>
        </w:rPr>
        <w:t>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issued to DBLP in connection with the DBLP Settlement Agreement.</w:t>
      </w:r>
    </w:p>
    <w:p>
      <w:pPr>
        <w:spacing w:after="0" w:line="2"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the Ordinary Shares to be offered by the Selling Holders.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Ordinary Shares</w:t>
      </w:r>
    </w:p>
    <w:p>
      <w:pPr>
        <w:spacing w:after="0" w:line="162"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our 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 discussion of factors that you should consider carefully before deciding to invest in Ordinary Shares and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71" w:lineRule="exact"/>
        <w:rPr>
          <w:sz w:val="20"/>
          <w:szCs w:val="20"/>
          <w:color w:val="auto"/>
        </w:rPr>
      </w:pPr>
    </w:p>
    <w:p>
      <w:pPr>
        <w:sectPr>
          <w:pgSz w:w="11900" w:h="16838" w:orient="portrait"/>
          <w:cols w:equalWidth="0" w:num="2">
            <w:col w:w="1500" w:space="100"/>
            <w:col w:w="9620"/>
          </w:cols>
          <w:pgMar w:left="320" w:top="1440" w:right="359" w:bottom="1440" w:gutter="0" w:footer="0" w:header="0"/>
          <w:type w:val="continuous"/>
        </w:sectPr>
      </w:pP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5" w:name="page16"/>
    <w:bookmarkEnd w:id="1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00" w:hanging="519"/>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20" w:hanging="519"/>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40" w:hanging="519"/>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140"/>
        <w:spacing w:after="0" w:line="256" w:lineRule="auto"/>
        <w:rPr>
          <w:sz w:val="20"/>
          <w:szCs w:val="20"/>
          <w:color w:val="auto"/>
        </w:rPr>
      </w:pPr>
      <w:r>
        <w:rPr>
          <w:rFonts w:ascii="Times New Roman" w:cs="Times New Roman" w:eastAsia="Times New Roman" w:hAnsi="Times New Roman"/>
          <w:sz w:val="18"/>
          <w:szCs w:val="18"/>
          <w:color w:val="auto"/>
        </w:rPr>
        <w:t>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7" w:name="page18"/>
    <w:bookmarkEnd w:id="17"/>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56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19" w:name="page20"/>
    <w:bookmarkEnd w:id="19"/>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1" w:name="page22"/>
    <w:bookmarkEnd w:id="21"/>
    <w:p>
      <w:pPr>
        <w:spacing w:after="0" w:line="254" w:lineRule="auto"/>
        <w:rPr>
          <w:sz w:val="20"/>
          <w:szCs w:val="20"/>
          <w:color w:val="auto"/>
        </w:rPr>
      </w:pPr>
      <w:r>
        <w:rPr>
          <w:rFonts w:ascii="Times New Roman" w:cs="Times New Roman" w:eastAsia="Times New Roman" w:hAnsi="Times New Roman"/>
          <w:sz w:val="18"/>
          <w:szCs w:val="18"/>
          <w:color w:val="auto"/>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2" w:name="page23"/>
    <w:bookmarkEnd w:id="22"/>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t>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0" w:name="page31"/>
    <w:bookmarkEnd w:id="30"/>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1" w:name="page32"/>
    <w:bookmarkEnd w:id="31"/>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ind w:left="760" w:right="66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7" w:name="page38"/>
    <w:bookmarkEnd w:id="37"/>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these sales.</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May 16, 2025, there were approximately 2 shareholders of record of Ordinary Shares and one shareholder of record of Warrants. Such numbers do not include beneficial owners holding our securities through nominee names. On May 15, 2025, the last reported closing sale prices of our Ordinary Shares and Public Warrants were $2.29 and $0.60,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-3899535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-3899535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-3899535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-3899535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-3899535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-3899535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-3899535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-1506855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-1506855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-1506855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-1506855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-1506855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-1506855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-1506855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2" w:name="page43"/>
    <w:bookmarkEnd w:id="42"/>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3" w:name="page44"/>
    <w:bookmarkEnd w:id="43"/>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4" w:name="page45"/>
    <w:bookmarkEnd w:id="44"/>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left="503" w:right="40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46" w:name="page47"/>
    <w:bookmarkEnd w:id="46"/>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right="280" w:hanging="503"/>
        <w:spacing w:after="0" w:line="286" w:lineRule="auto"/>
        <w:tabs>
          <w:tab w:leader="none" w:pos="10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access to financing through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Additionally, our growth may be supported by acquisitions of businesses where management identifies synergistic growth opportunities.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ind w:left="1020" w:right="20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0" w:name="page51"/>
    <w:bookmarkEnd w:id="50"/>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2024 was driven by higher impairment charges related to loan receivables from Swipeby and Moneymatic recognized in 2023 as compared to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400" w:hanging="503"/>
        <w:spacing w:after="0" w:line="284"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2" w:name="page53"/>
    <w:bookmarkEnd w:id="52"/>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3" w:name="page54"/>
    <w:bookmarkEnd w:id="53"/>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4" w:name="page55"/>
    <w:bookmarkEnd w:id="54"/>
    <w:p>
      <w:pPr>
        <w:ind w:left="1660" w:hanging="500"/>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6" w:name="page57"/>
    <w:bookmarkEnd w:id="56"/>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57" w:name="page58"/>
    <w:bookmarkEnd w:id="5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ind w:right="120"/>
        <w:spacing w:after="0" w:line="254" w:lineRule="auto"/>
        <w:rPr>
          <w:sz w:val="20"/>
          <w:szCs w:val="20"/>
          <w:color w:val="auto"/>
        </w:rPr>
      </w:pPr>
      <w:r>
        <w:rPr>
          <w:rFonts w:ascii="Times New Roman" w:cs="Times New Roman" w:eastAsia="Times New Roman" w:hAnsi="Times New Roman"/>
          <w:sz w:val="18"/>
          <w:szCs w:val="18"/>
          <w:color w:val="auto"/>
        </w:rPr>
        <w:t>$20,000,000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0" w:name="page61"/>
    <w:bookmarkEnd w:id="60"/>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1" w:name="page62"/>
    <w:bookmarkEnd w:id="61"/>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3" w:name="page64"/>
    <w:bookmarkEnd w:id="63"/>
    <w:p>
      <w:pPr>
        <w:jc w:val="both"/>
        <w:ind w:left="1020" w:right="1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1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791845</wp:posOffset>
            </wp:positionV>
            <wp:extent cx="5631815" cy="3188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On February 4, 2025, Rezolve entered into the First BlueDot Purchase Agreement, by and between the Company and DBLP, pursuant to which the Company agreed to purchase, and DBLP agreed to sell, the entire issued and to be issued share capital of each of Bluedot Industries, Inc., a Delaware corporation, and Bluedot Industries Pty. Ltd, an Australian proprietary limited company registered in Victoria on 7 December 2013 with Australian Company Number 165 206 566.</w:t>
      </w:r>
    </w:p>
    <w:p>
      <w:pPr>
        <w:spacing w:after="0" w:line="180"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On March 17, 2025, Rezolve entered into the Second Bluedot Purchase Agreement, by and between the Company and Tanist , pursuant to which the Company agreed to purchase, and Tanist agreed to sell, the entire issued and to be issued share capital of Bluedot Innovation Pty. Ltd, an Australian proprietary limited company registered in South Australia 161 734 621.</w:t>
      </w:r>
    </w:p>
    <w:p>
      <w:pPr>
        <w:spacing w:after="0" w:line="176" w:lineRule="exact"/>
        <w:rPr>
          <w:sz w:val="20"/>
          <w:szCs w:val="20"/>
          <w:color w:val="auto"/>
        </w:rPr>
      </w:pPr>
    </w:p>
    <w:p>
      <w:pPr>
        <w:ind w:right="600" w:firstLine="576"/>
        <w:spacing w:after="0" w:line="282" w:lineRule="auto"/>
        <w:rPr>
          <w:sz w:val="20"/>
          <w:szCs w:val="20"/>
          <w:color w:val="auto"/>
        </w:rPr>
      </w:pPr>
      <w:r>
        <w:rPr>
          <w:rFonts w:ascii="Times New Roman" w:cs="Times New Roman" w:eastAsia="Times New Roman" w:hAnsi="Times New Roman"/>
          <w:sz w:val="18"/>
          <w:szCs w:val="18"/>
          <w:color w:val="auto"/>
        </w:rPr>
        <w:t>On March 17, 2025, Rezolve closed the Second Bluedot Acquisition. As consideration for the Second Bluedot Acquisition, Rezolve issued 1,941,111 ordinary shares of the Company in a private placement to Tanist.</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Rezolve entered into the GroupBy Purchase Agreement, by and among the Company, GroupBy, GroupBy International and the Sellers, pursuant to which the Company agreed to purchase, and the Sellers agreed to sell, the entire issued and to be issued share capital of each of GroupBy and GroupBy International.</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335" w:lineRule="exact"/>
        <w:rPr>
          <w:sz w:val="20"/>
          <w:szCs w:val="20"/>
          <w:color w:val="auto"/>
        </w:rPr>
      </w:pPr>
    </w:p>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7" w:name="page68"/>
    <w:bookmarkEnd w:id="67"/>
    <w:p>
      <w:pPr>
        <w:ind w:right="600"/>
        <w:spacing w:after="0" w:line="282" w:lineRule="auto"/>
        <w:rPr>
          <w:sz w:val="20"/>
          <w:szCs w:val="20"/>
          <w:color w:val="auto"/>
        </w:rPr>
      </w:pPr>
      <w:r>
        <w:rPr>
          <w:rFonts w:ascii="Times New Roman" w:cs="Times New Roman" w:eastAsia="Times New Roman" w:hAnsi="Times New Roman"/>
          <w:sz w:val="18"/>
          <w:szCs w:val="18"/>
          <w:color w:val="auto"/>
        </w:rPr>
        <w:t>allow merchants to make a memorable impression. Globally, 60% of consumers say they will make repeat purchase at a retailer after a personalized shopping experience, according to a June 2021 report.</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40" w:hanging="503"/>
        <w:spacing w:after="0" w:line="261"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20" w:hanging="503"/>
        <w:spacing w:after="0" w:line="255"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200" w:hanging="503"/>
        <w:spacing w:after="0" w:line="267"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5"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ind w:left="503" w:hanging="503"/>
        <w:spacing w:after="0" w:line="261"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503" w:hanging="503"/>
        <w:spacing w:after="0" w:line="254"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b w:val="1"/>
          <w:bCs w:val="1"/>
          <w:color w:val="auto"/>
        </w:rPr>
      </w:pPr>
    </w:p>
    <w:p>
      <w:pPr>
        <w:ind w:left="503" w:right="20" w:hanging="503"/>
        <w:spacing w:after="0" w:line="257"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40" w:hanging="503"/>
        <w:spacing w:after="0" w:line="258" w:lineRule="auto"/>
        <w:tabs>
          <w:tab w:leader="none" w:pos="5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18" w:right="35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1348105</wp:posOffset>
            </wp:positionH>
            <wp:positionV relativeFrom="page">
              <wp:posOffset>791845</wp:posOffset>
            </wp:positionV>
            <wp:extent cx="5332095" cy="37630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3209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40290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1754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ind w:right="260"/>
        <w:spacing w:after="0" w:line="261" w:lineRule="auto"/>
        <w:rPr>
          <w:sz w:val="20"/>
          <w:szCs w:val="20"/>
          <w:color w:val="auto"/>
        </w:rPr>
      </w:pPr>
      <w:r>
        <w:rPr>
          <w:rFonts w:ascii="Times New Roman" w:cs="Times New Roman" w:eastAsia="Times New Roman" w:hAnsi="Times New Roman"/>
          <w:sz w:val="18"/>
          <w:szCs w:val="18"/>
          <w:color w:val="auto"/>
        </w:rPr>
        <w:t>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84" w:lineRule="auto"/>
        <w:tabs>
          <w:tab w:leader="none" w:pos="10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2" w:name="page73"/>
    <w:bookmarkEnd w:id="72"/>
    <w:p>
      <w:pPr>
        <w:ind w:left="1020" w:right="60"/>
        <w:spacing w:after="0" w:line="282" w:lineRule="auto"/>
        <w:rPr>
          <w:sz w:val="20"/>
          <w:szCs w:val="20"/>
          <w:color w:val="auto"/>
        </w:rPr>
      </w:pPr>
      <w:r>
        <w:rPr>
          <w:rFonts w:ascii="Times New Roman" w:cs="Times New Roman" w:eastAsia="Times New Roman" w:hAnsi="Times New Roman"/>
          <w:sz w:val="18"/>
          <w:szCs w:val="18"/>
          <w:color w:val="auto"/>
        </w:rPr>
        <w:t>improve customer lifetime value. Combined with additional functionalities and offering capabilities, we expect to upsell and cross sell across our new merchants, increasing our revenues.</w:t>
      </w:r>
    </w:p>
    <w:p>
      <w:pPr>
        <w:spacing w:after="0" w:line="52" w:lineRule="exact"/>
        <w:rPr>
          <w:sz w:val="20"/>
          <w:szCs w:val="20"/>
          <w:color w:val="auto"/>
        </w:rPr>
      </w:pPr>
    </w:p>
    <w:p>
      <w:pPr>
        <w:ind w:left="1020" w:right="480" w:hanging="503"/>
        <w:spacing w:after="0" w:line="284"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40" w:hanging="503"/>
        <w:spacing w:after="0" w:line="284"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200" w:hanging="503"/>
        <w:spacing w:after="0" w:line="315" w:lineRule="auto"/>
        <w:tabs>
          <w:tab w:leader="none" w:pos="1020"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40" w:hanging="503"/>
        <w:spacing w:after="0" w:line="267"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80" w:hanging="513"/>
        <w:spacing w:after="0" w:line="284" w:lineRule="auto"/>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3" w:name="page74"/>
    <w:bookmarkEnd w:id="73"/>
    <w:p>
      <w:pPr>
        <w:ind w:left="760" w:right="3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700" w:hanging="513"/>
        <w:spacing w:after="0" w:line="284" w:lineRule="auto"/>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right="20" w:hanging="512"/>
        <w:spacing w:after="0" w:line="254" w:lineRule="auto"/>
        <w:tabs>
          <w:tab w:leader="none" w:pos="5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130175</wp:posOffset>
            </wp:positionV>
            <wp:extent cx="4320540" cy="254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20540"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4"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4" w:name="page75"/>
    <w:bookmarkEnd w:id="74"/>
    <w:p>
      <w:pPr>
        <w:ind w:left="1020"/>
        <w:spacing w:after="0" w:line="282" w:lineRule="auto"/>
        <w:rPr>
          <w:sz w:val="20"/>
          <w:szCs w:val="20"/>
          <w:color w:val="auto"/>
        </w:rPr>
      </w:pPr>
      <w:r>
        <w:rPr>
          <w:rFonts w:ascii="Times New Roman" w:cs="Times New Roman" w:eastAsia="Times New Roman" w:hAnsi="Times New Roman"/>
          <w:sz w:val="18"/>
          <w:szCs w:val="18"/>
          <w:color w:val="auto"/>
        </w:rPr>
        <w:t>compliance available. We use firewalls, denial of service mitigation appliances, advanced encryption, intrusion detection systems, two-factor authentication and other technology to keep our merchants’ data secure.</w:t>
      </w:r>
    </w:p>
    <w:p>
      <w:pPr>
        <w:spacing w:after="0" w:line="52" w:lineRule="exact"/>
        <w:rPr>
          <w:sz w:val="20"/>
          <w:szCs w:val="20"/>
          <w:color w:val="auto"/>
        </w:rPr>
      </w:pPr>
    </w:p>
    <w:p>
      <w:pPr>
        <w:ind w:left="1020" w:right="1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1020" w:right="26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5" w:name="page76"/>
    <w:bookmarkEnd w:id="75"/>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ind w:right="600"/>
        <w:spacing w:after="0" w:line="282" w:lineRule="auto"/>
        <w:rPr>
          <w:sz w:val="20"/>
          <w:szCs w:val="20"/>
          <w:color w:val="auto"/>
        </w:rPr>
      </w:pPr>
      <w:r>
        <w:rPr>
          <w:rFonts w:ascii="Times New Roman" w:cs="Times New Roman" w:eastAsia="Times New Roman" w:hAnsi="Times New Roman"/>
          <w:sz w:val="18"/>
          <w:szCs w:val="18"/>
          <w:color w:val="auto"/>
        </w:rPr>
        <w:t>access instruments, electronic funds transfers, foreign exchange, anti-money laundering, counter-terrorist financing, banking and import and export restrictions. Depending on how our merchant solutions evolve, we may be subject to additional laws.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77" w:name="page78"/>
    <w:bookmarkEnd w:id="77"/>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9" w:name="page80"/>
    <w:bookmarkEnd w:id="7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1" w:name="page82"/>
    <w:bookmarkEnd w:id="81"/>
    <w:p>
      <w:pPr>
        <w:ind w:right="60"/>
        <w:spacing w:after="0" w:line="282" w:lineRule="auto"/>
        <w:rPr>
          <w:sz w:val="20"/>
          <w:szCs w:val="20"/>
          <w:color w:val="auto"/>
        </w:rPr>
      </w:pPr>
      <w:r>
        <w:rPr>
          <w:rFonts w:ascii="Times New Roman" w:cs="Times New Roman" w:eastAsia="Times New Roman" w:hAnsi="Times New Roman"/>
          <w:sz w:val="18"/>
          <w:szCs w:val="18"/>
          <w:color w:val="auto"/>
        </w:rPr>
        <w:t>the 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2" w:name="page83"/>
    <w:bookmarkEnd w:id="82"/>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3" w:name="page84"/>
    <w:bookmarkEnd w:id="83"/>
    <w:p>
      <w:pPr>
        <w:jc w:val="both"/>
        <w:spacing w:after="0" w:line="255" w:lineRule="auto"/>
        <w:rPr>
          <w:sz w:val="20"/>
          <w:szCs w:val="20"/>
          <w:color w:val="auto"/>
        </w:rPr>
      </w:pPr>
      <w:r>
        <w:rPr>
          <w:rFonts w:ascii="Times New Roman" w:cs="Times New Roman" w:eastAsia="Times New Roman" w:hAnsi="Times New Roman"/>
          <w:sz w:val="18"/>
          <w:szCs w:val="18"/>
          <w:color w:val="auto"/>
        </w:rPr>
        <w:t>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5" w:name="page86"/>
    <w:bookmarkEnd w:id="85"/>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pursuant to which the Company agreed to purchase, and DBLP agreed to sell, the entire issued and to be issued share capital of Bluedot.</w:t>
      </w:r>
    </w:p>
    <w:p>
      <w:pPr>
        <w:spacing w:after="0" w:line="162" w:lineRule="exact"/>
        <w:rPr>
          <w:sz w:val="20"/>
          <w:szCs w:val="20"/>
          <w:color w:val="auto"/>
        </w:rPr>
      </w:pPr>
    </w:p>
    <w:p>
      <w:pPr>
        <w:ind w:right="2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First Bluedot Acquisition. As consideration for the First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DBLP Settlement 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7, 2025, the Company entered into the DBLP Settlement Agreement, pursuant to which the Company agreed to issue DBLP 800,000 Ordinary Shares in exchange for the full and final settlement of all amounts owed to DBLP in the amount of $5,958,593.22.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7" w:name="page88"/>
    <w:bookmarkEnd w:id="87"/>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16, 2025 by:</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199,971</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2"/>
                <w:szCs w:val="22"/>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80"/>
        </w:trPr>
        <w:tc>
          <w:tcPr>
            <w:tcW w:w="660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8" w:name="page89"/>
    <w:bookmarkEnd w:id="88"/>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89" w:name="page90"/>
    <w:bookmarkEnd w:id="89"/>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20,249,283 Ordinary Shares, consisting of (i) up to 2,760,848 Ordinary Shares issued in connection with the Bluedot Acquisition; (ii) up to 3,999,145 Ordinary Shares issued in connection with the GroupBy Acquisition (iii) up to 12,300,000 Ordinary Shares issuable to WAB in connection with the WAB Subscription Letter; (iv) up to 89,290 Ordinary Shares issuable to Roth 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issued to DBLP in connection with the DBLP Settlement Agreement.</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4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May 16,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4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tbl>
      <w:tblPr>
        <w:tblLayout w:type="fixed"/>
        <w:tblInd w:w="10" w:type="dxa"/>
        <w:tblCellMar>
          <w:top w:w="0" w:type="dxa"/>
          <w:left w:w="0" w:type="dxa"/>
          <w:bottom w:w="0" w:type="dxa"/>
          <w:right w:w="0" w:type="dxa"/>
        </w:tblCellMar>
      </w:tblPr>
      <w:tr>
        <w:trPr>
          <w:trHeight w:val="255"/>
        </w:trPr>
        <w:tc>
          <w:tcPr>
            <w:tcW w:w="1980" w:type="dxa"/>
            <w:vAlign w:val="bottom"/>
            <w:tcBorders>
              <w:top w:val="single" w:sz="8" w:color="auto"/>
              <w:left w:val="single" w:sz="8" w:color="auto"/>
              <w:right w:val="single" w:sz="8" w:color="auto"/>
            </w:tcBorders>
          </w:tcPr>
          <w:p>
            <w:pPr>
              <w:spacing w:after="0"/>
              <w:rPr>
                <w:sz w:val="22"/>
                <w:szCs w:val="22"/>
                <w:color w:val="auto"/>
              </w:rPr>
            </w:pPr>
          </w:p>
        </w:tc>
        <w:tc>
          <w:tcPr>
            <w:tcW w:w="210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3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240" w:type="dxa"/>
            <w:vAlign w:val="bottom"/>
            <w:tcBorders>
              <w:top w:val="single" w:sz="8" w:color="auto"/>
              <w:right w:val="single" w:sz="8" w:color="auto"/>
            </w:tcBorders>
          </w:tcPr>
          <w:p>
            <w:pPr>
              <w:spacing w:after="0"/>
              <w:rPr>
                <w:sz w:val="22"/>
                <w:szCs w:val="22"/>
                <w:color w:val="auto"/>
              </w:rPr>
            </w:pPr>
          </w:p>
        </w:tc>
      </w:tr>
      <w:tr>
        <w:trPr>
          <w:trHeight w:val="217"/>
        </w:trPr>
        <w:tc>
          <w:tcPr>
            <w:tcW w:w="1980" w:type="dxa"/>
            <w:vAlign w:val="bottom"/>
            <w:tcBorders>
              <w:left w:val="single" w:sz="8" w:color="auto"/>
              <w:bottom w:val="single" w:sz="8" w:color="auto"/>
              <w:right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150"/>
        </w:trPr>
        <w:tc>
          <w:tcPr>
            <w:tcW w:w="1980" w:type="dxa"/>
            <w:vAlign w:val="bottom"/>
            <w:tcBorders>
              <w:left w:val="single" w:sz="8" w:color="auto"/>
              <w:right w:val="single" w:sz="8" w:color="auto"/>
            </w:tcBorders>
          </w:tcPr>
          <w:p>
            <w:pPr>
              <w:ind w:left="1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00" w:type="dxa"/>
            <w:vAlign w:val="bottom"/>
            <w:tcBorders>
              <w:right w:val="single" w:sz="8" w:color="auto"/>
            </w:tcBorders>
          </w:tcPr>
          <w:p>
            <w:pPr>
              <w:ind w:left="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w:t>
            </w:r>
          </w:p>
        </w:tc>
        <w:tc>
          <w:tcPr>
            <w:tcW w:w="1720" w:type="dxa"/>
            <w:vAlign w:val="bottom"/>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400" w:type="dxa"/>
            <w:vAlign w:val="bottom"/>
            <w:tcBorders>
              <w:right w:val="single" w:sz="8" w:color="auto"/>
            </w:tcBorders>
          </w:tcPr>
          <w:p>
            <w:pPr>
              <w:spacing w:after="0"/>
              <w:rPr>
                <w:sz w:val="13"/>
                <w:szCs w:val="13"/>
                <w:color w:val="auto"/>
              </w:rPr>
            </w:pPr>
          </w:p>
        </w:tc>
        <w:tc>
          <w:tcPr>
            <w:tcW w:w="280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 After</w:t>
            </w:r>
          </w:p>
        </w:tc>
        <w:tc>
          <w:tcPr>
            <w:tcW w:w="2240" w:type="dxa"/>
            <w:vAlign w:val="bottom"/>
            <w:tcBorders>
              <w:right w:val="single" w:sz="8" w:color="auto"/>
            </w:tcBorders>
          </w:tcPr>
          <w:p>
            <w:pPr>
              <w:ind w:left="10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 the</w:t>
            </w:r>
          </w:p>
        </w:tc>
      </w:tr>
      <w:tr>
        <w:trPr>
          <w:trHeight w:val="216"/>
        </w:trPr>
        <w:tc>
          <w:tcPr>
            <w:tcW w:w="198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 Offering</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4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 Sold</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 Sold</w:t>
            </w:r>
          </w:p>
        </w:tc>
      </w:tr>
      <w:tr>
        <w:trPr>
          <w:trHeight w:val="238"/>
        </w:trPr>
        <w:tc>
          <w:tcPr>
            <w:tcW w:w="1980" w:type="dxa"/>
            <w:vAlign w:val="bottom"/>
            <w:tcBorders>
              <w:left w:val="single" w:sz="8" w:color="auto"/>
              <w:right w:val="single" w:sz="8" w:color="auto"/>
            </w:tcBorders>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03"/>
        </w:trPr>
        <w:tc>
          <w:tcPr>
            <w:tcW w:w="198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spacing w:after="0"/>
              <w:rPr>
                <w:sz w:val="17"/>
                <w:szCs w:val="17"/>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DBLP Sea Cow Ltd.</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48,731,428</w:t>
            </w:r>
            <w:r>
              <w:rPr>
                <w:rFonts w:ascii="Times New Roman" w:cs="Times New Roman" w:eastAsia="Times New Roman" w:hAnsi="Times New Roman"/>
                <w:sz w:val="24"/>
                <w:szCs w:val="24"/>
                <w:color w:val="auto"/>
                <w:vertAlign w:val="superscript"/>
              </w:rPr>
              <w:t>(2)</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1,619,737</w:t>
            </w:r>
            <w:r>
              <w:rPr>
                <w:rFonts w:ascii="Times New Roman" w:cs="Times New Roman" w:eastAsia="Times New Roman" w:hAnsi="Times New Roman"/>
                <w:sz w:val="24"/>
                <w:szCs w:val="24"/>
                <w:color w:val="auto"/>
                <w:vertAlign w:val="superscript"/>
              </w:rPr>
              <w:t>(3)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47,111,691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19.33</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Radio Group Holding</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120,000</w:t>
            </w:r>
            <w:r>
              <w:rPr>
                <w:rFonts w:ascii="Times New Roman" w:cs="Times New Roman" w:eastAsia="Times New Roman" w:hAnsi="Times New Roman"/>
                <w:sz w:val="24"/>
                <w:szCs w:val="24"/>
                <w:color w:val="auto"/>
                <w:vertAlign w:val="superscript"/>
              </w:rPr>
              <w:t>(4)</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GmbH</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Roth Capital Partners,</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4"/>
                <w:szCs w:val="24"/>
                <w:color w:val="auto"/>
                <w:vertAlign w:val="superscript"/>
              </w:rPr>
              <w:t>(5)</w:t>
            </w:r>
          </w:p>
        </w:tc>
        <w:tc>
          <w:tcPr>
            <w:tcW w:w="1720" w:type="dxa"/>
            <w:vAlign w:val="bottom"/>
          </w:tcPr>
          <w:p>
            <w:pPr>
              <w:ind w:left="100"/>
              <w:spacing w:after="0" w:line="232" w:lineRule="exact"/>
              <w:rPr>
                <w:sz w:val="20"/>
                <w:szCs w:val="20"/>
                <w:color w:val="auto"/>
              </w:rPr>
            </w:pPr>
            <w:r>
              <w:rPr>
                <w:rFonts w:ascii="Times New Roman" w:cs="Times New Roman" w:eastAsia="Times New Roman" w:hAnsi="Times New Roman"/>
                <w:sz w:val="18"/>
                <w:szCs w:val="18"/>
                <w:color w:val="auto"/>
              </w:rPr>
              <w:t>89,290</w:t>
            </w:r>
            <w:r>
              <w:rPr>
                <w:rFonts w:ascii="Times New Roman" w:cs="Times New Roman" w:eastAsia="Times New Roman" w:hAnsi="Times New Roman"/>
                <w:sz w:val="24"/>
                <w:szCs w:val="24"/>
                <w:color w:val="auto"/>
                <w:vertAlign w:val="superscript"/>
              </w:rPr>
              <w:t>(6)</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LLC</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Stephan Schwenk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180,000</w:t>
            </w:r>
            <w:r>
              <w:rPr>
                <w:rFonts w:ascii="Times New Roman" w:cs="Times New Roman" w:eastAsia="Times New Roman" w:hAnsi="Times New Roman"/>
                <w:sz w:val="24"/>
                <w:szCs w:val="24"/>
                <w:color w:val="auto"/>
                <w:vertAlign w:val="superscript"/>
              </w:rPr>
              <w:t>(7)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Tanist Group Limited</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2,731,566</w:t>
            </w:r>
            <w:r>
              <w:rPr>
                <w:rFonts w:ascii="Times New Roman" w:cs="Times New Roman" w:eastAsia="Times New Roman" w:hAnsi="Times New Roman"/>
                <w:sz w:val="24"/>
                <w:szCs w:val="24"/>
                <w:color w:val="auto"/>
                <w:vertAlign w:val="superscript"/>
              </w:rPr>
              <w:t>(8)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1,941,111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790,455</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Western Alliance Bank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12,300,000</w:t>
            </w:r>
            <w:r>
              <w:rPr>
                <w:rFonts w:ascii="Times New Roman" w:cs="Times New Roman" w:eastAsia="Times New Roman" w:hAnsi="Times New Roman"/>
                <w:sz w:val="24"/>
                <w:szCs w:val="24"/>
                <w:color w:val="auto"/>
                <w:vertAlign w:val="superscript"/>
              </w:rPr>
              <w:t>(9)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 Warren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52,838 </w:t>
            </w:r>
            <w:r>
              <w:rPr>
                <w:rFonts w:ascii="Times New Roman" w:cs="Times New Roman" w:eastAsia="Times New Roman" w:hAnsi="Times New Roman"/>
                <w:sz w:val="24"/>
                <w:szCs w:val="24"/>
                <w:color w:val="auto"/>
                <w:vertAlign w:val="superscript"/>
              </w:rPr>
              <w:t>(10)</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52,838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Jerome Cheung-Bret</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44,031 </w:t>
            </w:r>
            <w:r>
              <w:rPr>
                <w:rFonts w:ascii="Times New Roman" w:cs="Times New Roman" w:eastAsia="Times New Roman" w:hAnsi="Times New Roman"/>
                <w:sz w:val="24"/>
                <w:szCs w:val="24"/>
                <w:color w:val="auto"/>
                <w:vertAlign w:val="superscript"/>
              </w:rPr>
              <w:t>(11)</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44,031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Laura Gossage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168,587 </w:t>
            </w:r>
            <w:r>
              <w:rPr>
                <w:rFonts w:ascii="Times New Roman" w:cs="Times New Roman" w:eastAsia="Times New Roman" w:hAnsi="Times New Roman"/>
                <w:sz w:val="24"/>
                <w:szCs w:val="24"/>
                <w:color w:val="auto"/>
                <w:vertAlign w:val="superscript"/>
              </w:rPr>
              <w:t>(12)</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168,587</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Roland Gossage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203,020 </w:t>
            </w:r>
            <w:r>
              <w:rPr>
                <w:rFonts w:ascii="Times New Roman" w:cs="Times New Roman" w:eastAsia="Times New Roman" w:hAnsi="Times New Roman"/>
                <w:sz w:val="24"/>
                <w:szCs w:val="24"/>
                <w:color w:val="auto"/>
                <w:vertAlign w:val="superscript"/>
              </w:rPr>
              <w:t>(13)</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203,020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Susanne Bundy</w:t>
            </w:r>
          </w:p>
        </w:tc>
        <w:tc>
          <w:tcPr>
            <w:tcW w:w="2100" w:type="dxa"/>
            <w:vAlign w:val="bottom"/>
            <w:tcBorders>
              <w:bottom w:val="single" w:sz="8" w:color="auto"/>
              <w:right w:val="single" w:sz="8" w:color="auto"/>
            </w:tcBorders>
          </w:tcPr>
          <w:p>
            <w:pPr>
              <w:ind w:left="80"/>
              <w:spacing w:after="0" w:line="276" w:lineRule="exact"/>
              <w:rPr>
                <w:sz w:val="20"/>
                <w:szCs w:val="20"/>
                <w:color w:val="auto"/>
              </w:rPr>
            </w:pPr>
            <w:r>
              <w:rPr>
                <w:rFonts w:ascii="Times New Roman" w:cs="Times New Roman" w:eastAsia="Times New Roman" w:hAnsi="Times New Roman"/>
                <w:sz w:val="32"/>
                <w:szCs w:val="32"/>
                <w:color w:val="auto"/>
                <w:vertAlign w:val="subscript"/>
              </w:rPr>
              <w:t>708</w:t>
            </w:r>
            <w:r>
              <w:rPr>
                <w:rFonts w:ascii="Times New Roman" w:cs="Times New Roman" w:eastAsia="Times New Roman" w:hAnsi="Times New Roman"/>
                <w:sz w:val="12"/>
                <w:szCs w:val="12"/>
                <w:color w:val="auto"/>
              </w:rPr>
              <w:t xml:space="preserve"> (14)</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Amanda Young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14,506 </w:t>
            </w:r>
            <w:r>
              <w:rPr>
                <w:rFonts w:ascii="Times New Roman" w:cs="Times New Roman" w:eastAsia="Times New Roman" w:hAnsi="Times New Roman"/>
                <w:sz w:val="24"/>
                <w:szCs w:val="24"/>
                <w:color w:val="auto"/>
                <w:vertAlign w:val="superscript"/>
              </w:rPr>
              <w:t>(15)</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14,506</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Grange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14,319 </w:t>
            </w:r>
            <w:r>
              <w:rPr>
                <w:rFonts w:ascii="Times New Roman" w:cs="Times New Roman" w:eastAsia="Times New Roman" w:hAnsi="Times New Roman"/>
                <w:sz w:val="24"/>
                <w:szCs w:val="24"/>
                <w:color w:val="auto"/>
                <w:vertAlign w:val="superscript"/>
              </w:rPr>
              <w:t>(16)</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14,319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Kenneth A. Devlin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6,173 </w:t>
            </w:r>
            <w:r>
              <w:rPr>
                <w:rFonts w:ascii="Times New Roman" w:cs="Times New Roman" w:eastAsia="Times New Roman" w:hAnsi="Times New Roman"/>
                <w:sz w:val="24"/>
                <w:szCs w:val="24"/>
                <w:color w:val="auto"/>
                <w:vertAlign w:val="superscript"/>
              </w:rPr>
              <w:t>(17)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Long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6,173 </w:t>
            </w:r>
            <w:r>
              <w:rPr>
                <w:rFonts w:ascii="Times New Roman" w:cs="Times New Roman" w:eastAsia="Times New Roman" w:hAnsi="Times New Roman"/>
                <w:sz w:val="24"/>
                <w:szCs w:val="24"/>
                <w:color w:val="auto"/>
                <w:vertAlign w:val="superscript"/>
              </w:rPr>
              <w:t>(18)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6,173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Ehgoetz</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12,346 </w:t>
            </w:r>
            <w:r>
              <w:rPr>
                <w:rFonts w:ascii="Times New Roman" w:cs="Times New Roman" w:eastAsia="Times New Roman" w:hAnsi="Times New Roman"/>
                <w:sz w:val="24"/>
                <w:szCs w:val="24"/>
                <w:color w:val="auto"/>
                <w:vertAlign w:val="superscript"/>
              </w:rPr>
              <w:t>(19)</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Estate of Gerd</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12,346 </w:t>
            </w:r>
            <w:r>
              <w:rPr>
                <w:rFonts w:ascii="Times New Roman" w:cs="Times New Roman" w:eastAsia="Times New Roman" w:hAnsi="Times New Roman"/>
                <w:sz w:val="24"/>
                <w:szCs w:val="24"/>
                <w:color w:val="auto"/>
                <w:vertAlign w:val="superscript"/>
              </w:rPr>
              <w:t>(20)</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12,346</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Opderbeck</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 Belcourt Consulting</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18,519 </w:t>
            </w:r>
            <w:r>
              <w:rPr>
                <w:rFonts w:ascii="Times New Roman" w:cs="Times New Roman" w:eastAsia="Times New Roman" w:hAnsi="Times New Roman"/>
                <w:sz w:val="24"/>
                <w:szCs w:val="24"/>
                <w:color w:val="auto"/>
                <w:vertAlign w:val="superscript"/>
              </w:rPr>
              <w:t>(21)</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18,519</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Group Inc.</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ITF KKLM</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8,025 </w:t>
            </w:r>
            <w:r>
              <w:rPr>
                <w:rFonts w:ascii="Times New Roman" w:cs="Times New Roman" w:eastAsia="Times New Roman" w:hAnsi="Times New Roman"/>
                <w:sz w:val="24"/>
                <w:szCs w:val="24"/>
                <w:color w:val="auto"/>
                <w:vertAlign w:val="superscript"/>
              </w:rPr>
              <w:t>(22)</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8,025</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Investments CO. Ltd.</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2432332 Ontario Inc.</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53,024 </w:t>
            </w:r>
            <w:r>
              <w:rPr>
                <w:rFonts w:ascii="Times New Roman" w:cs="Times New Roman" w:eastAsia="Times New Roman" w:hAnsi="Times New Roman"/>
                <w:sz w:val="24"/>
                <w:szCs w:val="24"/>
                <w:color w:val="auto"/>
                <w:vertAlign w:val="superscript"/>
              </w:rPr>
              <w:t>(23)</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53,024</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Holger Opderbeck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24,691 </w:t>
            </w:r>
            <w:r>
              <w:rPr>
                <w:rFonts w:ascii="Times New Roman" w:cs="Times New Roman" w:eastAsia="Times New Roman" w:hAnsi="Times New Roman"/>
                <w:sz w:val="24"/>
                <w:szCs w:val="24"/>
                <w:color w:val="auto"/>
                <w:vertAlign w:val="superscript"/>
              </w:rPr>
              <w:t>(24)</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24,691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Austin Ventures X,</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9,114 </w:t>
            </w:r>
            <w:r>
              <w:rPr>
                <w:rFonts w:ascii="Times New Roman" w:cs="Times New Roman" w:eastAsia="Times New Roman" w:hAnsi="Times New Roman"/>
                <w:sz w:val="24"/>
                <w:szCs w:val="24"/>
                <w:color w:val="auto"/>
                <w:vertAlign w:val="superscript"/>
              </w:rPr>
              <w:t>(25)</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9,114</w:t>
            </w: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2100" w:type="dxa"/>
            <w:vAlign w:val="bottom"/>
            <w:tcBorders>
              <w:right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Dejan Mircevski</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10,058 </w:t>
            </w:r>
            <w:r>
              <w:rPr>
                <w:rFonts w:ascii="Times New Roman" w:cs="Times New Roman" w:eastAsia="Times New Roman" w:hAnsi="Times New Roman"/>
                <w:sz w:val="24"/>
                <w:szCs w:val="24"/>
                <w:color w:val="auto"/>
                <w:vertAlign w:val="superscript"/>
              </w:rPr>
              <w:t>(26)</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10,058</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John Dunlap</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79,093 </w:t>
            </w:r>
            <w:r>
              <w:rPr>
                <w:rFonts w:ascii="Times New Roman" w:cs="Times New Roman" w:eastAsia="Times New Roman" w:hAnsi="Times New Roman"/>
                <w:sz w:val="24"/>
                <w:szCs w:val="24"/>
                <w:color w:val="auto"/>
                <w:vertAlign w:val="superscript"/>
              </w:rPr>
              <w:t>(27)</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79,093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Leonard Meloff</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59,451 </w:t>
            </w:r>
            <w:r>
              <w:rPr>
                <w:rFonts w:ascii="Times New Roman" w:cs="Times New Roman" w:eastAsia="Times New Roman" w:hAnsi="Times New Roman"/>
                <w:sz w:val="24"/>
                <w:szCs w:val="24"/>
                <w:color w:val="auto"/>
                <w:vertAlign w:val="superscript"/>
              </w:rPr>
              <w:t>(28)</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59,451</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Stibbe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205,803 </w:t>
            </w:r>
            <w:r>
              <w:rPr>
                <w:rFonts w:ascii="Times New Roman" w:cs="Times New Roman" w:eastAsia="Times New Roman" w:hAnsi="Times New Roman"/>
                <w:sz w:val="24"/>
                <w:szCs w:val="24"/>
                <w:color w:val="auto"/>
                <w:vertAlign w:val="superscript"/>
              </w:rPr>
              <w:t>(29)</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205,803</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Srikant Nayak</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21,610 </w:t>
            </w:r>
            <w:r>
              <w:rPr>
                <w:rFonts w:ascii="Times New Roman" w:cs="Times New Roman" w:eastAsia="Times New Roman" w:hAnsi="Times New Roman"/>
                <w:sz w:val="24"/>
                <w:szCs w:val="24"/>
                <w:color w:val="auto"/>
                <w:vertAlign w:val="superscript"/>
              </w:rPr>
              <w:t>(30)</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21,610</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Alder</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2,379 </w:t>
            </w:r>
            <w:r>
              <w:rPr>
                <w:rFonts w:ascii="Times New Roman" w:cs="Times New Roman" w:eastAsia="Times New Roman" w:hAnsi="Times New Roman"/>
                <w:sz w:val="24"/>
                <w:szCs w:val="24"/>
                <w:color w:val="auto"/>
                <w:vertAlign w:val="superscript"/>
              </w:rPr>
              <w:t>(31)</w:t>
            </w:r>
          </w:p>
        </w:tc>
        <w:tc>
          <w:tcPr>
            <w:tcW w:w="1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2,379</w:t>
            </w:r>
          </w:p>
        </w:tc>
        <w:tc>
          <w:tcPr>
            <w:tcW w:w="400" w:type="dxa"/>
            <w:vAlign w:val="bottom"/>
            <w:tcBorders>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1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83</w:t>
            </w: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1" w:name="page92"/>
    <w:bookmarkEnd w:id="91"/>
    <w:tbl>
      <w:tblPr>
        <w:tblLayout w:type="fixed"/>
        <w:tblInd w:w="10" w:type="dxa"/>
        <w:tblCellMar>
          <w:top w:w="0" w:type="dxa"/>
          <w:left w:w="0" w:type="dxa"/>
          <w:bottom w:w="0" w:type="dxa"/>
          <w:right w:w="0" w:type="dxa"/>
        </w:tblCellMar>
      </w:tblPr>
      <w:tr>
        <w:trPr>
          <w:trHeight w:val="255"/>
        </w:trPr>
        <w:tc>
          <w:tcPr>
            <w:tcW w:w="19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Gorstidge Consulting</w:t>
            </w:r>
          </w:p>
        </w:tc>
        <w:tc>
          <w:tcPr>
            <w:tcW w:w="2100" w:type="dxa"/>
            <w:vAlign w:val="bottom"/>
            <w:tcBorders>
              <w:top w:val="single" w:sz="8" w:color="auto"/>
              <w:right w:val="single" w:sz="8" w:color="auto"/>
            </w:tcBorders>
          </w:tcPr>
          <w:p>
            <w:pPr>
              <w:ind w:left="80"/>
              <w:spacing w:after="0" w:line="255" w:lineRule="exact"/>
              <w:rPr>
                <w:sz w:val="20"/>
                <w:szCs w:val="20"/>
                <w:color w:val="auto"/>
              </w:rPr>
            </w:pPr>
            <w:r>
              <w:rPr>
                <w:rFonts w:ascii="Times New Roman" w:cs="Times New Roman" w:eastAsia="Times New Roman" w:hAnsi="Times New Roman"/>
                <w:sz w:val="18"/>
                <w:szCs w:val="18"/>
                <w:color w:val="auto"/>
              </w:rPr>
              <w:t xml:space="preserve">36,278 </w:t>
            </w:r>
            <w:r>
              <w:rPr>
                <w:rFonts w:ascii="Times New Roman" w:cs="Times New Roman" w:eastAsia="Times New Roman" w:hAnsi="Times New Roman"/>
                <w:sz w:val="24"/>
                <w:szCs w:val="24"/>
                <w:color w:val="auto"/>
                <w:vertAlign w:val="superscript"/>
              </w:rPr>
              <w:t>(32)</w:t>
            </w:r>
          </w:p>
        </w:tc>
        <w:tc>
          <w:tcPr>
            <w:tcW w:w="21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36,278</w:t>
            </w:r>
          </w:p>
        </w:tc>
        <w:tc>
          <w:tcPr>
            <w:tcW w:w="2800" w:type="dxa"/>
            <w:vAlign w:val="bottom"/>
            <w:tcBorders>
              <w:top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64"/>
        </w:trPr>
        <w:tc>
          <w:tcPr>
            <w:tcW w:w="1980" w:type="dxa"/>
            <w:vAlign w:val="bottom"/>
            <w:tcBorders>
              <w:left w:val="single" w:sz="8" w:color="auto"/>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r>
      <w:tr>
        <w:trPr>
          <w:trHeight w:val="240"/>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Shashikant Nayak</w:t>
            </w:r>
          </w:p>
        </w:tc>
        <w:tc>
          <w:tcPr>
            <w:tcW w:w="2100" w:type="dxa"/>
            <w:vAlign w:val="bottom"/>
            <w:tcBorders>
              <w:bottom w:val="single" w:sz="8" w:color="auto"/>
              <w:right w:val="single" w:sz="8" w:color="auto"/>
            </w:tcBorders>
          </w:tcPr>
          <w:p>
            <w:pPr>
              <w:ind w:left="80"/>
              <w:spacing w:after="0" w:line="240" w:lineRule="exact"/>
              <w:rPr>
                <w:sz w:val="20"/>
                <w:szCs w:val="20"/>
                <w:color w:val="auto"/>
              </w:rPr>
            </w:pPr>
            <w:r>
              <w:rPr>
                <w:rFonts w:ascii="Times New Roman" w:cs="Times New Roman" w:eastAsia="Times New Roman" w:hAnsi="Times New Roman"/>
                <w:sz w:val="18"/>
                <w:szCs w:val="18"/>
                <w:color w:val="auto"/>
              </w:rPr>
              <w:t xml:space="preserve">10,824 </w:t>
            </w:r>
            <w:r>
              <w:rPr>
                <w:rFonts w:ascii="Times New Roman" w:cs="Times New Roman" w:eastAsia="Times New Roman" w:hAnsi="Times New Roman"/>
                <w:sz w:val="24"/>
                <w:szCs w:val="24"/>
                <w:color w:val="auto"/>
                <w:vertAlign w:val="superscript"/>
              </w:rPr>
              <w:t>(33)</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10,824</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Deepa Shashikant</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4,937 </w:t>
            </w:r>
            <w:r>
              <w:rPr>
                <w:rFonts w:ascii="Times New Roman" w:cs="Times New Roman" w:eastAsia="Times New Roman" w:hAnsi="Times New Roman"/>
                <w:sz w:val="24"/>
                <w:szCs w:val="24"/>
                <w:color w:val="auto"/>
                <w:vertAlign w:val="superscript"/>
              </w:rPr>
              <w:t>(34)</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4,937</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Jacquie Estey</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44,733 </w:t>
            </w:r>
            <w:r>
              <w:rPr>
                <w:rFonts w:ascii="Times New Roman" w:cs="Times New Roman" w:eastAsia="Times New Roman" w:hAnsi="Times New Roman"/>
                <w:sz w:val="24"/>
                <w:szCs w:val="24"/>
                <w:color w:val="auto"/>
                <w:vertAlign w:val="superscript"/>
              </w:rPr>
              <w:t>(35)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44,733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43,404 </w:t>
            </w:r>
            <w:r>
              <w:rPr>
                <w:rFonts w:ascii="Times New Roman" w:cs="Times New Roman" w:eastAsia="Times New Roman" w:hAnsi="Times New Roman"/>
                <w:sz w:val="24"/>
                <w:szCs w:val="24"/>
                <w:color w:val="auto"/>
                <w:vertAlign w:val="superscript"/>
              </w:rPr>
              <w:t>(36)</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43,404</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Kevin D’Souza</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21,601 </w:t>
            </w:r>
            <w:r>
              <w:rPr>
                <w:rFonts w:ascii="Times New Roman" w:cs="Times New Roman" w:eastAsia="Times New Roman" w:hAnsi="Times New Roman"/>
                <w:sz w:val="24"/>
                <w:szCs w:val="24"/>
                <w:color w:val="auto"/>
                <w:vertAlign w:val="superscript"/>
              </w:rPr>
              <w:t>(37)</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Michael Cole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16,468 </w:t>
            </w:r>
            <w:r>
              <w:rPr>
                <w:rFonts w:ascii="Times New Roman" w:cs="Times New Roman" w:eastAsia="Times New Roman" w:hAnsi="Times New Roman"/>
                <w:sz w:val="24"/>
                <w:szCs w:val="24"/>
                <w:color w:val="auto"/>
                <w:vertAlign w:val="superscript"/>
              </w:rPr>
              <w:t>(38)</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16,468</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2,071,560 </w:t>
            </w:r>
            <w:r>
              <w:rPr>
                <w:rFonts w:ascii="Times New Roman" w:cs="Times New Roman" w:eastAsia="Times New Roman" w:hAnsi="Times New Roman"/>
                <w:sz w:val="24"/>
                <w:szCs w:val="24"/>
                <w:color w:val="auto"/>
                <w:vertAlign w:val="superscript"/>
              </w:rPr>
              <w:t>(39)</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2,071,560</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Growth Partners I, 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PeakSpan Capital</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14,253 </w:t>
            </w:r>
            <w:r>
              <w:rPr>
                <w:rFonts w:ascii="Times New Roman" w:cs="Times New Roman" w:eastAsia="Times New Roman" w:hAnsi="Times New Roman"/>
                <w:sz w:val="24"/>
                <w:szCs w:val="24"/>
                <w:color w:val="auto"/>
                <w:vertAlign w:val="superscript"/>
              </w:rPr>
              <w:t>(40)</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14,253</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Growth Partners l-A,</w:t>
            </w:r>
          </w:p>
        </w:tc>
        <w:tc>
          <w:tcPr>
            <w:tcW w:w="210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Ramona D’Souza</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21,601 </w:t>
            </w:r>
            <w:r>
              <w:rPr>
                <w:rFonts w:ascii="Times New Roman" w:cs="Times New Roman" w:eastAsia="Times New Roman" w:hAnsi="Times New Roman"/>
                <w:sz w:val="24"/>
                <w:szCs w:val="24"/>
                <w:color w:val="auto"/>
                <w:vertAlign w:val="superscript"/>
              </w:rPr>
              <w:t>(41)</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21,601</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Randy Cornelisse</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11,203 </w:t>
            </w:r>
            <w:r>
              <w:rPr>
                <w:rFonts w:ascii="Times New Roman" w:cs="Times New Roman" w:eastAsia="Times New Roman" w:hAnsi="Times New Roman"/>
                <w:sz w:val="24"/>
                <w:szCs w:val="24"/>
                <w:color w:val="auto"/>
                <w:vertAlign w:val="superscript"/>
              </w:rPr>
              <w:t>(42)</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11,203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Ravish Diwakar</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15,788 </w:t>
            </w:r>
            <w:r>
              <w:rPr>
                <w:rFonts w:ascii="Times New Roman" w:cs="Times New Roman" w:eastAsia="Times New Roman" w:hAnsi="Times New Roman"/>
                <w:sz w:val="24"/>
                <w:szCs w:val="24"/>
                <w:color w:val="auto"/>
                <w:vertAlign w:val="superscript"/>
              </w:rPr>
              <w:t>(43)</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15,788</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Kamath</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Srinivasan Kesavan</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10,769 </w:t>
            </w:r>
            <w:r>
              <w:rPr>
                <w:rFonts w:ascii="Times New Roman" w:cs="Times New Roman" w:eastAsia="Times New Roman" w:hAnsi="Times New Roman"/>
                <w:sz w:val="24"/>
                <w:szCs w:val="24"/>
                <w:color w:val="auto"/>
                <w:vertAlign w:val="superscript"/>
              </w:rPr>
              <w:t>(44)</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10,769</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1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William J Halpenny</w:t>
            </w:r>
          </w:p>
        </w:tc>
        <w:tc>
          <w:tcPr>
            <w:tcW w:w="21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51,593 </w:t>
            </w:r>
            <w:r>
              <w:rPr>
                <w:rFonts w:ascii="Times New Roman" w:cs="Times New Roman" w:eastAsia="Times New Roman" w:hAnsi="Times New Roman"/>
                <w:sz w:val="24"/>
                <w:szCs w:val="24"/>
                <w:color w:val="auto"/>
                <w:vertAlign w:val="superscript"/>
              </w:rPr>
              <w:t>(45)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51,593</w:t>
            </w:r>
          </w:p>
        </w:tc>
        <w:tc>
          <w:tcPr>
            <w:tcW w:w="2800" w:type="dxa"/>
            <w:vAlign w:val="bottom"/>
            <w:tcBorders>
              <w:bottom w:val="single" w:sz="8" w:color="auto"/>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CHC Direct Investment</w:t>
            </w:r>
          </w:p>
        </w:tc>
        <w:tc>
          <w:tcPr>
            <w:tcW w:w="21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18"/>
                <w:szCs w:val="18"/>
                <w:color w:val="auto"/>
              </w:rPr>
              <w:t xml:space="preserve">597,319 </w:t>
            </w:r>
            <w:r>
              <w:rPr>
                <w:rFonts w:ascii="Times New Roman" w:cs="Times New Roman" w:eastAsia="Times New Roman" w:hAnsi="Times New Roman"/>
                <w:sz w:val="24"/>
                <w:szCs w:val="24"/>
                <w:color w:val="auto"/>
                <w:vertAlign w:val="superscript"/>
              </w:rPr>
              <w:t>(46)</w:t>
            </w:r>
          </w:p>
        </w:tc>
        <w:tc>
          <w:tcPr>
            <w:tcW w:w="21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597,319</w:t>
            </w:r>
          </w:p>
        </w:tc>
        <w:tc>
          <w:tcPr>
            <w:tcW w:w="2800" w:type="dxa"/>
            <w:vAlign w:val="bottom"/>
            <w:tcBorders>
              <w:right w:val="single" w:sz="8" w:color="auto"/>
            </w:tcBorders>
          </w:tcPr>
          <w:p>
            <w:pPr>
              <w:jc w:val="right"/>
              <w:ind w:right="24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jc w:val="right"/>
              <w:ind w:right="19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Fund I, L.P.</w:t>
            </w:r>
          </w:p>
        </w:tc>
        <w:tc>
          <w:tcPr>
            <w:tcW w:w="210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117" w:lineRule="exact"/>
        <w:rPr>
          <w:sz w:val="20"/>
          <w:szCs w:val="20"/>
          <w:color w:val="auto"/>
        </w:rPr>
      </w:pPr>
    </w:p>
    <w:p>
      <w:pPr>
        <w:ind w:left="140" w:hanging="132"/>
        <w:spacing w:after="0"/>
        <w:tabs>
          <w:tab w:leader="none" w:pos="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ind w:left="1020" w:right="260" w:hanging="503"/>
        <w:spacing w:after="0" w:line="261"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243,671,374 Ordinary Shares outstanding, which includes the issuance of all Ordinary Shares issuable upon conversion of the notes, the exercise of all currently outstanding Warrants, the sale of all securities offered hereby by that particular Selling Holder and does not assume the exercise, conversion or sale, as applicable, by any other Selling Holder.</w:t>
      </w:r>
    </w:p>
    <w:p>
      <w:pPr>
        <w:spacing w:after="0" w:line="179"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48,481,428 Ordinary Shares; and (ii) 250,000 Ordinary Shares underlying the Private Warrants held by DBLP Sea Cow Ltd (“DBLP”). DBLP is wholly legally owned by Daniel Wagner and is wholly beneficially owned by John Wagner. Messrs. Daniel and John Wagner are each directors of DBLP and may be deemed to share voting and investment power over the shares held by DBLP. Messrs. Daniel and John Wagner are each director of Rezolve.</w:t>
      </w:r>
    </w:p>
    <w:p>
      <w:pPr>
        <w:spacing w:after="0" w:line="179"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819,737 Ordinary Shares issued to DBLP as consideration for the BlueDot Acquisition; and (ii) up to 800,000 Ordinary Shares issuable to DBLP in connection pursuant to the DBLP Settlement Agreement.</w:t>
      </w:r>
    </w:p>
    <w:p>
      <w:pPr>
        <w:spacing w:after="0" w:line="161"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120,000 Ordinary Shares issued to Radio Group Holding GmbH in connection with the termination and settlement of an agreement.</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10,000 Ordinary Shares directly held by Roth Capital Partners, LLC (“Roth Capital”). The business address of Roth Capital is 888 San Clemente Drive, Suite 400, Newport Beach, CA 92660.</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89,290 Ordinary Shares issuable to Roth Capital as transaction-based compensation for the performance of advisory services rendered to the Company in connection with the Business Combination.</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180,000 Ordinary Shares issued to Stephan Schwenk in connection with the termination and settlement of an agreement.</w:t>
      </w:r>
    </w:p>
    <w:p>
      <w:pPr>
        <w:spacing w:after="0" w:line="225"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790,455 Ordinary Shares directly held and (ii) up to 1,941,111 Ordinary Shares issued to Tanist Group Limited as consideration for the BlueDot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-3871595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2" w:name="page93"/>
    <w:bookmarkEnd w:id="92"/>
    <w:p>
      <w:pPr>
        <w:ind w:left="503" w:right="60" w:hanging="503"/>
        <w:spacing w:after="0" w:line="282" w:lineRule="auto"/>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12,300,000 Ordinary Shares issuable to WAB in connection with the WAB Subscription Letter. The business address of WAB is One East Washington Street, Suite 1400, Phoenix, Arizona 85004.</w:t>
      </w:r>
    </w:p>
    <w:p>
      <w:pPr>
        <w:spacing w:after="0" w:line="16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Warren is 6545 Helgesen Road, Sooke, BC V9Z OV7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Cheung-Bret is 219 Roslin Avenue, Toronto, ON M4N 1Z5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Gossage is 59 Wanita Road, Toronto, ON M1C 1V3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Gossage is 59 Wanita Road, Toronto, ON M1C 1V3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Bundy is 1200 Barton Creek Blvd. #54, Austin TX 78735 United States.</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Young is 39 Albany Ave, Toronto, ON M5R 3C2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Grange is 14139 Creditview Road, Cheltenham, ON L7C 3G5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Devlin is 338 Kennedy Ave, Toronto, ON M6P 3C3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Long is 2912 West Broadway, Suite 146, Vancouver, BC V6K 0E9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Ehgoetz is 125 West Ridge Drive, Thornbury, ON N0H 2P0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Estate of Gerd Opderbeck is 16 Bridle Lane, Newtown Square, PA 19073 United States.</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 Belcourt Consulting Group Inc. is 087238, 7th Sideroad, Thornbury ON, Box 83 NOH 2PO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ITF KKLM Investments CO. Ltd. is 36 Forest Hill Road, Toronto, Ontario M4V 2L3.</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2432332 Ontario Inc. is 348024 15 Sideroad, Mono, Ontario L9W 6S6,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Opderbeck is 363 Good Hope Rd, Bluffton, SC 29909 United States.</w:t>
      </w:r>
    </w:p>
    <w:p>
      <w:pPr>
        <w:spacing w:after="0" w:line="23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Austin Ventures X, L.P. is 1700 West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 Austin, TX 78703.</w:t>
      </w:r>
    </w:p>
    <w:p>
      <w:pPr>
        <w:spacing w:after="0" w:line="17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Mircevski is 656 Blair Creek Drive, Kitchener, ON N2P 0E7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Dunlap is 16630 Dufferin Street, King, ON L7B1K5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Meloff is 10 Fairland Road, Toronto, ON M4G 2T8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Stibbe is 36 Redwood Avenue, Toronto, ON M4L 2S6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Srikant Nayak is 53 Schooner Drive, Brampton, ON L7A 3H6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Alder is 5708 Loyalist Street, Ottawa, ON K0A 2W0 Canada.</w:t>
      </w:r>
    </w:p>
    <w:p>
      <w:pPr>
        <w:spacing w:after="0" w:line="225"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Roland Gossage is the main owner and director of Gorstidge Consulting Inc. and is an employee of GroupBy. The business address of Gorstidge Consulting Inc. is 59 Wanita Road, Toronto, ON M1c 1V3.</w:t>
      </w:r>
    </w:p>
    <w:p>
      <w:pPr>
        <w:spacing w:after="0" w:line="16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Shashikant Nayak is 39 Fairhill Ave, Brampton, ON L7A 2E7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Shashikant is 39 Fairhill Ave, Brampton, ON L7A 2E7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Estey is 159 Rosedale Hts Dr, Toronto, ON M4T 1C7 Canada.</w:t>
      </w:r>
    </w:p>
    <w:p>
      <w:pPr>
        <w:spacing w:after="0" w:line="22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Yang is 60 Wilson Way, SPC 112, Milpitas, CA 95035 USA.</w:t>
      </w:r>
    </w:p>
    <w:p>
      <w:pPr>
        <w:spacing w:after="0" w:line="333"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837" w:top="1012" w:right="579" w:bottom="1440" w:gutter="0" w:footer="0" w:header="0"/>
        </w:sectPr>
      </w:pPr>
    </w:p>
    <w:bookmarkStart w:id="93" w:name="page94"/>
    <w:bookmarkEnd w:id="93"/>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D’Souza is 18 Dalmeny Drive, Brampton, ON L6X 0X3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Cole is 43 Norden Crescent, Toronto, ON M3B 1B7 Canada.</w:t>
      </w:r>
    </w:p>
    <w:p>
      <w:pPr>
        <w:spacing w:after="0" w:line="225" w:lineRule="exact"/>
        <w:rPr>
          <w:rFonts w:ascii="Times New Roman" w:cs="Times New Roman" w:eastAsia="Times New Roman" w:hAnsi="Times New Roman"/>
          <w:sz w:val="18"/>
          <w:szCs w:val="18"/>
          <w:color w:val="auto"/>
        </w:rPr>
      </w:pPr>
    </w:p>
    <w:p>
      <w:pPr>
        <w:ind w:left="1020" w:right="100" w:hanging="503"/>
        <w:spacing w:after="0" w:line="24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I, L.P., and Mr. Phil Dur is the majority owner of PeakSpan Capital, LLC. The business address of PeakSpan Capital Growth Partners I,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98" w:lineRule="exact"/>
        <w:rPr>
          <w:rFonts w:ascii="Times New Roman" w:cs="Times New Roman" w:eastAsia="Times New Roman" w:hAnsi="Times New Roman"/>
          <w:sz w:val="18"/>
          <w:szCs w:val="18"/>
          <w:color w:val="auto"/>
        </w:rPr>
      </w:pPr>
    </w:p>
    <w:p>
      <w:pPr>
        <w:jc w:val="both"/>
        <w:ind w:left="1020" w:right="380" w:hanging="503"/>
        <w:spacing w:after="0" w:line="241"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PeakSpan Capital, LLC is the general partner of PeakSpan Capital Growth Partners l-A, L.P., and Mr. Phil Dur is the majority owner of PeakSpan Capital, LLC. The business address of PeakSpan Capital Growth Partners l-A, L.P. is 192 Lexington Avenue,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New York, NY 10016.</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Ms. D’Souza is 18 Dalmeny Drive, Brampton, ON L6X 0X3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Cornelisse is 42 Stockdale Road, Needham, MA 02492 United States.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Kamath is 797 Spinning Wheel Crescent, Mississauga, ON L5W 1W4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Kesavan is 2240 Foxfield Rd, Oakville, ON L6M 4C5 Canada.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Mr. Halpenny is 3 Relmar Gardens, Toronto, ON M5P 1S1 Canada.</w:t>
      </w:r>
    </w:p>
    <w:p>
      <w:pPr>
        <w:spacing w:after="0" w:line="225"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 Lawn Direct Investment Fund GP, LLC is the managing general partner of CHC Direct Investment Fund I, L.P. The business address of CHC Direct Investment Fund I, L.P. is 3953 Maple Avenue, Suite 250, Dallas TX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4" w:name="page95"/>
    <w:bookmarkEnd w:id="94"/>
    <w:p>
      <w:pPr>
        <w:ind w:left="760" w:hanging="378"/>
        <w:spacing w:after="0" w:line="234"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6" w:name="page97"/>
    <w:bookmarkEnd w:id="96"/>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8" w:name="page99"/>
    <w:bookmarkEnd w:id="98"/>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9" w:name="page100"/>
    <w:bookmarkEnd w:id="99"/>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0" w:name="page101"/>
    <w:bookmarkEnd w:id="100"/>
    <w:p>
      <w:pPr>
        <w:jc w:val="both"/>
        <w:spacing w:after="0" w:line="282" w:lineRule="auto"/>
        <w:rPr>
          <w:sz w:val="20"/>
          <w:szCs w:val="20"/>
          <w:color w:val="auto"/>
        </w:rPr>
      </w:pPr>
      <w:r>
        <w:rPr>
          <w:rFonts w:ascii="Times New Roman" w:cs="Times New Roman" w:eastAsia="Times New Roman" w:hAnsi="Times New Roman"/>
          <w:sz w:val="18"/>
          <w:szCs w:val="18"/>
          <w:color w:val="auto"/>
        </w:rPr>
        <w:t>their voting or would have been agreed to without their voting. Such authorization is subject to any limitations imposed by the directors and is liable to be varied or revoked at any time.</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98"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2" w:name="page103"/>
    <w:bookmarkEnd w:id="102"/>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firstLine="576"/>
        <w:spacing w:after="0" w:line="257"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1" w:lineRule="exact"/>
        <w:rPr>
          <w:sz w:val="20"/>
          <w:szCs w:val="20"/>
          <w:color w:val="auto"/>
        </w:rPr>
      </w:pPr>
    </w:p>
    <w:p>
      <w:pPr>
        <w:ind w:left="760" w:hanging="378"/>
        <w:spacing w:after="0" w:line="250"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3" w:name="page104"/>
    <w:bookmarkEnd w:id="103"/>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9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2"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4" w:name="page105"/>
    <w:bookmarkEnd w:id="104"/>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5" w:name="page106"/>
    <w:bookmarkEnd w:id="105"/>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7" w:name="page108"/>
    <w:bookmarkEnd w:id="107"/>
    <w:p>
      <w:pPr>
        <w:jc w:val="both"/>
        <w:ind w:left="760" w:hanging="378"/>
        <w:spacing w:after="0" w:line="239" w:lineRule="auto"/>
        <w:tabs>
          <w:tab w:leader="none" w:pos="7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8" w:name="page109"/>
    <w:bookmarkEnd w:id="108"/>
    <w:p>
      <w:pPr>
        <w:jc w:val="both"/>
        <w:spacing w:after="0" w:line="282" w:lineRule="auto"/>
        <w:rPr>
          <w:sz w:val="20"/>
          <w:szCs w:val="20"/>
          <w:color w:val="auto"/>
        </w:rPr>
      </w:pPr>
      <w:r>
        <w:rPr>
          <w:rFonts w:ascii="Times New Roman" w:cs="Times New Roman" w:eastAsia="Times New Roman" w:hAnsi="Times New Roman"/>
          <w:sz w:val="18"/>
          <w:szCs w:val="18"/>
          <w:color w:val="auto"/>
        </w:rPr>
        <w:t>subject to limitations. Any gain or loss recognized by a U.S. holder on the sale or exchange of Ordinary Shares or Warrants generally will be treated as U.S. source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firstLine="8"/>
        <w:spacing w:after="0" w:line="255" w:lineRule="auto"/>
        <w:tabs>
          <w:tab w:leader="none" w:pos="3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9" w:name="page110"/>
    <w:bookmarkEnd w:id="109"/>
    <w:p>
      <w:pPr>
        <w:jc w:val="both"/>
        <w:spacing w:after="0" w:line="282" w:lineRule="auto"/>
        <w:rPr>
          <w:sz w:val="20"/>
          <w:szCs w:val="20"/>
          <w:color w:val="auto"/>
        </w:rPr>
      </w:pPr>
      <w:r>
        <w:rPr>
          <w:rFonts w:ascii="Times New Roman" w:cs="Times New Roman" w:eastAsia="Times New Roman" w:hAnsi="Times New Roman"/>
          <w:sz w:val="18"/>
          <w:szCs w:val="18"/>
          <w:color w:val="auto"/>
        </w:rPr>
        <w:t>However, dividends paid by a PFIC are generally not eligible for the lower rates of taxation applicable to qualified dividend income (“QDI”) under any of the foregoing regimes.</w:t>
      </w:r>
    </w:p>
    <w:p>
      <w:pPr>
        <w:spacing w:after="0" w:line="16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0" w:name="page111"/>
    <w:bookmarkEnd w:id="110"/>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1" w:name="page112"/>
    <w:bookmarkEnd w:id="111"/>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20,249,283 Ordinary Shares, consisting of (i) up to 2,760,848 Ordinary Shares issued in connection with the Bluedot Acquisition; (ii) up to 3,999,145 Ordinary Shares issued in connection with the GroupBy Acquisition (iii) up to 12,300,000 Ordinary Shares issuable to WAB in connection with the WAB Subscription Letter; (iv) up to 89,290 Ordinary Shares issuable to Roth Capital Partners, LLC as transaction-based compensation for the performance of advisory services rendered to the Company in connection with the Business Combination; (v) up to 300,000 Ordinary Shares issued to Radio Group Holding GmbH and certain other holders in connection with the settlement of an agreement; and (vi) up to 800,000 Ordinary Shares issued to DBLP in connection with the DBLP Settlement Agreement.</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2" w:name="page113"/>
    <w:bookmarkEnd w:id="112"/>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3" w:name="page114"/>
    <w:bookmarkEnd w:id="113"/>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5" w:name="page116"/>
    <w:bookmarkEnd w:id="115"/>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-2013585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10"/>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-744855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9" w:name="page120"/>
    <w:bookmarkEnd w:id="11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-2613660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-2613660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-2613660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-2613660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-2613660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-2613660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-2613660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-2613660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0" w:name="page121"/>
    <w:bookmarkEnd w:id="12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2"/>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1" w:name="page122"/>
    <w:bookmarkEnd w:id="12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7" w:lineRule="auto"/>
        <w:tabs>
          <w:tab w:leader="none" w:pos="50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spacing w:after="0" w:line="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2" w:name="page123"/>
    <w:bookmarkEnd w:id="12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-1156335</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03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49"/>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-333375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-316230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-333375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-316230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-333375</wp:posOffset>
            </wp:positionV>
            <wp:extent cx="596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-316230</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-333375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1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514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50" w:name="page151"/>
    <w:bookmarkEnd w:id="15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54" w:name="page155"/>
    <w:bookmarkEnd w:id="15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p>
      <w:pPr>
        <w:ind w:left="1020" w:right="220" w:hanging="503"/>
        <w:spacing w:after="0" w:line="266"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10"/>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4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8"/>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1" w:name="page162"/>
    <w:bookmarkEnd w:id="161"/>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62" w:name="page163"/>
    <w:bookmarkEnd w:id="16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3" w:name="page164"/>
    <w:bookmarkEnd w:id="163"/>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4" w:name="page165"/>
    <w:bookmarkEnd w:id="164"/>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5" w:name="page166"/>
    <w:bookmarkEnd w:id="165"/>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6" w:name="page167"/>
    <w:bookmarkEnd w:id="16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431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-1002665</wp:posOffset>
            </wp:positionV>
            <wp:extent cx="431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7" w:name="page168"/>
    <w:bookmarkEnd w:id="167"/>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09"/>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69" w:name="page170"/>
    <w:bookmarkEnd w:id="169"/>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1" w:name="page172"/>
    <w:bookmarkEnd w:id="171"/>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2" w:name="page173"/>
    <w:bookmarkEnd w:id="172"/>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09"/>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-436880</wp:posOffset>
            </wp:positionV>
            <wp:extent cx="768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-436880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-436880</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3" w:name="page174"/>
    <w:bookmarkEnd w:id="173"/>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5" w:name="page176"/>
    <w:bookmarkEnd w:id="175"/>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8"/>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-1859280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10"/>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8" w:name="page179"/>
    <w:bookmarkEnd w:id="178"/>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982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3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32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0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06">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20" w:type="dxa"/>
            <w:vAlign w:val="bottom"/>
            <w:tcBorders>
              <w:right w:val="single" w:sz="8" w:color="auto"/>
            </w:tcBorders>
          </w:tcPr>
          <w:p>
            <w:pPr>
              <w:spacing w:after="0"/>
              <w:rPr>
                <w:sz w:val="13"/>
                <w:szCs w:val="13"/>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20" w:type="dxa"/>
            <w:vAlign w:val="bottom"/>
            <w:tcBorders>
              <w:right w:val="single" w:sz="8" w:color="auto"/>
            </w:tcBorders>
            <w:gridSpan w:val="6"/>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500" w:type="dxa"/>
            <w:vAlign w:val="bottom"/>
            <w:tcBorders>
              <w:right w:val="single" w:sz="8" w:color="auto"/>
            </w:tcBorders>
            <w:gridSpan w:val="5"/>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20" w:type="dxa"/>
            <w:vAlign w:val="bottom"/>
            <w:tcBorders>
              <w:right w:val="single" w:sz="8" w:color="auto"/>
            </w:tcBorders>
            <w:gridSpan w:val="3"/>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F-4, Amendment No. 2, filed with the SEC on September 25, 2023).</w:t>
              </w:r>
            </w:hyperlink>
          </w:p>
        </w:tc>
      </w:tr>
      <w:tr>
        <w:trPr>
          <w:trHeight w:val="21"/>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160" w:type="dxa"/>
            <w:vAlign w:val="bottom"/>
            <w:tcBorders>
              <w:right w:val="single" w:sz="8" w:color="auto"/>
            </w:tcBorders>
            <w:gridSpan w:val="2"/>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20" w:type="dxa"/>
            <w:vAlign w:val="bottom"/>
            <w:tcBorders>
              <w:right w:val="single" w:sz="8" w:color="auto"/>
            </w:tcBorders>
            <w:gridSpan w:val="3"/>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80" w:type="dxa"/>
            <w:vAlign w:val="bottom"/>
            <w:tcBorders>
              <w:right w:val="single" w:sz="8" w:color="auto"/>
            </w:tcBorders>
            <w:gridSpan w:val="4"/>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20" w:type="dxa"/>
            <w:vAlign w:val="bottom"/>
            <w:tcBorders>
              <w:bottom w:val="single" w:sz="8" w:color="A0A0A0"/>
            </w:tcBorders>
          </w:tcPr>
          <w:p>
            <w:pPr>
              <w:spacing w:after="0"/>
              <w:rPr>
                <w:sz w:val="19"/>
                <w:szCs w:val="19"/>
                <w:color w:val="auto"/>
              </w:rPr>
            </w:pPr>
          </w:p>
        </w:tc>
        <w:tc>
          <w:tcPr>
            <w:tcW w:w="100" w:type="dxa"/>
            <w:vAlign w:val="bottom"/>
            <w:tcBorders>
              <w:bottom w:val="single" w:sz="8" w:color="A0A0A0"/>
            </w:tcBorders>
          </w:tcPr>
          <w:p>
            <w:pPr>
              <w:spacing w:after="0"/>
              <w:rPr>
                <w:sz w:val="19"/>
                <w:szCs w:val="19"/>
                <w:color w:val="auto"/>
              </w:rPr>
            </w:pPr>
          </w:p>
        </w:tc>
        <w:tc>
          <w:tcPr>
            <w:tcW w:w="3760" w:type="dxa"/>
            <w:vAlign w:val="bottom"/>
            <w:tcBorders>
              <w:bottom w:val="single" w:sz="8" w:color="A0A0A0"/>
            </w:tcBorders>
          </w:tcPr>
          <w:p>
            <w:pPr>
              <w:spacing w:after="0"/>
              <w:rPr>
                <w:sz w:val="19"/>
                <w:szCs w:val="19"/>
                <w:color w:val="auto"/>
              </w:rPr>
            </w:pPr>
          </w:p>
        </w:tc>
        <w:tc>
          <w:tcPr>
            <w:tcW w:w="1160" w:type="dxa"/>
            <w:vAlign w:val="bottom"/>
            <w:tcBorders>
              <w:bottom w:val="single" w:sz="8" w:color="A0A0A0"/>
            </w:tcBorders>
          </w:tcPr>
          <w:p>
            <w:pPr>
              <w:spacing w:after="0"/>
              <w:rPr>
                <w:sz w:val="19"/>
                <w:szCs w:val="19"/>
                <w:color w:val="auto"/>
              </w:rPr>
            </w:pPr>
          </w:p>
        </w:tc>
        <w:tc>
          <w:tcPr>
            <w:tcW w:w="1420" w:type="dxa"/>
            <w:vAlign w:val="bottom"/>
            <w:tcBorders>
              <w:bottom w:val="single" w:sz="8" w:color="A0A0A0"/>
            </w:tcBorders>
          </w:tcPr>
          <w:p>
            <w:pPr>
              <w:spacing w:after="0"/>
              <w:rPr>
                <w:sz w:val="19"/>
                <w:szCs w:val="19"/>
                <w:color w:val="auto"/>
              </w:rPr>
            </w:pPr>
          </w:p>
        </w:tc>
        <w:tc>
          <w:tcPr>
            <w:tcW w:w="2960" w:type="dxa"/>
            <w:vAlign w:val="bottom"/>
            <w:tcBorders>
              <w:bottom w:val="single" w:sz="8" w:color="A0A0A0"/>
            </w:tcBorders>
          </w:tcPr>
          <w:p>
            <w:pPr>
              <w:spacing w:after="0"/>
              <w:rPr>
                <w:sz w:val="19"/>
                <w:szCs w:val="19"/>
                <w:color w:val="auto"/>
              </w:rPr>
            </w:pPr>
          </w:p>
        </w:tc>
        <w:tc>
          <w:tcPr>
            <w:tcW w:w="20" w:type="dxa"/>
            <w:vAlign w:val="bottom"/>
            <w:tcBorders>
              <w:bottom w:val="single" w:sz="8" w:color="A0A0A0"/>
            </w:tcBorders>
          </w:tcPr>
          <w:p>
            <w:pPr>
              <w:spacing w:after="0"/>
              <w:rPr>
                <w:sz w:val="19"/>
                <w:szCs w:val="19"/>
                <w:color w:val="auto"/>
              </w:rPr>
            </w:pPr>
          </w:p>
        </w:tc>
        <w:tc>
          <w:tcPr>
            <w:tcW w:w="220" w:type="dxa"/>
            <w:vAlign w:val="bottom"/>
            <w:tcBorders>
              <w:bottom w:val="single" w:sz="8" w:color="A0A0A0"/>
            </w:tcBorders>
          </w:tcPr>
          <w:p>
            <w:pPr>
              <w:spacing w:after="0"/>
              <w:rPr>
                <w:sz w:val="19"/>
                <w:szCs w:val="19"/>
                <w:color w:val="auto"/>
              </w:rPr>
            </w:pPr>
          </w:p>
        </w:tc>
        <w:tc>
          <w:tcPr>
            <w:tcW w:w="60" w:type="dxa"/>
            <w:vAlign w:val="bottom"/>
            <w:tcBorders>
              <w:bottom w:val="single" w:sz="8" w:color="A0A0A0"/>
            </w:tcBorders>
          </w:tcPr>
          <w:p>
            <w:pPr>
              <w:spacing w:after="0"/>
              <w:rPr>
                <w:sz w:val="19"/>
                <w:szCs w:val="19"/>
                <w:color w:val="auto"/>
              </w:rPr>
            </w:pPr>
          </w:p>
        </w:tc>
        <w:tc>
          <w:tcPr>
            <w:tcW w:w="60" w:type="dxa"/>
            <w:vAlign w:val="bottom"/>
            <w:tcBorders>
              <w:bottom w:val="single" w:sz="8" w:color="A0A0A0"/>
            </w:tcBorders>
          </w:tcPr>
          <w:p>
            <w:pPr>
              <w:spacing w:after="0"/>
              <w:rPr>
                <w:sz w:val="19"/>
                <w:szCs w:val="19"/>
                <w:color w:val="auto"/>
              </w:rPr>
            </w:pPr>
          </w:p>
        </w:tc>
        <w:tc>
          <w:tcPr>
            <w:tcW w:w="40" w:type="dxa"/>
            <w:vAlign w:val="bottom"/>
            <w:tcBorders>
              <w:bottom w:val="single" w:sz="8" w:color="A0A0A0"/>
            </w:tcBorders>
          </w:tcPr>
          <w:p>
            <w:pPr>
              <w:spacing w:after="0"/>
              <w:rPr>
                <w:sz w:val="19"/>
                <w:szCs w:val="19"/>
                <w:color w:val="auto"/>
              </w:rPr>
            </w:pPr>
          </w:p>
        </w:tc>
        <w:tc>
          <w:tcPr>
            <w:tcW w:w="120" w:type="dxa"/>
            <w:vAlign w:val="bottom"/>
            <w:tcBorders>
              <w:bottom w:val="single" w:sz="8" w:color="A0A0A0"/>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8"/>
                <w:szCs w:val="18"/>
                <w:color w:val="0000FF"/>
              </w:rPr>
              <w:t>Opinion of Taylor Wessing LLP</w:t>
            </w:r>
            <w:r>
              <w:rPr>
                <w:rFonts w:ascii="Times New Roman" w:cs="Times New Roman" w:eastAsia="Times New Roman" w:hAnsi="Times New Roman"/>
                <w:sz w:val="18"/>
                <w:szCs w:val="18"/>
                <w:color w:val="000000"/>
              </w:rPr>
              <w:t>.</w:t>
            </w: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amended and restated on December 18, 2023 and December 29, 2023 (incorporated by reference to Exhibit 10.17 of Rezolve AI Limited’s</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Registration Statement on Form F-4, Amendment No. 6, filed with the 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80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20, 2024).</w:t>
              </w:r>
            </w:hyperlink>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19">
              <w:r>
                <w:rPr>
                  <w:rFonts w:ascii="Times New Roman" w:cs="Times New Roman" w:eastAsia="Times New Roman" w:hAnsi="Times New Roman"/>
                  <w:sz w:val="18"/>
                  <w:szCs w:val="18"/>
                  <w:color w:val="0000FF"/>
                </w:rPr>
                <w:t>SEC on June 11,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Power of Disposal over ANY Lifestyle Marketing GmbH, dated November 17, 2023 (incorporated by reference to Exhibit 10.23 of Rezolve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auto"/>
            </w:tcBorders>
            <w:gridSpan w:val="3"/>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2024).</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gridSpan w:val="5"/>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280" w:type="dxa"/>
            <w:vAlign w:val="bottom"/>
            <w:gridSpan w:val="9"/>
            <w:shd w:val="clear" w:color="auto" w:fill="0000FF"/>
          </w:tcPr>
          <w:p>
            <w:pPr>
              <w:spacing w:after="0" w:line="20" w:lineRule="exact"/>
              <w:rPr>
                <w:sz w:val="1"/>
                <w:szCs w:val="1"/>
                <w:color w:val="auto"/>
              </w:rPr>
            </w:pPr>
          </w:p>
        </w:tc>
        <w:tc>
          <w:tcPr>
            <w:tcW w:w="480" w:type="dxa"/>
            <w:vAlign w:val="bottom"/>
            <w:tcBorders>
              <w:right w:val="single" w:sz="8" w:color="auto"/>
            </w:tcBorders>
            <w:gridSpan w:val="5"/>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60" w:type="dxa"/>
            <w:vAlign w:val="bottom"/>
            <w:tcBorders>
              <w:top w:val="single" w:sz="8" w:color="0000EE"/>
              <w:bottom w:val="single" w:sz="8" w:color="auto"/>
            </w:tcBorders>
          </w:tcPr>
          <w:p>
            <w:pPr>
              <w:spacing w:after="0" w:line="20" w:lineRule="exact"/>
              <w:rPr>
                <w:sz w:val="1"/>
                <w:szCs w:val="1"/>
                <w:color w:val="auto"/>
              </w:rPr>
            </w:pPr>
          </w:p>
        </w:tc>
        <w:tc>
          <w:tcPr>
            <w:tcW w:w="12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4"/>
                <w:szCs w:val="14"/>
                <w:color w:val="auto"/>
              </w:rPr>
            </w:pPr>
          </w:p>
        </w:tc>
        <w:tc>
          <w:tcPr>
            <w:tcW w:w="10200" w:type="dxa"/>
            <w:vAlign w:val="bottom"/>
            <w:tcBorders>
              <w:right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r>
      <w:tr>
        <w:trPr>
          <w:trHeight w:val="20"/>
        </w:trPr>
        <w:tc>
          <w:tcPr>
            <w:tcW w:w="9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40" w:type="dxa"/>
            <w:vAlign w:val="bottom"/>
            <w:gridSpan w:val="14"/>
            <w:shd w:val="clear" w:color="auto" w:fill="0000FF"/>
          </w:tcPr>
          <w:p>
            <w:pPr>
              <w:spacing w:after="0" w:line="20" w:lineRule="exact"/>
              <w:rPr>
                <w:sz w:val="1"/>
                <w:szCs w:val="1"/>
                <w:color w:val="auto"/>
              </w:rPr>
            </w:pPr>
          </w:p>
        </w:tc>
        <w:tc>
          <w:tcPr>
            <w:tcW w:w="2280" w:type="dxa"/>
            <w:vAlign w:val="bottom"/>
            <w:gridSpan w:val="9"/>
            <w:shd w:val="clear" w:color="auto" w:fill="0000FF"/>
          </w:tcPr>
          <w:p>
            <w:pPr>
              <w:spacing w:after="0" w:line="20" w:lineRule="exact"/>
              <w:rPr>
                <w:sz w:val="1"/>
                <w:szCs w:val="1"/>
                <w:color w:val="auto"/>
              </w:rPr>
            </w:pPr>
          </w:p>
        </w:tc>
        <w:tc>
          <w:tcPr>
            <w:tcW w:w="480" w:type="dxa"/>
            <w:vAlign w:val="bottom"/>
            <w:tcBorders>
              <w:right w:val="single" w:sz="8" w:color="auto"/>
            </w:tcBorders>
            <w:gridSpan w:val="5"/>
          </w:tcPr>
          <w:p>
            <w:pPr>
              <w:spacing w:after="0" w:line="20" w:lineRule="exact"/>
              <w:rPr>
                <w:sz w:val="1"/>
                <w:szCs w:val="1"/>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9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46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561"/>
        </w:trPr>
        <w:tc>
          <w:tcPr>
            <w:tcW w:w="940" w:type="dxa"/>
            <w:vAlign w:val="bottom"/>
          </w:tcPr>
          <w:p>
            <w:pPr>
              <w:spacing w:after="0"/>
              <w:rPr>
                <w:sz w:val="24"/>
                <w:szCs w:val="24"/>
                <w:color w:val="auto"/>
              </w:rPr>
            </w:pPr>
          </w:p>
        </w:tc>
        <w:tc>
          <w:tcPr>
            <w:tcW w:w="514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92"/>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860" w:type="dxa"/>
            <w:vAlign w:val="bottom"/>
            <w:tcBorders>
              <w:top w:val="single" w:sz="8" w:color="auto"/>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18"/>
                <w:szCs w:val="18"/>
                <w:color w:val="auto"/>
              </w:rPr>
              <w:t>10.14</w:t>
            </w:r>
          </w:p>
        </w:tc>
        <w:tc>
          <w:tcPr>
            <w:tcW w:w="10320" w:type="dxa"/>
            <w:vAlign w:val="bottom"/>
            <w:tcBorders>
              <w:top w:val="single" w:sz="8" w:color="auto"/>
              <w:right w:val="single" w:sz="8" w:color="auto"/>
            </w:tcBorders>
            <w:gridSpan w:val="21"/>
          </w:tcPr>
          <w:p>
            <w:pPr>
              <w:ind w:left="100"/>
              <w:spacing w:after="0" w:line="192"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c>
          <w:tcPr>
            <w:tcW w:w="0" w:type="dxa"/>
            <w:vAlign w:val="bottom"/>
          </w:tcPr>
          <w:p>
            <w:pPr>
              <w:spacing w:after="0"/>
              <w:rPr>
                <w:sz w:val="1"/>
                <w:szCs w:val="1"/>
                <w:color w:val="auto"/>
              </w:rPr>
            </w:pPr>
          </w:p>
        </w:tc>
      </w:tr>
      <w:tr>
        <w:trPr>
          <w:trHeight w:val="60"/>
        </w:trPr>
        <w:tc>
          <w:tcPr>
            <w:tcW w:w="6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EE"/>
              <w:bottom w:val="single" w:sz="8" w:color="0000EE"/>
            </w:tcBorders>
          </w:tcPr>
          <w:p>
            <w:pPr>
              <w:spacing w:after="0"/>
              <w:rPr>
                <w:sz w:val="5"/>
                <w:szCs w:val="5"/>
                <w:color w:val="auto"/>
              </w:rPr>
            </w:pPr>
          </w:p>
        </w:tc>
        <w:tc>
          <w:tcPr>
            <w:tcW w:w="100" w:type="dxa"/>
            <w:vAlign w:val="bottom"/>
            <w:tcBorders>
              <w:top w:val="single" w:sz="8" w:color="0000EE"/>
              <w:bottom w:val="single" w:sz="8" w:color="0000EE"/>
            </w:tcBorders>
          </w:tcPr>
          <w:p>
            <w:pPr>
              <w:spacing w:after="0"/>
              <w:rPr>
                <w:sz w:val="5"/>
                <w:szCs w:val="5"/>
                <w:color w:val="auto"/>
              </w:rPr>
            </w:pPr>
          </w:p>
        </w:tc>
        <w:tc>
          <w:tcPr>
            <w:tcW w:w="240" w:type="dxa"/>
            <w:vAlign w:val="bottom"/>
            <w:tcBorders>
              <w:top w:val="single" w:sz="8" w:color="0000EE"/>
              <w:bottom w:val="single" w:sz="8" w:color="0000EE"/>
            </w:tcBorders>
          </w:tcPr>
          <w:p>
            <w:pPr>
              <w:spacing w:after="0"/>
              <w:rPr>
                <w:sz w:val="5"/>
                <w:szCs w:val="5"/>
                <w:color w:val="auto"/>
              </w:rPr>
            </w:pPr>
          </w:p>
        </w:tc>
        <w:tc>
          <w:tcPr>
            <w:tcW w:w="1120" w:type="dxa"/>
            <w:vAlign w:val="bottom"/>
            <w:tcBorders>
              <w:top w:val="single" w:sz="8" w:color="0000EE"/>
              <w:bottom w:val="single" w:sz="8" w:color="0000EE"/>
            </w:tcBorders>
          </w:tcPr>
          <w:p>
            <w:pPr>
              <w:spacing w:after="0"/>
              <w:rPr>
                <w:sz w:val="5"/>
                <w:szCs w:val="5"/>
                <w:color w:val="auto"/>
              </w:rPr>
            </w:pPr>
          </w:p>
        </w:tc>
        <w:tc>
          <w:tcPr>
            <w:tcW w:w="220" w:type="dxa"/>
            <w:vAlign w:val="bottom"/>
            <w:tcBorders>
              <w:top w:val="single" w:sz="8" w:color="0000EE"/>
              <w:bottom w:val="single" w:sz="8" w:color="0000EE"/>
            </w:tcBorders>
          </w:tcPr>
          <w:p>
            <w:pPr>
              <w:spacing w:after="0"/>
              <w:rPr>
                <w:sz w:val="5"/>
                <w:szCs w:val="5"/>
                <w:color w:val="auto"/>
              </w:rPr>
            </w:pPr>
          </w:p>
        </w:tc>
        <w:tc>
          <w:tcPr>
            <w:tcW w:w="840" w:type="dxa"/>
            <w:vAlign w:val="bottom"/>
            <w:tcBorders>
              <w:top w:val="single" w:sz="8" w:color="0000EE"/>
              <w:bottom w:val="single" w:sz="8" w:color="0000EE"/>
            </w:tcBorders>
          </w:tcPr>
          <w:p>
            <w:pPr>
              <w:spacing w:after="0"/>
              <w:rPr>
                <w:sz w:val="5"/>
                <w:szCs w:val="5"/>
                <w:color w:val="auto"/>
              </w:rPr>
            </w:pPr>
          </w:p>
        </w:tc>
        <w:tc>
          <w:tcPr>
            <w:tcW w:w="1740" w:type="dxa"/>
            <w:vAlign w:val="bottom"/>
            <w:tcBorders>
              <w:top w:val="single" w:sz="8" w:color="0000EE"/>
              <w:bottom w:val="single" w:sz="8" w:color="0000EE"/>
            </w:tcBorders>
          </w:tcPr>
          <w:p>
            <w:pPr>
              <w:spacing w:after="0"/>
              <w:rPr>
                <w:sz w:val="5"/>
                <w:szCs w:val="5"/>
                <w:color w:val="auto"/>
              </w:rPr>
            </w:pPr>
          </w:p>
        </w:tc>
        <w:tc>
          <w:tcPr>
            <w:tcW w:w="76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160" w:type="dxa"/>
            <w:vAlign w:val="bottom"/>
            <w:tcBorders>
              <w:top w:val="single" w:sz="8" w:color="0000EE"/>
              <w:bottom w:val="single" w:sz="8" w:color="0000EE"/>
            </w:tcBorders>
          </w:tcPr>
          <w:p>
            <w:pPr>
              <w:spacing w:after="0"/>
              <w:rPr>
                <w:sz w:val="5"/>
                <w:szCs w:val="5"/>
                <w:color w:val="auto"/>
              </w:rPr>
            </w:pPr>
          </w:p>
        </w:tc>
        <w:tc>
          <w:tcPr>
            <w:tcW w:w="20" w:type="dxa"/>
            <w:vAlign w:val="bottom"/>
            <w:tcBorders>
              <w:top w:val="single" w:sz="8" w:color="0000EE"/>
              <w:bottom w:val="single" w:sz="8" w:color="0000EE"/>
            </w:tcBorders>
          </w:tcPr>
          <w:p>
            <w:pPr>
              <w:spacing w:after="0"/>
              <w:rPr>
                <w:sz w:val="5"/>
                <w:szCs w:val="5"/>
                <w:color w:val="auto"/>
              </w:rPr>
            </w:pPr>
          </w:p>
        </w:tc>
        <w:tc>
          <w:tcPr>
            <w:tcW w:w="40" w:type="dxa"/>
            <w:vAlign w:val="bottom"/>
            <w:tcBorders>
              <w:top w:val="single" w:sz="8" w:color="0000EE"/>
              <w:bottom w:val="single" w:sz="8" w:color="0000EE"/>
            </w:tcBorders>
          </w:tcPr>
          <w:p>
            <w:pPr>
              <w:spacing w:after="0"/>
              <w:rPr>
                <w:sz w:val="5"/>
                <w:szCs w:val="5"/>
                <w:color w:val="auto"/>
              </w:rPr>
            </w:pPr>
          </w:p>
        </w:tc>
        <w:tc>
          <w:tcPr>
            <w:tcW w:w="180" w:type="dxa"/>
            <w:vAlign w:val="bottom"/>
            <w:tcBorders>
              <w:top w:val="single" w:sz="8" w:color="0000EE"/>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6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ind w:left="60"/>
              <w:spacing w:after="0" w:line="130" w:lineRule="exact"/>
              <w:rPr>
                <w:sz w:val="20"/>
                <w:szCs w:val="20"/>
                <w:color w:val="auto"/>
              </w:rPr>
            </w:pPr>
            <w:r>
              <w:rPr>
                <w:rFonts w:ascii="Times New Roman" w:cs="Times New Roman" w:eastAsia="Times New Roman" w:hAnsi="Times New Roman"/>
                <w:sz w:val="15"/>
                <w:szCs w:val="15"/>
                <w:color w:val="auto"/>
              </w:rPr>
              <w:t>10.15</w:t>
            </w:r>
          </w:p>
        </w:tc>
        <w:tc>
          <w:tcPr>
            <w:tcW w:w="100" w:type="dxa"/>
            <w:vAlign w:val="bottom"/>
            <w:tcBorders>
              <w:top w:val="single" w:sz="8" w:color="auto"/>
            </w:tcBorders>
          </w:tcPr>
          <w:p>
            <w:pPr>
              <w:spacing w:after="0"/>
              <w:rPr>
                <w:sz w:val="11"/>
                <w:szCs w:val="11"/>
                <w:color w:val="auto"/>
              </w:rPr>
            </w:pPr>
          </w:p>
        </w:tc>
        <w:tc>
          <w:tcPr>
            <w:tcW w:w="9920" w:type="dxa"/>
            <w:vAlign w:val="bottom"/>
            <w:tcBorders>
              <w:top w:val="single" w:sz="8" w:color="auto"/>
              <w:bottom w:val="single" w:sz="8" w:color="0000FF"/>
            </w:tcBorders>
            <w:gridSpan w:val="16"/>
          </w:tcPr>
          <w:p>
            <w:pPr>
              <w:spacing w:after="0" w:line="130" w:lineRule="exact"/>
              <w:rPr>
                <w:rFonts w:ascii="Times New Roman" w:cs="Times New Roman" w:eastAsia="Times New Roman" w:hAnsi="Times New Roman"/>
                <w:sz w:val="15"/>
                <w:szCs w:val="15"/>
                <w:color w:val="0000FF"/>
              </w:rPr>
            </w:pPr>
            <w:hyperlink r:id="rId632">
              <w:r>
                <w:rPr>
                  <w:rFonts w:ascii="Times New Roman" w:cs="Times New Roman" w:eastAsia="Times New Roman" w:hAnsi="Times New Roman"/>
                  <w:sz w:val="15"/>
                  <w:szCs w:val="15"/>
                  <w:color w:val="0000FF"/>
                </w:rPr>
                <w:t>Form of Securities Purchase Agreement (incorporated by reference to Exhibit 10.1 of Rezolve's Report on Form 6-K, filed December 23,</w:t>
              </w:r>
            </w:hyperlink>
          </w:p>
        </w:tc>
        <w:tc>
          <w:tcPr>
            <w:tcW w:w="300" w:type="dxa"/>
            <w:vAlign w:val="bottom"/>
            <w:tcBorders>
              <w:top w:val="single" w:sz="8" w:color="auto"/>
              <w:right w:val="single" w:sz="8" w:color="auto"/>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680" w:type="dxa"/>
            <w:vAlign w:val="bottom"/>
            <w:gridSpan w:val="5"/>
          </w:tcPr>
          <w:p>
            <w:pPr>
              <w:ind w:left="10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952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700" w:type="dxa"/>
            <w:vAlign w:val="bottom"/>
            <w:tcBorders>
              <w:right w:val="single" w:sz="8" w:color="auto"/>
            </w:tcBorders>
            <w:gridSpan w:val="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(incorporated by reference to Exhibit 10.1 of Rezolve's Report on Form 6-K, filed January 29, 2025.</w:t>
              </w:r>
            </w:hyperlink>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99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c>
          <w:tcPr>
            <w:tcW w:w="240" w:type="dxa"/>
            <w:vAlign w:val="bottom"/>
            <w:tcBorders>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Exhibit 10.1 of Rezolve's Report on Form 6-K, filed February 7, 2025).</w:t>
              </w:r>
            </w:hyperlink>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4"/>
                <w:szCs w:val="14"/>
                <w:color w:val="auto"/>
              </w:rPr>
            </w:pPr>
          </w:p>
        </w:tc>
        <w:tc>
          <w:tcPr>
            <w:tcW w:w="986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filed February 11, 2025).</w:t>
              </w:r>
            </w:hyperlink>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4"/>
                <w:szCs w:val="14"/>
                <w:color w:val="auto"/>
              </w:rPr>
            </w:pPr>
          </w:p>
        </w:tc>
        <w:tc>
          <w:tcPr>
            <w:tcW w:w="948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740" w:type="dxa"/>
            <w:vAlign w:val="bottom"/>
            <w:tcBorders>
              <w:right w:val="single" w:sz="8" w:color="auto"/>
            </w:tcBorders>
            <w:gridSpan w:val="8"/>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21"/>
          </w:tcPr>
          <w:p>
            <w:pPr>
              <w:ind w:left="100"/>
              <w:spacing w:after="0" w:line="169"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9"/>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1"/>
          </w:tcPr>
          <w:p>
            <w:pPr>
              <w:ind w:left="100"/>
              <w:spacing w:after="0" w:line="196" w:lineRule="exact"/>
              <w:rPr>
                <w:rFonts w:ascii="Times New Roman" w:cs="Times New Roman" w:eastAsia="Times New Roman" w:hAnsi="Times New Roman"/>
                <w:sz w:val="18"/>
                <w:szCs w:val="18"/>
                <w:color w:val="0000FF"/>
              </w:rPr>
            </w:pPr>
            <w:hyperlink r:id="rId638">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right w:val="single" w:sz="8" w:color="auto"/>
            </w:tcBorders>
            <w:gridSpan w:val="21"/>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vMerge w:val="restart"/>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vMerge w:val="continue"/>
          </w:tcPr>
          <w:p>
            <w:pPr>
              <w:spacing w:after="0"/>
              <w:rPr>
                <w:sz w:val="14"/>
                <w:szCs w:val="14"/>
                <w:color w:val="auto"/>
              </w:rPr>
            </w:pPr>
          </w:p>
        </w:tc>
        <w:tc>
          <w:tcPr>
            <w:tcW w:w="8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21"/>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
        </w:trPr>
        <w:tc>
          <w:tcPr>
            <w:tcW w:w="60" w:type="dxa"/>
            <w:vAlign w:val="bottom"/>
            <w:tcBorders>
              <w:right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86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12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840" w:type="dxa"/>
            <w:vAlign w:val="bottom"/>
            <w:tcBorders>
              <w:bottom w:val="single" w:sz="8" w:color="A0A0A0"/>
            </w:tcBorders>
          </w:tcPr>
          <w:p>
            <w:pPr>
              <w:spacing w:after="0"/>
              <w:rPr>
                <w:sz w:val="17"/>
                <w:szCs w:val="17"/>
                <w:color w:val="auto"/>
              </w:rPr>
            </w:pPr>
          </w:p>
        </w:tc>
        <w:tc>
          <w:tcPr>
            <w:tcW w:w="1740" w:type="dxa"/>
            <w:vAlign w:val="bottom"/>
            <w:tcBorders>
              <w:bottom w:val="single" w:sz="8" w:color="A0A0A0"/>
            </w:tcBorders>
          </w:tcPr>
          <w:p>
            <w:pPr>
              <w:spacing w:after="0"/>
              <w:rPr>
                <w:sz w:val="17"/>
                <w:szCs w:val="17"/>
                <w:color w:val="auto"/>
              </w:rPr>
            </w:pPr>
          </w:p>
        </w:tc>
        <w:tc>
          <w:tcPr>
            <w:tcW w:w="76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c>
          <w:tcPr>
            <w:tcW w:w="0" w:type="dxa"/>
            <w:vAlign w:val="bottom"/>
          </w:tcPr>
          <w:p>
            <w:pPr>
              <w:spacing w:after="0"/>
              <w:rPr>
                <w:sz w:val="1"/>
                <w:szCs w:val="1"/>
                <w:color w:val="auto"/>
              </w:rPr>
            </w:pPr>
          </w:p>
        </w:tc>
      </w:tr>
      <w:tr>
        <w:trPr>
          <w:trHeight w:val="462"/>
        </w:trPr>
        <w:tc>
          <w:tcPr>
            <w:tcW w:w="92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shd w:val="clear" w:color="auto" w:fill="000000"/>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gridSpan w:val="19"/>
          </w:tcPr>
          <w:p>
            <w:pPr>
              <w:ind w:left="100"/>
              <w:spacing w:after="0" w:line="133" w:lineRule="exact"/>
              <w:rPr>
                <w:sz w:val="20"/>
                <w:szCs w:val="20"/>
                <w:color w:val="auto"/>
              </w:rPr>
            </w:pPr>
            <w:r>
              <w:rPr>
                <w:rFonts w:ascii="Times New Roman" w:cs="Times New Roman" w:eastAsia="Times New Roman" w:hAnsi="Times New Roman"/>
                <w:sz w:val="15"/>
                <w:szCs w:val="15"/>
                <w:color w:val="0000FF"/>
              </w:rPr>
              <w:t>Consent of Taylor Wessing LLP (included in Exhibit 5.1)</w:t>
            </w:r>
            <w:r>
              <w:rPr>
                <w:rFonts w:ascii="Times New Roman" w:cs="Times New Roman" w:eastAsia="Times New Roman" w:hAnsi="Times New Roman"/>
                <w:sz w:val="15"/>
                <w:szCs w:val="15"/>
                <w:color w:val="000000"/>
              </w:rPr>
              <w:t>.</w:t>
            </w:r>
          </w:p>
        </w:tc>
        <w:tc>
          <w:tcPr>
            <w:tcW w:w="0" w:type="dxa"/>
            <w:vAlign w:val="bottom"/>
          </w:tcPr>
          <w:p>
            <w:pPr>
              <w:spacing w:after="0"/>
              <w:rPr>
                <w:sz w:val="1"/>
                <w:szCs w:val="1"/>
                <w:color w:val="auto"/>
              </w:rPr>
            </w:pPr>
          </w:p>
        </w:tc>
      </w:tr>
      <w:tr>
        <w:trPr>
          <w:trHeight w:val="60"/>
        </w:trPr>
        <w:tc>
          <w:tcPr>
            <w:tcW w:w="6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840" w:type="dxa"/>
            <w:vAlign w:val="bottom"/>
            <w:tcBorders>
              <w:top w:val="single" w:sz="8" w:color="0000FF"/>
              <w:bottom w:val="single" w:sz="8" w:color="0000FF"/>
            </w:tcBorders>
          </w:tcPr>
          <w:p>
            <w:pPr>
              <w:spacing w:after="0"/>
              <w:rPr>
                <w:sz w:val="5"/>
                <w:szCs w:val="5"/>
                <w:color w:val="auto"/>
              </w:rPr>
            </w:pPr>
          </w:p>
        </w:tc>
        <w:tc>
          <w:tcPr>
            <w:tcW w:w="1740" w:type="dxa"/>
            <w:vAlign w:val="bottom"/>
            <w:tcBorders>
              <w:top w:val="single" w:sz="8" w:color="0000FF"/>
              <w:bottom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6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100" w:type="dxa"/>
            <w:vAlign w:val="bottom"/>
            <w:tcBorders>
              <w:top w:val="single" w:sz="8" w:color="auto"/>
            </w:tcBorders>
            <w:gridSpan w:val="19"/>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100" w:type="dxa"/>
            <w:vAlign w:val="bottom"/>
            <w:tcBorders>
              <w:bottom w:val="single" w:sz="8" w:color="auto"/>
            </w:tcBorders>
            <w:gridSpan w:val="1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8743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9">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ind w:right="8180" w:firstLine="119"/>
        <w:spacing w:after="0" w:line="494" w:lineRule="auto"/>
        <w:tabs>
          <w:tab w:leader="none" w:pos="123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Calculation of Fee Table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As previously filed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2" w:name="page183"/>
    <w:bookmarkEnd w:id="182"/>
    <w:p>
      <w:pPr>
        <w:ind w:right="260"/>
        <w:spacing w:after="0" w:line="261"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ind w:right="40"/>
        <w:spacing w:after="0" w:line="250"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(i)Any preliminary prospectus or prospectus of the undersigned registrant relating to the offering required to be filed pursuant to Rule 424;</w:t>
      </w:r>
    </w:p>
    <w:p>
      <w:pPr>
        <w:spacing w:after="0" w:line="2"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0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Registration Statement on Form F-1 to be signed on its behalf by the undersigned, thereunto duly authorized, in the city of London, United Kingdom, on the 16th day of May, 2025.</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Herbert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F-1 to be signed on its behalf by the undersigned, thereunto duly authorized, in the city of New York, New York, on the 16th of May, 2025.</w:t>
      </w:r>
    </w:p>
    <w:p>
      <w:pPr>
        <w:spacing w:after="0" w:line="3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4">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4879975</wp:posOffset>
            </wp:positionH>
            <wp:positionV relativeFrom="page">
              <wp:posOffset>1134745</wp:posOffset>
            </wp:positionV>
            <wp:extent cx="1534160" cy="2654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16 May 2025</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Rezolve AI PLC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21 Sackville Street</w:t>
      </w:r>
    </w:p>
    <w:p>
      <w:pPr>
        <w:spacing w:after="0" w:line="237" w:lineRule="auto"/>
        <w:rPr>
          <w:sz w:val="20"/>
          <w:szCs w:val="20"/>
          <w:color w:val="auto"/>
        </w:rPr>
      </w:pPr>
      <w:r>
        <w:rPr>
          <w:rFonts w:ascii="Arial" w:cs="Arial" w:eastAsia="Arial" w:hAnsi="Arial"/>
          <w:sz w:val="19"/>
          <w:szCs w:val="19"/>
          <w:color w:val="auto"/>
        </w:rPr>
        <w:t>London W1S 3DN</w:t>
      </w:r>
    </w:p>
    <w:p>
      <w:pPr>
        <w:spacing w:after="0"/>
        <w:rPr>
          <w:sz w:val="20"/>
          <w:szCs w:val="20"/>
          <w:color w:val="auto"/>
        </w:rPr>
      </w:pPr>
      <w:r>
        <w:rPr>
          <w:rFonts w:ascii="Arial" w:cs="Arial" w:eastAsia="Arial" w:hAnsi="Arial"/>
          <w:sz w:val="19"/>
          <w:szCs w:val="19"/>
          <w:color w:val="auto"/>
        </w:rPr>
        <w:t>United Kingdom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Rezolve AI PLC – Registration Statement on Form F-1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47"/>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27" w:lineRule="exact"/>
        <w:rPr>
          <w:sz w:val="20"/>
          <w:szCs w:val="20"/>
          <w:color w:val="auto"/>
        </w:rPr>
      </w:pPr>
    </w:p>
    <w:p>
      <w:pPr>
        <w:jc w:val="both"/>
        <w:ind w:left="420" w:hanging="748"/>
        <w:spacing w:after="0" w:line="246" w:lineRule="auto"/>
        <w:tabs>
          <w:tab w:leader="none" w:pos="400" w:val="left"/>
        </w:tabs>
        <w:rPr>
          <w:sz w:val="20"/>
          <w:szCs w:val="20"/>
          <w:color w:val="auto"/>
        </w:rPr>
      </w:pPr>
      <w:r>
        <w:rPr>
          <w:rFonts w:ascii="Arial" w:cs="Arial" w:eastAsia="Arial" w:hAnsi="Arial"/>
          <w:sz w:val="19"/>
          <w:szCs w:val="19"/>
          <w:color w:val="auto"/>
        </w:rPr>
        <w:t>1.1</w:t>
        <w:tab/>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F-1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68" w:lineRule="exact"/>
        <w:rPr>
          <w:sz w:val="20"/>
          <w:szCs w:val="20"/>
          <w:color w:val="auto"/>
        </w:rPr>
      </w:pPr>
    </w:p>
    <w:p>
      <w:pPr>
        <w:jc w:val="both"/>
        <w:ind w:left="420" w:hanging="748"/>
        <w:spacing w:after="0" w:line="252" w:lineRule="auto"/>
        <w:tabs>
          <w:tab w:leader="none" w:pos="400" w:val="left"/>
        </w:tabs>
        <w:rPr>
          <w:sz w:val="20"/>
          <w:szCs w:val="20"/>
          <w:color w:val="auto"/>
        </w:rPr>
      </w:pPr>
      <w:r>
        <w:rPr>
          <w:rFonts w:ascii="Arial" w:cs="Arial" w:eastAsia="Arial" w:hAnsi="Arial"/>
          <w:sz w:val="19"/>
          <w:szCs w:val="19"/>
          <w:color w:val="auto"/>
        </w:rPr>
        <w:t>1.2</w:t>
        <w:tab/>
        <w:t>On 4 July 2024, a demerger pursuant to section 110 of the UK Insolvency Act 1986 was effected, pursuant to which substantially all the assets and liabilities of Rezolve Limited were transferred to the Company in exchange for the issue of shares of the same classes in the capital of the Company for distribution amongst the shareholders of Rezolve Limited in proportion to their holdings of shares of each class in Rezolve Limited (the "</w:t>
      </w:r>
      <w:r>
        <w:rPr>
          <w:rFonts w:ascii="Arial" w:cs="Arial" w:eastAsia="Arial" w:hAnsi="Arial"/>
          <w:sz w:val="19"/>
          <w:szCs w:val="19"/>
          <w:b w:val="1"/>
          <w:bCs w:val="1"/>
          <w:color w:val="auto"/>
        </w:rPr>
        <w:t>Demerger</w:t>
      </w:r>
      <w:r>
        <w:rPr>
          <w:rFonts w:ascii="Arial" w:cs="Arial" w:eastAsia="Arial" w:hAnsi="Arial"/>
          <w:sz w:val="19"/>
          <w:szCs w:val="19"/>
          <w:color w:val="auto"/>
        </w:rPr>
        <w:t>").</w:t>
      </w:r>
    </w:p>
    <w:p>
      <w:pPr>
        <w:spacing w:after="0" w:line="162" w:lineRule="exact"/>
        <w:rPr>
          <w:sz w:val="20"/>
          <w:szCs w:val="20"/>
          <w:color w:val="auto"/>
        </w:rPr>
      </w:pPr>
    </w:p>
    <w:p>
      <w:pPr>
        <w:jc w:val="both"/>
        <w:ind w:left="420" w:hanging="748"/>
        <w:spacing w:after="0" w:line="259" w:lineRule="auto"/>
        <w:tabs>
          <w:tab w:leader="none" w:pos="400" w:val="left"/>
        </w:tabs>
        <w:rPr>
          <w:sz w:val="20"/>
          <w:szCs w:val="20"/>
          <w:color w:val="auto"/>
        </w:rPr>
      </w:pPr>
      <w:r>
        <w:rPr>
          <w:rFonts w:ascii="Arial" w:cs="Arial" w:eastAsia="Arial" w:hAnsi="Arial"/>
          <w:sz w:val="19"/>
          <w:szCs w:val="19"/>
          <w:color w:val="auto"/>
        </w:rPr>
        <w:t>1.3</w:t>
        <w:tab/>
        <w:t>The Company has filed the Registration Statement for the purposes of registering with the Commission under the Securities Act the potential issue, offer and sale or resale from time to time of up to 20,249,283 ordinary shares of £0.0001 each in the capital of the Company (the “</w:t>
      </w:r>
      <w:r>
        <w:rPr>
          <w:rFonts w:ascii="Arial" w:cs="Arial" w:eastAsia="Arial" w:hAnsi="Arial"/>
          <w:sz w:val="19"/>
          <w:szCs w:val="19"/>
          <w:b w:val="1"/>
          <w:bCs w:val="1"/>
          <w:color w:val="auto"/>
        </w:rPr>
        <w:t>Ordinary Shares</w:t>
      </w:r>
      <w:r>
        <w:rPr>
          <w:rFonts w:ascii="Arial" w:cs="Arial" w:eastAsia="Arial" w:hAnsi="Arial"/>
          <w:sz w:val="19"/>
          <w:szCs w:val="19"/>
          <w:color w:val="auto"/>
        </w:rPr>
        <w:t>”) comprised of:</w:t>
      </w:r>
    </w:p>
    <w:p>
      <w:pPr>
        <w:spacing w:after="0" w:line="157" w:lineRule="exact"/>
        <w:rPr>
          <w:sz w:val="20"/>
          <w:szCs w:val="20"/>
          <w:color w:val="auto"/>
        </w:rPr>
      </w:pPr>
    </w:p>
    <w:p>
      <w:pPr>
        <w:jc w:val="both"/>
        <w:ind w:left="1440" w:hanging="683"/>
        <w:spacing w:after="0" w:line="259" w:lineRule="auto"/>
        <w:tabs>
          <w:tab w:leader="none" w:pos="14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819,737 Ordinary Shares issued in consideration for the acquisition by the Company of the entire issued share capital of Bluedot Industries, Inc. and Bluedot Industries Pty Ltd ("</w:t>
      </w:r>
      <w:r>
        <w:rPr>
          <w:rFonts w:ascii="Arial" w:cs="Arial" w:eastAsia="Arial" w:hAnsi="Arial"/>
          <w:sz w:val="18"/>
          <w:szCs w:val="18"/>
          <w:b w:val="1"/>
          <w:bCs w:val="1"/>
          <w:color w:val="auto"/>
        </w:rPr>
        <w:t>First Bluedot Shares</w:t>
      </w:r>
      <w:r>
        <w:rPr>
          <w:rFonts w:ascii="Arial" w:cs="Arial" w:eastAsia="Arial" w:hAnsi="Arial"/>
          <w:sz w:val="18"/>
          <w:szCs w:val="18"/>
          <w:color w:val="auto"/>
        </w:rPr>
        <w:t>") pursuant to a share purchase agreement dated 4 February 2025 ("</w:t>
      </w:r>
      <w:r>
        <w:rPr>
          <w:rFonts w:ascii="Arial" w:cs="Arial" w:eastAsia="Arial" w:hAnsi="Arial"/>
          <w:sz w:val="18"/>
          <w:szCs w:val="18"/>
          <w:b w:val="1"/>
          <w:bCs w:val="1"/>
          <w:color w:val="auto"/>
        </w:rPr>
        <w:t>First Bluedot SPA</w:t>
      </w:r>
      <w:r>
        <w:rPr>
          <w:rFonts w:ascii="Arial" w:cs="Arial" w:eastAsia="Arial" w:hAnsi="Arial"/>
          <w:sz w:val="18"/>
          <w:szCs w:val="18"/>
          <w:color w:val="auto"/>
        </w:rPr>
        <w:t>"), such transaction being the "</w:t>
      </w:r>
      <w:r>
        <w:rPr>
          <w:rFonts w:ascii="Arial" w:cs="Arial" w:eastAsia="Arial" w:hAnsi="Arial"/>
          <w:sz w:val="18"/>
          <w:szCs w:val="18"/>
          <w:b w:val="1"/>
          <w:bCs w:val="1"/>
          <w:color w:val="auto"/>
        </w:rPr>
        <w:t>First Bluedot Acquisition</w:t>
      </w:r>
      <w:r>
        <w:rPr>
          <w:rFonts w:ascii="Arial" w:cs="Arial" w:eastAsia="Arial" w:hAnsi="Arial"/>
          <w:sz w:val="18"/>
          <w:szCs w:val="18"/>
          <w:color w:val="auto"/>
        </w:rPr>
        <w:t>" and 1,941,111 Ordinary Shares ("</w:t>
      </w:r>
      <w:r>
        <w:rPr>
          <w:rFonts w:ascii="Arial" w:cs="Arial" w:eastAsia="Arial" w:hAnsi="Arial"/>
          <w:sz w:val="18"/>
          <w:szCs w:val="18"/>
          <w:b w:val="1"/>
          <w:bCs w:val="1"/>
          <w:color w:val="auto"/>
        </w:rPr>
        <w:t>Second Bluedot Shares</w:t>
      </w:r>
      <w:r>
        <w:rPr>
          <w:rFonts w:ascii="Arial" w:cs="Arial" w:eastAsia="Arial" w:hAnsi="Arial"/>
          <w:sz w:val="18"/>
          <w:szCs w:val="18"/>
          <w:color w:val="auto"/>
        </w:rPr>
        <w:t>") issued to Tanist Group Limited under an SPA dated 17 March 2025 (the "</w:t>
      </w:r>
      <w:r>
        <w:rPr>
          <w:rFonts w:ascii="Arial" w:cs="Arial" w:eastAsia="Arial" w:hAnsi="Arial"/>
          <w:sz w:val="18"/>
          <w:szCs w:val="18"/>
          <w:b w:val="1"/>
          <w:bCs w:val="1"/>
          <w:color w:val="auto"/>
        </w:rPr>
        <w:t>Second Bluedot SPA")</w:t>
      </w:r>
      <w:r>
        <w:rPr>
          <w:rFonts w:ascii="Arial" w:cs="Arial" w:eastAsia="Arial" w:hAnsi="Arial"/>
          <w:sz w:val="18"/>
          <w:szCs w:val="18"/>
          <w:color w:val="auto"/>
        </w:rPr>
        <w:t xml:space="preserve"> in consideration of the sale of all the shares in Bluedot Innovation Pty. Ltd (such transaction being the "</w:t>
      </w:r>
      <w:r>
        <w:rPr>
          <w:rFonts w:ascii="Arial" w:cs="Arial" w:eastAsia="Arial" w:hAnsi="Arial"/>
          <w:sz w:val="18"/>
          <w:szCs w:val="18"/>
          <w:b w:val="1"/>
          <w:bCs w:val="1"/>
          <w:color w:val="auto"/>
        </w:rPr>
        <w:t>Second Bluedot</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w:t>
      </w:r>
      <w:r>
        <w:rPr>
          <w:rFonts w:ascii="Arial" w:cs="Arial" w:eastAsia="Arial" w:hAnsi="Arial"/>
          <w:sz w:val="18"/>
          <w:szCs w:val="18"/>
          <w:color w:val="auto"/>
        </w:rPr>
        <w:t>") (the First BlueDot Shares and the Second Bluedot Shares being the "</w:t>
      </w:r>
      <w:r>
        <w:rPr>
          <w:rFonts w:ascii="Arial" w:cs="Arial" w:eastAsia="Arial" w:hAnsi="Arial"/>
          <w:sz w:val="18"/>
          <w:szCs w:val="18"/>
          <w:b w:val="1"/>
          <w:bCs w:val="1"/>
          <w:color w:val="auto"/>
        </w:rPr>
        <w:t>Bluedot Shares</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First Bluedot Acquisition and the Second Bluedot Acquisition being the </w:t>
      </w:r>
      <w:r>
        <w:rPr>
          <w:rFonts w:ascii="Arial" w:cs="Arial" w:eastAsia="Arial" w:hAnsi="Arial"/>
          <w:sz w:val="18"/>
          <w:szCs w:val="18"/>
          <w:b w:val="1"/>
          <w:bCs w:val="1"/>
          <w:color w:val="auto"/>
        </w:rPr>
        <w:t>"Bluedot Acquisitions"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440" w:hanging="683"/>
        <w:spacing w:after="0" w:line="252" w:lineRule="auto"/>
        <w:tabs>
          <w:tab w:leader="none" w:pos="14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3,999,145 Ordinary Shares issued to certain sellers in connection with the acquisition by the Company of the entire issued share capital of GroupBy Inc. and GroupBy International Ltd. ("</w:t>
      </w:r>
      <w:r>
        <w:rPr>
          <w:rFonts w:ascii="Arial" w:cs="Arial" w:eastAsia="Arial" w:hAnsi="Arial"/>
          <w:sz w:val="19"/>
          <w:szCs w:val="19"/>
          <w:b w:val="1"/>
          <w:bCs w:val="1"/>
          <w:color w:val="auto"/>
        </w:rPr>
        <w:t>GroupBy Shares</w:t>
      </w:r>
      <w:r>
        <w:rPr>
          <w:rFonts w:ascii="Arial" w:cs="Arial" w:eastAsia="Arial" w:hAnsi="Arial"/>
          <w:sz w:val="19"/>
          <w:szCs w:val="19"/>
          <w:color w:val="auto"/>
        </w:rPr>
        <w:t>") pursuant to a securities purchase agreement dated 11 February 2025 and amended on 28 February 2025 ("</w:t>
      </w:r>
      <w:r>
        <w:rPr>
          <w:rFonts w:ascii="Arial" w:cs="Arial" w:eastAsia="Arial" w:hAnsi="Arial"/>
          <w:sz w:val="19"/>
          <w:szCs w:val="19"/>
          <w:b w:val="1"/>
          <w:bCs w:val="1"/>
          <w:color w:val="auto"/>
        </w:rPr>
        <w:t>GroupBy SPA</w:t>
      </w:r>
      <w:r>
        <w:rPr>
          <w:rFonts w:ascii="Arial" w:cs="Arial" w:eastAsia="Arial" w:hAnsi="Arial"/>
          <w:sz w:val="19"/>
          <w:szCs w:val="19"/>
          <w:color w:val="auto"/>
        </w:rPr>
        <w:t>"), (such transaction being the "</w:t>
      </w:r>
      <w:r>
        <w:rPr>
          <w:rFonts w:ascii="Arial" w:cs="Arial" w:eastAsia="Arial" w:hAnsi="Arial"/>
          <w:sz w:val="19"/>
          <w:szCs w:val="19"/>
          <w:b w:val="1"/>
          <w:bCs w:val="1"/>
          <w:color w:val="auto"/>
        </w:rPr>
        <w:t>GroupBy Acquisition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440" w:right="1319" w:bottom="1440" w:gutter="0" w:footer="0" w:header="0"/>
        </w:sectPr>
      </w:pPr>
    </w:p>
    <w:bookmarkStart w:id="186" w:name="page187"/>
    <w:bookmarkEnd w:id="186"/>
    <w:p>
      <w:pPr>
        <w:spacing w:after="0" w:line="320" w:lineRule="exact"/>
        <w:rPr>
          <w:sz w:val="20"/>
          <w:szCs w:val="20"/>
          <w:color w:val="auto"/>
        </w:rPr>
      </w:pPr>
    </w:p>
    <w:p>
      <w:pPr>
        <w:jc w:val="both"/>
        <w:ind w:left="743" w:hanging="743"/>
        <w:spacing w:after="0" w:line="248" w:lineRule="auto"/>
        <w:tabs>
          <w:tab w:leader="none" w:pos="74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up to 12,300,000 Ordinary Shares to be issued to (or for the benefit of) Western Alliance Bank ("</w:t>
      </w:r>
      <w:r>
        <w:rPr>
          <w:rFonts w:ascii="Arial" w:cs="Arial" w:eastAsia="Arial" w:hAnsi="Arial"/>
          <w:sz w:val="19"/>
          <w:szCs w:val="19"/>
          <w:b w:val="1"/>
          <w:bCs w:val="1"/>
          <w:color w:val="auto"/>
        </w:rPr>
        <w:t>WAB Settlement</w:t>
      </w:r>
      <w:r>
        <w:rPr>
          <w:rFonts w:ascii="Arial" w:cs="Arial" w:eastAsia="Arial" w:hAnsi="Arial"/>
          <w:sz w:val="19"/>
          <w:szCs w:val="19"/>
          <w:color w:val="auto"/>
        </w:rPr>
        <w:t xml:space="preserve"> </w:t>
      </w:r>
      <w:r>
        <w:rPr>
          <w:rFonts w:ascii="Arial" w:cs="Arial" w:eastAsia="Arial" w:hAnsi="Arial"/>
          <w:sz w:val="19"/>
          <w:szCs w:val="19"/>
          <w:b w:val="1"/>
          <w:bCs w:val="1"/>
          <w:color w:val="auto"/>
        </w:rPr>
        <w:t>Shares</w:t>
      </w:r>
      <w:r>
        <w:rPr>
          <w:rFonts w:ascii="Arial" w:cs="Arial" w:eastAsia="Arial" w:hAnsi="Arial"/>
          <w:sz w:val="19"/>
          <w:szCs w:val="19"/>
          <w:color w:val="auto"/>
        </w:rPr>
        <w:t>") in connection with the (i) novation of approximately $12.3m of debt due to such bank from the GroupBy</w:t>
      </w:r>
      <w:r>
        <w:rPr>
          <w:rFonts w:ascii="Arial" w:cs="Arial" w:eastAsia="Arial" w:hAnsi="Arial"/>
          <w:sz w:val="19"/>
          <w:szCs w:val="19"/>
          <w:b w:val="1"/>
          <w:bCs w:val="1"/>
          <w:color w:val="auto"/>
        </w:rPr>
        <w:t xml:space="preserve"> </w:t>
      </w:r>
      <w:r>
        <w:rPr>
          <w:rFonts w:ascii="Arial" w:cs="Arial" w:eastAsia="Arial" w:hAnsi="Arial"/>
          <w:sz w:val="19"/>
          <w:szCs w:val="19"/>
          <w:color w:val="auto"/>
        </w:rPr>
        <w:t>entities to the Company pursuant to a deed of novation dated 25 March 2025 ("</w:t>
      </w:r>
      <w:r>
        <w:rPr>
          <w:rFonts w:ascii="Arial" w:cs="Arial" w:eastAsia="Arial" w:hAnsi="Arial"/>
          <w:sz w:val="19"/>
          <w:szCs w:val="19"/>
          <w:b w:val="1"/>
          <w:bCs w:val="1"/>
          <w:color w:val="auto"/>
        </w:rPr>
        <w:t>Deed of Novation</w:t>
      </w:r>
      <w:r>
        <w:rPr>
          <w:rFonts w:ascii="Arial" w:cs="Arial" w:eastAsia="Arial" w:hAnsi="Arial"/>
          <w:sz w:val="19"/>
          <w:szCs w:val="19"/>
          <w:color w:val="auto"/>
        </w:rPr>
        <w:t>") and (ii) the subsequent settlement of such debt by the Company via the issue of the WAB Settlement Shares;</w:t>
      </w:r>
    </w:p>
    <w:p>
      <w:pPr>
        <w:spacing w:after="0" w:line="176" w:lineRule="exact"/>
        <w:rPr>
          <w:rFonts w:ascii="Arial" w:cs="Arial" w:eastAsia="Arial" w:hAnsi="Arial"/>
          <w:sz w:val="19"/>
          <w:szCs w:val="19"/>
          <w:color w:val="auto"/>
        </w:rPr>
      </w:pPr>
    </w:p>
    <w:p>
      <w:pPr>
        <w:jc w:val="both"/>
        <w:ind w:left="743" w:hanging="743"/>
        <w:spacing w:after="0" w:line="248" w:lineRule="auto"/>
        <w:tabs>
          <w:tab w:leader="none" w:pos="74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89,290 Ordinary Shares that may be issued to Roth Capital Partners, LLC ("</w:t>
      </w:r>
      <w:r>
        <w:rPr>
          <w:rFonts w:ascii="Arial" w:cs="Arial" w:eastAsia="Arial" w:hAnsi="Arial"/>
          <w:sz w:val="19"/>
          <w:szCs w:val="19"/>
          <w:b w:val="1"/>
          <w:bCs w:val="1"/>
          <w:color w:val="auto"/>
        </w:rPr>
        <w:t>Roth</w:t>
      </w:r>
      <w:r>
        <w:rPr>
          <w:rFonts w:ascii="Arial" w:cs="Arial" w:eastAsia="Arial" w:hAnsi="Arial"/>
          <w:sz w:val="19"/>
          <w:szCs w:val="19"/>
          <w:color w:val="auto"/>
        </w:rPr>
        <w:t>") in connection with certain services provided by Roth relating to a possible merger or other form of business combination transaction between Rezolve Limited and Armada, and pursuant to a letter dated 19 November 2023 between Roth and Rezolve Limited ("</w:t>
      </w:r>
      <w:r>
        <w:rPr>
          <w:rFonts w:ascii="Arial" w:cs="Arial" w:eastAsia="Arial" w:hAnsi="Arial"/>
          <w:sz w:val="19"/>
          <w:szCs w:val="19"/>
          <w:b w:val="1"/>
          <w:bCs w:val="1"/>
          <w:color w:val="auto"/>
        </w:rPr>
        <w:t>Roth Letter</w:t>
      </w:r>
      <w:r>
        <w:rPr>
          <w:rFonts w:ascii="Arial" w:cs="Arial" w:eastAsia="Arial" w:hAnsi="Arial"/>
          <w:sz w:val="19"/>
          <w:szCs w:val="19"/>
          <w:color w:val="auto"/>
        </w:rPr>
        <w:t>") under which Roth is entitled to additional Ordinary Shares in certain circumstances (with such Ordinary Shares that may be issued under the Roth Letter being the "</w:t>
      </w:r>
      <w:r>
        <w:rPr>
          <w:rFonts w:ascii="Arial" w:cs="Arial" w:eastAsia="Arial" w:hAnsi="Arial"/>
          <w:sz w:val="19"/>
          <w:szCs w:val="19"/>
          <w:b w:val="1"/>
          <w:bCs w:val="1"/>
          <w:color w:val="auto"/>
        </w:rPr>
        <w:t>Roth Shares</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743" w:hanging="743"/>
        <w:spacing w:after="0" w:line="252" w:lineRule="auto"/>
        <w:tabs>
          <w:tab w:leader="none" w:pos="74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800,000 Ordinary Shares to be issued pursuant to an agreement dated 7 February 2025 ("</w:t>
      </w:r>
      <w:r>
        <w:rPr>
          <w:rFonts w:ascii="Arial" w:cs="Arial" w:eastAsia="Arial" w:hAnsi="Arial"/>
          <w:sz w:val="19"/>
          <w:szCs w:val="19"/>
          <w:b w:val="1"/>
          <w:bCs w:val="1"/>
          <w:color w:val="auto"/>
        </w:rPr>
        <w:t>DBLP Settlement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between the Company, Daniel Wagner and DBLP Sea Cow Limited (Daniel Wagner and DBLP Sea</w:t>
      </w:r>
      <w:r>
        <w:rPr>
          <w:rFonts w:ascii="Arial" w:cs="Arial" w:eastAsia="Arial" w:hAnsi="Arial"/>
          <w:sz w:val="19"/>
          <w:szCs w:val="19"/>
          <w:b w:val="1"/>
          <w:bCs w:val="1"/>
          <w:color w:val="auto"/>
        </w:rPr>
        <w:t xml:space="preserve"> </w:t>
      </w:r>
      <w:r>
        <w:rPr>
          <w:rFonts w:ascii="Arial" w:cs="Arial" w:eastAsia="Arial" w:hAnsi="Arial"/>
          <w:sz w:val="19"/>
          <w:szCs w:val="19"/>
          <w:color w:val="auto"/>
        </w:rPr>
        <w:t>Cow Limited being the "</w:t>
      </w:r>
      <w:r>
        <w:rPr>
          <w:rFonts w:ascii="Arial" w:cs="Arial" w:eastAsia="Arial" w:hAnsi="Arial"/>
          <w:sz w:val="19"/>
          <w:szCs w:val="19"/>
          <w:b w:val="1"/>
          <w:bCs w:val="1"/>
          <w:color w:val="auto"/>
        </w:rPr>
        <w:t>Recipients</w:t>
      </w:r>
      <w:r>
        <w:rPr>
          <w:rFonts w:ascii="Arial" w:cs="Arial" w:eastAsia="Arial" w:hAnsi="Arial"/>
          <w:sz w:val="19"/>
          <w:szCs w:val="19"/>
          <w:color w:val="auto"/>
        </w:rPr>
        <w:t>") under which the Company agreed to settle certain loans owing by the Company to the Recipients by way of a mixture of cash and shares ("</w:t>
      </w:r>
      <w:r>
        <w:rPr>
          <w:rFonts w:ascii="Arial" w:cs="Arial" w:eastAsia="Arial" w:hAnsi="Arial"/>
          <w:sz w:val="19"/>
          <w:szCs w:val="19"/>
          <w:b w:val="1"/>
          <w:bCs w:val="1"/>
          <w:color w:val="auto"/>
        </w:rPr>
        <w:t>DBLP Settlement Shares</w:t>
      </w:r>
      <w:r>
        <w:rPr>
          <w:rFonts w:ascii="Arial" w:cs="Arial" w:eastAsia="Arial" w:hAnsi="Arial"/>
          <w:sz w:val="19"/>
          <w:szCs w:val="19"/>
          <w:color w:val="auto"/>
        </w:rPr>
        <w:t>"); and</w:t>
      </w:r>
    </w:p>
    <w:p>
      <w:pPr>
        <w:spacing w:after="0" w:line="162" w:lineRule="exact"/>
        <w:rPr>
          <w:rFonts w:ascii="Arial" w:cs="Arial" w:eastAsia="Arial" w:hAnsi="Arial"/>
          <w:sz w:val="19"/>
          <w:szCs w:val="19"/>
          <w:color w:val="auto"/>
        </w:rPr>
      </w:pPr>
    </w:p>
    <w:p>
      <w:pPr>
        <w:ind w:left="743" w:right="20" w:hanging="743"/>
        <w:spacing w:after="0" w:line="281" w:lineRule="auto"/>
        <w:tabs>
          <w:tab w:leader="none" w:pos="74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300,000 Ordinary Shares issued in satisfaction of a settlement agreement ("</w:t>
      </w:r>
      <w:r>
        <w:rPr>
          <w:rFonts w:ascii="Arial" w:cs="Arial" w:eastAsia="Arial" w:hAnsi="Arial"/>
          <w:sz w:val="19"/>
          <w:szCs w:val="19"/>
          <w:b w:val="1"/>
          <w:bCs w:val="1"/>
          <w:color w:val="auto"/>
        </w:rPr>
        <w:t>Radio Agreement</w:t>
      </w:r>
      <w:r>
        <w:rPr>
          <w:rFonts w:ascii="Arial" w:cs="Arial" w:eastAsia="Arial" w:hAnsi="Arial"/>
          <w:sz w:val="19"/>
          <w:szCs w:val="19"/>
          <w:color w:val="auto"/>
        </w:rPr>
        <w:t>") for prior arrangements in relation to ANY Lifestyle Marketing GmbH ("</w:t>
      </w:r>
      <w:r>
        <w:rPr>
          <w:rFonts w:ascii="Arial" w:cs="Arial" w:eastAsia="Arial" w:hAnsi="Arial"/>
          <w:sz w:val="19"/>
          <w:szCs w:val="19"/>
          <w:b w:val="1"/>
          <w:bCs w:val="1"/>
          <w:color w:val="auto"/>
        </w:rPr>
        <w:t>Radio Shares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494030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87" w:name="page188"/>
    <w:bookmarkEnd w:id="187"/>
    <w:p>
      <w:pPr>
        <w:spacing w:after="0" w:line="361" w:lineRule="exact"/>
        <w:rPr>
          <w:sz w:val="20"/>
          <w:szCs w:val="20"/>
          <w:color w:val="auto"/>
        </w:rPr>
      </w:pPr>
    </w:p>
    <w:p>
      <w:pPr>
        <w:ind w:left="420" w:right="40" w:hanging="748"/>
        <w:spacing w:after="0" w:line="281" w:lineRule="auto"/>
        <w:tabs>
          <w:tab w:leader="none" w:pos="400" w:val="left"/>
        </w:tabs>
        <w:rPr>
          <w:sz w:val="20"/>
          <w:szCs w:val="20"/>
          <w:color w:val="auto"/>
        </w:rPr>
      </w:pPr>
      <w:r>
        <w:rPr>
          <w:rFonts w:ascii="Arial" w:cs="Arial" w:eastAsia="Arial" w:hAnsi="Arial"/>
          <w:sz w:val="19"/>
          <w:szCs w:val="19"/>
          <w:color w:val="auto"/>
        </w:rPr>
        <w:t>1.4</w:t>
        <w:tab/>
        <w:t>For the purposes of this letter the BlueDot Shares, GroupBy Shares, the WAB Settlement Shares, the Roth Shares, DBLP Settlement Shares and the Radio Shares shall be collectively the "</w:t>
      </w:r>
      <w:r>
        <w:rPr>
          <w:rFonts w:ascii="Arial" w:cs="Arial" w:eastAsia="Arial" w:hAnsi="Arial"/>
          <w:sz w:val="19"/>
          <w:szCs w:val="19"/>
          <w:b w:val="1"/>
          <w:bCs w:val="1"/>
          <w:color w:val="auto"/>
        </w:rPr>
        <w:t>Relevant Shares</w:t>
      </w:r>
      <w:r>
        <w:rPr>
          <w:rFonts w:ascii="Arial" w:cs="Arial" w:eastAsia="Arial" w:hAnsi="Arial"/>
          <w:sz w:val="19"/>
          <w:szCs w:val="19"/>
          <w:color w:val="auto"/>
        </w:rPr>
        <w:t>".</w:t>
      </w:r>
    </w:p>
    <w:p>
      <w:pPr>
        <w:spacing w:after="0" w:line="150" w:lineRule="exact"/>
        <w:rPr>
          <w:sz w:val="20"/>
          <w:szCs w:val="20"/>
          <w:color w:val="auto"/>
        </w:rPr>
      </w:pPr>
    </w:p>
    <w:p>
      <w:pPr>
        <w:ind w:left="420" w:hanging="412"/>
        <w:spacing w:after="0"/>
        <w:tabs>
          <w:tab w:leader="none" w:pos="420" w:val="left"/>
        </w:tabs>
        <w:numPr>
          <w:ilvl w:val="0"/>
          <w:numId w:val="150"/>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ind w:left="420" w:right="20" w:hanging="748"/>
        <w:spacing w:after="0" w:line="247" w:lineRule="auto"/>
        <w:tabs>
          <w:tab w:leader="none" w:pos="400" w:val="left"/>
        </w:tabs>
        <w:rPr>
          <w:sz w:val="20"/>
          <w:szCs w:val="20"/>
          <w:color w:val="auto"/>
        </w:rPr>
      </w:pPr>
      <w:r>
        <w:rPr>
          <w:rFonts w:ascii="Arial" w:cs="Arial" w:eastAsia="Arial" w:hAnsi="Arial"/>
          <w:sz w:val="19"/>
          <w:szCs w:val="19"/>
          <w:color w:val="auto"/>
        </w:rPr>
        <w:t>2.1</w:t>
        <w:tab/>
        <w:t>This opinion letter is being furnished in connection with the Registration Statement on Form F-1 to be filed with the Commission on the date hereof under the Securities Act</w:t>
      </w:r>
    </w:p>
    <w:p>
      <w:pPr>
        <w:jc w:val="center"/>
        <w:ind w:right="-19"/>
        <w:spacing w:after="0"/>
        <w:rPr>
          <w:sz w:val="20"/>
          <w:szCs w:val="20"/>
          <w:color w:val="auto"/>
        </w:rPr>
      </w:pPr>
      <w:r>
        <w:rPr>
          <w:rFonts w:ascii="Arial" w:cs="Arial" w:eastAsia="Arial" w:hAnsi="Arial"/>
          <w:sz w:val="19"/>
          <w:szCs w:val="19"/>
          <w:color w:val="auto"/>
        </w:rPr>
        <w:t>and the Rules. We have taken instruction in this regard solely from the Company.</w:t>
      </w:r>
    </w:p>
    <w:p>
      <w:pPr>
        <w:spacing w:after="0" w:line="196" w:lineRule="exact"/>
        <w:rPr>
          <w:sz w:val="20"/>
          <w:szCs w:val="20"/>
          <w:color w:val="auto"/>
        </w:rPr>
      </w:pPr>
    </w:p>
    <w:p>
      <w:pPr>
        <w:ind w:left="420" w:right="40" w:hanging="748"/>
        <w:spacing w:after="0" w:line="270" w:lineRule="auto"/>
        <w:tabs>
          <w:tab w:leader="none" w:pos="400" w:val="left"/>
        </w:tabs>
        <w:rPr>
          <w:sz w:val="20"/>
          <w:szCs w:val="20"/>
          <w:color w:val="auto"/>
        </w:rPr>
      </w:pPr>
      <w:r>
        <w:rPr>
          <w:rFonts w:ascii="Arial" w:cs="Arial" w:eastAsia="Arial" w:hAnsi="Arial"/>
          <w:sz w:val="19"/>
          <w:szCs w:val="19"/>
          <w:color w:val="auto"/>
        </w:rPr>
        <w:t>2.2</w:t>
        <w:tab/>
        <w:t>The provision of this letter is not to be taken as implying that we owe any duty of care to anyone, including the Company, in relation to the content or the commercial and financial implications of the Registration Statement.</w:t>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8"/>
          <w:szCs w:val="18"/>
          <w:color w:val="auto"/>
        </w:rPr>
        <w:t>Nothing stated in this letter shall create the relationship of solicitor and client between us and anyone other than the Company.</w:t>
      </w:r>
    </w:p>
    <w:p>
      <w:pPr>
        <w:spacing w:after="0" w:line="214" w:lineRule="exact"/>
        <w:rPr>
          <w:sz w:val="20"/>
          <w:szCs w:val="20"/>
          <w:color w:val="auto"/>
        </w:rPr>
      </w:pPr>
    </w:p>
    <w:p>
      <w:pPr>
        <w:ind w:left="420" w:right="20" w:hanging="748"/>
        <w:spacing w:after="0" w:line="270" w:lineRule="auto"/>
        <w:tabs>
          <w:tab w:leader="none" w:pos="400" w:val="left"/>
        </w:tabs>
        <w:rPr>
          <w:sz w:val="20"/>
          <w:szCs w:val="20"/>
          <w:color w:val="auto"/>
        </w:rPr>
      </w:pPr>
      <w:r>
        <w:rPr>
          <w:rFonts w:ascii="Arial" w:cs="Arial" w:eastAsia="Arial" w:hAnsi="Arial"/>
          <w:sz w:val="19"/>
          <w:szCs w:val="19"/>
          <w:color w:val="auto"/>
        </w:rPr>
        <w:t>2.4</w:t>
        <w:tab/>
        <w:t>For the purposes of issuing this opinion, we have received a draft copy of the Registration Statement and examined the following documents:</w:t>
      </w:r>
    </w:p>
    <w:p>
      <w:pPr>
        <w:spacing w:after="0" w:line="156" w:lineRule="exact"/>
        <w:rPr>
          <w:sz w:val="20"/>
          <w:szCs w:val="20"/>
          <w:color w:val="auto"/>
        </w:rPr>
      </w:pPr>
    </w:p>
    <w:p>
      <w:pPr>
        <w:ind w:left="1500" w:hanging="743"/>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First Bluedot SPA and the Second Bluedot SPA;</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GroupBy SPA;</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Deed of Novation;</w:t>
      </w:r>
    </w:p>
    <w:p>
      <w:pPr>
        <w:spacing w:after="0" w:line="213" w:lineRule="exact"/>
        <w:rPr>
          <w:rFonts w:ascii="Arial" w:cs="Arial" w:eastAsia="Arial" w:hAnsi="Arial"/>
          <w:sz w:val="19"/>
          <w:szCs w:val="19"/>
          <w:color w:val="auto"/>
        </w:rPr>
      </w:pPr>
    </w:p>
    <w:p>
      <w:pPr>
        <w:ind w:left="1500" w:hanging="743"/>
        <w:spacing w:after="0" w:line="281" w:lineRule="auto"/>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subscription letter dated 25 March 2025 relating to the WAB Settlement Shares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Letter</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ind w:left="1500" w:hanging="743"/>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Roth Letter;</w:t>
      </w:r>
    </w:p>
    <w:p>
      <w:pPr>
        <w:spacing w:after="0" w:line="213" w:lineRule="exact"/>
        <w:rPr>
          <w:rFonts w:ascii="Arial" w:cs="Arial" w:eastAsia="Arial" w:hAnsi="Arial"/>
          <w:sz w:val="19"/>
          <w:szCs w:val="19"/>
          <w:color w:val="auto"/>
        </w:rPr>
      </w:pPr>
    </w:p>
    <w:p>
      <w:pPr>
        <w:ind w:left="1500" w:hanging="743"/>
        <w:spacing w:after="0"/>
        <w:tabs>
          <w:tab w:leader="none" w:pos="150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 copy of the DBLP 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ind w:left="1180" w:hanging="423"/>
        <w:spacing w:after="0"/>
        <w:tabs>
          <w:tab w:leader="none" w:pos="11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 copy of the Radio Agreement;</w:t>
      </w:r>
    </w:p>
    <w:p>
      <w:pPr>
        <w:spacing w:after="0" w:line="213" w:lineRule="exact"/>
        <w:rPr>
          <w:rFonts w:ascii="Arial" w:cs="Arial" w:eastAsia="Arial" w:hAnsi="Arial"/>
          <w:sz w:val="19"/>
          <w:szCs w:val="19"/>
          <w:color w:val="auto"/>
        </w:rPr>
      </w:pPr>
    </w:p>
    <w:p>
      <w:pPr>
        <w:ind w:left="1500" w:right="740" w:hanging="684"/>
        <w:spacing w:after="0" w:line="259" w:lineRule="auto"/>
        <w:tabs>
          <w:tab w:leader="none" w:pos="123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240" w:hanging="424"/>
        <w:spacing w:after="0"/>
        <w:tabs>
          <w:tab w:leader="none" w:pos="124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passed:</w:t>
      </w:r>
    </w:p>
    <w:p>
      <w:pPr>
        <w:spacing w:after="0" w:line="213" w:lineRule="exact"/>
        <w:rPr>
          <w:rFonts w:ascii="Arial" w:cs="Arial" w:eastAsia="Arial" w:hAnsi="Arial"/>
          <w:sz w:val="19"/>
          <w:szCs w:val="19"/>
          <w:color w:val="auto"/>
        </w:rPr>
      </w:pPr>
    </w:p>
    <w:p>
      <w:pPr>
        <w:ind w:left="2120" w:right="1280" w:hanging="914"/>
        <w:spacing w:after="0" w:line="270" w:lineRule="auto"/>
        <w:tabs>
          <w:tab w:leader="none" w:pos="212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on 12 February 2025 approving the First Bluedot Acquisition and the allotment and issue of the First Bluedot Shares;</w:t>
      </w:r>
    </w:p>
    <w:p>
      <w:pPr>
        <w:spacing w:after="0" w:line="156" w:lineRule="exact"/>
        <w:rPr>
          <w:rFonts w:ascii="Arial" w:cs="Arial" w:eastAsia="Arial" w:hAnsi="Arial"/>
          <w:sz w:val="19"/>
          <w:szCs w:val="19"/>
          <w:color w:val="auto"/>
        </w:rPr>
      </w:pPr>
    </w:p>
    <w:p>
      <w:pPr>
        <w:ind w:left="2100" w:right="1360" w:hanging="894"/>
        <w:spacing w:after="0" w:line="270" w:lineRule="auto"/>
        <w:tabs>
          <w:tab w:leader="none" w:pos="210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on 7 March 2025 approving the Second Bluedot Acquisition and the allotment and issue of the Second Bluedot Shares;</w:t>
      </w:r>
    </w:p>
    <w:p>
      <w:pPr>
        <w:spacing w:after="0" w:line="156" w:lineRule="exact"/>
        <w:rPr>
          <w:rFonts w:ascii="Arial" w:cs="Arial" w:eastAsia="Arial" w:hAnsi="Arial"/>
          <w:sz w:val="19"/>
          <w:szCs w:val="19"/>
          <w:color w:val="auto"/>
        </w:rPr>
      </w:pPr>
    </w:p>
    <w:p>
      <w:pPr>
        <w:ind w:left="2260" w:hanging="1054"/>
        <w:spacing w:after="0"/>
        <w:tabs>
          <w:tab w:leader="none" w:pos="226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on 13 February 2025 approving the GroupBy Acquisition;</w:t>
      </w:r>
    </w:p>
    <w:p>
      <w:pPr>
        <w:spacing w:after="0" w:line="213" w:lineRule="exact"/>
        <w:rPr>
          <w:rFonts w:ascii="Arial" w:cs="Arial" w:eastAsia="Arial" w:hAnsi="Arial"/>
          <w:sz w:val="19"/>
          <w:szCs w:val="19"/>
          <w:color w:val="auto"/>
        </w:rPr>
      </w:pPr>
    </w:p>
    <w:p>
      <w:pPr>
        <w:ind w:left="2160" w:right="740" w:hanging="954"/>
        <w:spacing w:after="0" w:line="270" w:lineRule="auto"/>
        <w:tabs>
          <w:tab w:leader="none" w:pos="216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on 21 March 2025 approving, inter alia, the issue and allotment of the shares issued as consideration under the GroupBy Acquisition and the WAB Settlement Shares; and</w:t>
      </w:r>
    </w:p>
    <w:p>
      <w:pPr>
        <w:spacing w:after="0" w:line="169" w:lineRule="exact"/>
        <w:rPr>
          <w:rFonts w:ascii="Arial" w:cs="Arial" w:eastAsia="Arial" w:hAnsi="Arial"/>
          <w:sz w:val="19"/>
          <w:szCs w:val="19"/>
          <w:color w:val="auto"/>
        </w:rPr>
      </w:pPr>
    </w:p>
    <w:p>
      <w:pPr>
        <w:jc w:val="both"/>
        <w:ind w:left="2160" w:right="740" w:hanging="954"/>
        <w:spacing w:after="0" w:line="248" w:lineRule="auto"/>
        <w:tabs>
          <w:tab w:leader="none" w:pos="216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on 6 September 2024 approving, inter alia, the issue and allotment of the Roth Shares and the granting of authority to one or more directors of the Company to execute on behalf of the Company all such documents as may be required in connection with (inter alia) the issue of shares pursuant to the Roth Letter.</w:t>
      </w:r>
    </w:p>
    <w:p>
      <w:pPr>
        <w:spacing w:after="0" w:line="163" w:lineRule="exact"/>
        <w:rPr>
          <w:sz w:val="20"/>
          <w:szCs w:val="20"/>
          <w:color w:val="auto"/>
        </w:rPr>
      </w:pPr>
    </w:p>
    <w:p>
      <w:pPr>
        <w:ind w:left="1500" w:right="18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all the Board Resolutions have been duly and validly passed;</w:t>
      </w:r>
    </w:p>
    <w:p>
      <w:pPr>
        <w:spacing w:after="0" w:line="156" w:lineRule="exact"/>
        <w:rPr>
          <w:sz w:val="20"/>
          <w:szCs w:val="20"/>
          <w:color w:val="auto"/>
        </w:rPr>
      </w:pPr>
    </w:p>
    <w:p>
      <w:pPr>
        <w:ind w:left="1180" w:hanging="423"/>
        <w:spacing w:after="0"/>
        <w:tabs>
          <w:tab w:leader="none" w:pos="11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 copy of the written resolutions of the Company dated:</w:t>
      </w:r>
    </w:p>
    <w:p>
      <w:pPr>
        <w:spacing w:after="0" w:line="214" w:lineRule="exact"/>
        <w:rPr>
          <w:sz w:val="20"/>
          <w:szCs w:val="20"/>
          <w:color w:val="auto"/>
        </w:rPr>
      </w:pPr>
    </w:p>
    <w:p>
      <w:pPr>
        <w:ind w:left="3000" w:right="360" w:hanging="746"/>
        <w:spacing w:after="0" w:line="260" w:lineRule="auto"/>
        <w:tabs>
          <w:tab w:leader="none" w:pos="3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28 July 2024 approving, inter alia, the authorisation for the directors of the Company to allot Ordinary Shares (or to grant rights to subscribe for or to convert any security into Ordinary</w:t>
      </w:r>
    </w:p>
    <w:p>
      <w:pPr>
        <w:spacing w:after="0" w:line="2" w:lineRule="exact"/>
        <w:rPr>
          <w:sz w:val="20"/>
          <w:szCs w:val="20"/>
          <w:color w:val="auto"/>
        </w:rPr>
      </w:pPr>
    </w:p>
    <w:p>
      <w:pPr>
        <w:ind w:left="3000"/>
        <w:spacing w:after="0" w:line="251" w:lineRule="auto"/>
        <w:rPr>
          <w:sz w:val="20"/>
          <w:szCs w:val="20"/>
          <w:color w:val="auto"/>
        </w:rPr>
      </w:pPr>
      <w:r>
        <w:rPr>
          <w:rFonts w:ascii="Arial" w:cs="Arial" w:eastAsia="Arial" w:hAnsi="Arial"/>
          <w:sz w:val="19"/>
          <w:szCs w:val="19"/>
          <w:color w:val="auto"/>
        </w:rPr>
        <w:t>Shares), and the disapplication of pre emptive rights for such allotment, in relation to, inter alia, additional shares having an aggregate nominal amount of up to £30,000; and</w:t>
      </w:r>
    </w:p>
    <w:p>
      <w:pPr>
        <w:spacing w:after="0" w:line="173" w:lineRule="exact"/>
        <w:rPr>
          <w:sz w:val="20"/>
          <w:szCs w:val="20"/>
          <w:color w:val="auto"/>
        </w:rPr>
      </w:pPr>
    </w:p>
    <w:p>
      <w:pPr>
        <w:ind w:left="2920" w:right="740" w:hanging="666"/>
        <w:spacing w:after="0" w:line="270" w:lineRule="auto"/>
        <w:tabs>
          <w:tab w:leader="none" w:pos="29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30 January 2025 approving, for the purpose of section 190 of the Companies Act 2006, the First Bluedot Acquisition.</w:t>
      </w:r>
    </w:p>
    <w:p>
      <w:pPr>
        <w:spacing w:after="0" w:line="156"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21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349"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2.5</w:t>
        <w:tab/>
        <w:t>We have also made:</w:t>
      </w:r>
    </w:p>
    <w:p>
      <w:pPr>
        <w:spacing w:after="0" w:line="214" w:lineRule="exact"/>
        <w:rPr>
          <w:sz w:val="20"/>
          <w:szCs w:val="20"/>
          <w:color w:val="auto"/>
        </w:rPr>
      </w:pPr>
    </w:p>
    <w:p>
      <w:pPr>
        <w:ind w:left="1440" w:right="740" w:hanging="683"/>
        <w:spacing w:after="0" w:line="270" w:lineRule="auto"/>
        <w:tabs>
          <w:tab w:leader="none" w:pos="14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14 May 2025 at 11:27 a.m. (London time); and</w:t>
      </w:r>
    </w:p>
    <w:p>
      <w:pPr>
        <w:spacing w:after="0" w:line="169" w:lineRule="exact"/>
        <w:rPr>
          <w:rFonts w:ascii="Arial" w:cs="Arial" w:eastAsia="Arial" w:hAnsi="Arial"/>
          <w:sz w:val="19"/>
          <w:szCs w:val="19"/>
          <w:color w:val="auto"/>
        </w:rPr>
      </w:pPr>
    </w:p>
    <w:p>
      <w:pPr>
        <w:jc w:val="both"/>
        <w:ind w:left="1440" w:right="740" w:hanging="683"/>
        <w:spacing w:after="0" w:line="254" w:lineRule="auto"/>
        <w:tabs>
          <w:tab w:leader="none" w:pos="14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14 May 2025 at 11:24 a.m. (London time) which revealed that as at that date no petition has been lodged for the winding-up of the Company.</w:t>
      </w:r>
    </w:p>
    <w:p>
      <w:pPr>
        <w:spacing w:after="0" w:line="170" w:lineRule="exact"/>
        <w:rPr>
          <w:sz w:val="20"/>
          <w:szCs w:val="20"/>
          <w:color w:val="auto"/>
        </w:rPr>
      </w:pPr>
    </w:p>
    <w:p>
      <w:pPr>
        <w:jc w:val="both"/>
        <w:ind w:left="760" w:right="740"/>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82" w:right="579" w:bottom="1440" w:gutter="0" w:footer="0" w:header="0"/>
        </w:sectPr>
      </w:pPr>
    </w:p>
    <w:bookmarkStart w:id="189" w:name="page190"/>
    <w:bookmarkEnd w:id="189"/>
    <w:p>
      <w:pPr>
        <w:spacing w:after="0" w:line="158" w:lineRule="exact"/>
        <w:rPr>
          <w:sz w:val="20"/>
          <w:szCs w:val="20"/>
          <w:color w:val="auto"/>
        </w:rPr>
      </w:pPr>
    </w:p>
    <w:p>
      <w:pPr>
        <w:jc w:val="both"/>
        <w:ind w:left="420" w:hanging="748"/>
        <w:spacing w:after="0" w:line="245" w:lineRule="auto"/>
        <w:tabs>
          <w:tab w:leader="none" w:pos="400" w:val="left"/>
        </w:tabs>
        <w:rPr>
          <w:sz w:val="20"/>
          <w:szCs w:val="20"/>
          <w:color w:val="auto"/>
        </w:rPr>
      </w:pPr>
      <w:r>
        <w:rPr>
          <w:rFonts w:ascii="Arial" w:cs="Arial" w:eastAsia="Arial" w:hAnsi="Arial"/>
          <w:sz w:val="19"/>
          <w:szCs w:val="19"/>
          <w:color w:val="auto"/>
        </w:rPr>
        <w:t>2.6</w:t>
        <w:tab/>
        <w:t>In relation to insolvency proceedings, the search and enquiry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94" w:lineRule="exact"/>
        <w:rPr>
          <w:sz w:val="20"/>
          <w:szCs w:val="20"/>
          <w:color w:val="auto"/>
        </w:rPr>
      </w:pPr>
    </w:p>
    <w:p>
      <w:pPr>
        <w:jc w:val="both"/>
        <w:ind w:left="420" w:hanging="748"/>
        <w:spacing w:after="0" w:line="245" w:lineRule="auto"/>
        <w:tabs>
          <w:tab w:leader="none" w:pos="400" w:val="left"/>
        </w:tabs>
        <w:rPr>
          <w:sz w:val="20"/>
          <w:szCs w:val="20"/>
          <w:color w:val="auto"/>
        </w:rPr>
      </w:pPr>
      <w:r>
        <w:rPr>
          <w:rFonts w:ascii="Arial" w:cs="Arial" w:eastAsia="Arial" w:hAnsi="Arial"/>
          <w:sz w:val="19"/>
          <w:szCs w:val="19"/>
          <w:color w:val="auto"/>
        </w:rPr>
        <w:t>2.7</w:t>
        <w:tab/>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397" w:lineRule="exact"/>
        <w:rPr>
          <w:sz w:val="20"/>
          <w:szCs w:val="20"/>
          <w:color w:val="auto"/>
        </w:rPr>
      </w:pPr>
    </w:p>
    <w:p>
      <w:pPr>
        <w:ind w:left="420" w:hanging="412"/>
        <w:spacing w:after="0"/>
        <w:tabs>
          <w:tab w:leader="none" w:pos="420" w:val="left"/>
        </w:tabs>
        <w:numPr>
          <w:ilvl w:val="0"/>
          <w:numId w:val="157"/>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420" w:right="20" w:hanging="748"/>
        <w:spacing w:after="0" w:line="270" w:lineRule="auto"/>
        <w:tabs>
          <w:tab w:leader="none" w:pos="400" w:val="left"/>
        </w:tabs>
        <w:rPr>
          <w:sz w:val="20"/>
          <w:szCs w:val="20"/>
          <w:color w:val="auto"/>
        </w:rPr>
      </w:pPr>
      <w:r>
        <w:rPr>
          <w:rFonts w:ascii="Arial" w:cs="Arial" w:eastAsia="Arial" w:hAnsi="Arial"/>
          <w:sz w:val="19"/>
          <w:szCs w:val="19"/>
          <w:color w:val="auto"/>
        </w:rPr>
        <w:t>3.1</w:t>
        <w:tab/>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ind w:left="420" w:right="40" w:hanging="748"/>
        <w:spacing w:after="0" w:line="270" w:lineRule="auto"/>
        <w:tabs>
          <w:tab w:leader="none" w:pos="400" w:val="left"/>
        </w:tabs>
        <w:rPr>
          <w:sz w:val="20"/>
          <w:szCs w:val="20"/>
          <w:color w:val="auto"/>
        </w:rPr>
      </w:pPr>
      <w:r>
        <w:rPr>
          <w:rFonts w:ascii="Arial" w:cs="Arial" w:eastAsia="Arial" w:hAnsi="Arial"/>
          <w:sz w:val="19"/>
          <w:szCs w:val="19"/>
          <w:color w:val="auto"/>
        </w:rPr>
        <w:t>3.2</w:t>
        <w:tab/>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420" w:right="20" w:hanging="748"/>
        <w:spacing w:after="0" w:line="270" w:lineRule="auto"/>
        <w:tabs>
          <w:tab w:leader="none" w:pos="400" w:val="left"/>
        </w:tabs>
        <w:rPr>
          <w:sz w:val="20"/>
          <w:szCs w:val="20"/>
          <w:color w:val="auto"/>
        </w:rPr>
      </w:pPr>
      <w:r>
        <w:rPr>
          <w:rFonts w:ascii="Arial" w:cs="Arial" w:eastAsia="Arial" w:hAnsi="Arial"/>
          <w:sz w:val="19"/>
          <w:szCs w:val="19"/>
          <w:color w:val="auto"/>
        </w:rPr>
        <w:t>3.4</w:t>
        <w:tab/>
        <w:t>We do not undertake or accept any obligation to update this letter and/or the opinions given in it to reflect subsequent changes in English law or factual matters.</w:t>
      </w:r>
    </w:p>
    <w:p>
      <w:pPr>
        <w:spacing w:after="0" w:line="143" w:lineRule="exact"/>
        <w:rPr>
          <w:sz w:val="20"/>
          <w:szCs w:val="20"/>
          <w:color w:val="auto"/>
        </w:rPr>
      </w:pPr>
    </w:p>
    <w:p>
      <w:pPr>
        <w:jc w:val="both"/>
        <w:ind w:left="420" w:right="20" w:hanging="748"/>
        <w:spacing w:after="0" w:line="270" w:lineRule="auto"/>
        <w:tabs>
          <w:tab w:leader="none" w:pos="400" w:val="left"/>
        </w:tabs>
        <w:rPr>
          <w:sz w:val="20"/>
          <w:szCs w:val="20"/>
          <w:color w:val="auto"/>
        </w:rPr>
      </w:pPr>
      <w:r>
        <w:rPr>
          <w:rFonts w:ascii="Arial" w:cs="Arial" w:eastAsia="Arial" w:hAnsi="Arial"/>
          <w:sz w:val="19"/>
          <w:szCs w:val="19"/>
          <w:color w:val="auto"/>
        </w:rPr>
        <w:t>3.5</w:t>
        <w:tab/>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420" w:hanging="748"/>
        <w:spacing w:after="0" w:line="254" w:lineRule="auto"/>
        <w:tabs>
          <w:tab w:leader="none" w:pos="400" w:val="left"/>
        </w:tabs>
        <w:rPr>
          <w:sz w:val="20"/>
          <w:szCs w:val="20"/>
          <w:color w:val="auto"/>
        </w:rPr>
      </w:pPr>
      <w:r>
        <w:rPr>
          <w:rFonts w:ascii="Arial" w:cs="Arial" w:eastAsia="Arial" w:hAnsi="Arial"/>
          <w:sz w:val="19"/>
          <w:szCs w:val="19"/>
          <w:color w:val="auto"/>
        </w:rPr>
        <w:t>3.6</w:t>
        <w:tab/>
        <w:t>We express no opinion in this letter on the laws of any jurisdiction other than England. It is assumed that no foreign law which may apply to the matters contemplated by the Registration Statement, the Company, any document or any other matter contemplated by any document would or might affect this letter and/or the opinions given in it.</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00" w:lineRule="exact"/>
        <w:rPr>
          <w:sz w:val="20"/>
          <w:szCs w:val="20"/>
          <w:color w:val="auto"/>
        </w:rPr>
      </w:pPr>
    </w:p>
    <w:p>
      <w:pPr>
        <w:ind w:left="1500" w:hanging="743"/>
        <w:spacing w:after="0" w:line="270" w:lineRule="auto"/>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500" w:right="20" w:hanging="743"/>
        <w:spacing w:after="0" w:line="270" w:lineRule="auto"/>
        <w:tabs>
          <w:tab w:leader="none" w:pos="15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500" w:hanging="743"/>
        <w:spacing w:after="0" w:line="270" w:lineRule="auto"/>
        <w:tabs>
          <w:tab w:leader="none" w:pos="15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jc w:val="both"/>
        <w:ind w:left="1500" w:hanging="743"/>
        <w:spacing w:after="0" w:line="254" w:lineRule="auto"/>
        <w:tabs>
          <w:tab w:leader="none" w:pos="150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number of Relevant Shares allotted and issued together with those to be allotted and issued as contemplated by the Registration Statement and those shares already allotted pursuant to the Corporate Approvals not being greater than the aggregate nominal value specified in the Corporate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8" w:lineRule="exact"/>
        <w:rPr>
          <w:sz w:val="20"/>
          <w:szCs w:val="20"/>
          <w:color w:val="auto"/>
        </w:rPr>
      </w:pPr>
    </w:p>
    <w:p>
      <w:pPr>
        <w:jc w:val="both"/>
        <w:ind w:left="752" w:hanging="752"/>
        <w:spacing w:after="0" w:line="248"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76" w:lineRule="exact"/>
        <w:rPr>
          <w:rFonts w:ascii="Arial" w:cs="Arial" w:eastAsia="Arial" w:hAnsi="Arial"/>
          <w:sz w:val="19"/>
          <w:szCs w:val="19"/>
          <w:color w:val="auto"/>
        </w:rPr>
      </w:pPr>
    </w:p>
    <w:p>
      <w:pPr>
        <w:jc w:val="both"/>
        <w:ind w:left="752" w:hanging="752"/>
        <w:spacing w:after="0" w:line="246"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(i) the receipt in full of payment for the Relevant Shares of not less than the aggregate nominal value plus the applicable premium for such Relevant Shares and the agreement by the allottees to become members of the Company, and (ii) in particular, in relation to the Roth Shares (and prior to the allotment and issue of the Roth Shares) Roth undertakes to pay up the aggregate nominal value for such Roth Shares and that Roth agrees that following the allotment and issue of the Roth Shares the fee arrangements in paragraph 2 of the Roth Letter shall be satisfied in full (such undertaking and agreement in (ii) being the "</w:t>
      </w:r>
      <w:r>
        <w:rPr>
          <w:rFonts w:ascii="Arial" w:cs="Arial" w:eastAsia="Arial" w:hAnsi="Arial"/>
          <w:sz w:val="19"/>
          <w:szCs w:val="19"/>
          <w:b w:val="1"/>
          <w:bCs w:val="1"/>
          <w:color w:val="auto"/>
        </w:rPr>
        <w:t>Roth Agreement</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752" w:hanging="752"/>
        <w:spacing w:after="0" w:line="242"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81" w:lineRule="exact"/>
        <w:rPr>
          <w:rFonts w:ascii="Arial" w:cs="Arial" w:eastAsia="Arial" w:hAnsi="Arial"/>
          <w:sz w:val="19"/>
          <w:szCs w:val="19"/>
          <w:color w:val="auto"/>
        </w:rPr>
      </w:pPr>
    </w:p>
    <w:p>
      <w:pPr>
        <w:ind w:left="752" w:hanging="752"/>
        <w:spacing w:after="0" w:line="270"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ind w:left="752" w:right="20" w:hanging="752"/>
        <w:spacing w:after="0" w:line="270"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7" w:lineRule="exact"/>
        <w:rPr>
          <w:rFonts w:ascii="Arial" w:cs="Arial" w:eastAsia="Arial" w:hAnsi="Arial"/>
          <w:sz w:val="19"/>
          <w:szCs w:val="19"/>
          <w:color w:val="auto"/>
        </w:rPr>
      </w:pPr>
    </w:p>
    <w:p>
      <w:pPr>
        <w:ind w:left="752" w:hanging="752"/>
        <w:spacing w:after="0"/>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213" w:lineRule="exact"/>
        <w:rPr>
          <w:rFonts w:ascii="Arial" w:cs="Arial" w:eastAsia="Arial" w:hAnsi="Arial"/>
          <w:sz w:val="19"/>
          <w:szCs w:val="19"/>
          <w:color w:val="auto"/>
        </w:rPr>
      </w:pPr>
    </w:p>
    <w:p>
      <w:pPr>
        <w:jc w:val="both"/>
        <w:ind w:left="752" w:hanging="752"/>
        <w:spacing w:after="0" w:line="254"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that for all documents submitted to us, to the extent only Rezolve Limited is a party (and not also the Company), that the obligations of the Company under such document have been validly novated from Rezolve Limited to the Company at time of the Demerger or otherwise prior to the issue and allotment of any Ordinary Shares pursuant to such document;</w:t>
      </w:r>
    </w:p>
    <w:p>
      <w:pPr>
        <w:spacing w:after="0" w:line="170" w:lineRule="exact"/>
        <w:rPr>
          <w:rFonts w:ascii="Arial" w:cs="Arial" w:eastAsia="Arial" w:hAnsi="Arial"/>
          <w:sz w:val="19"/>
          <w:szCs w:val="19"/>
          <w:color w:val="auto"/>
        </w:rPr>
      </w:pPr>
    </w:p>
    <w:p>
      <w:pPr>
        <w:ind w:left="752" w:hanging="752"/>
        <w:spacing w:after="0" w:line="281"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each date of allotment and issue of the Relevant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22" w:lineRule="exact"/>
        <w:rPr>
          <w:rFonts w:ascii="Arial" w:cs="Arial" w:eastAsia="Arial" w:hAnsi="Arial"/>
          <w:sz w:val="19"/>
          <w:szCs w:val="19"/>
          <w:color w:val="auto"/>
        </w:rPr>
      </w:pPr>
    </w:p>
    <w:p>
      <w:pPr>
        <w:jc w:val="both"/>
        <w:ind w:left="752" w:hanging="752"/>
        <w:spacing w:after="0" w:line="254"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on each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83" w:lineRule="exact"/>
        <w:rPr>
          <w:rFonts w:ascii="Arial" w:cs="Arial" w:eastAsia="Arial" w:hAnsi="Arial"/>
          <w:sz w:val="19"/>
          <w:szCs w:val="19"/>
          <w:color w:val="auto"/>
        </w:rPr>
      </w:pPr>
    </w:p>
    <w:p>
      <w:pPr>
        <w:ind w:left="752" w:hanging="752"/>
        <w:spacing w:after="0" w:line="270" w:lineRule="auto"/>
        <w:tabs>
          <w:tab w:leader="none" w:pos="75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583565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91" w:name="page192"/>
    <w:bookmarkEnd w:id="191"/>
    <w:p>
      <w:pPr>
        <w:jc w:val="both"/>
        <w:ind w:left="752"/>
        <w:spacing w:after="0" w:line="254" w:lineRule="auto"/>
        <w:rPr>
          <w:sz w:val="20"/>
          <w:szCs w:val="20"/>
          <w:color w:val="auto"/>
        </w:rPr>
      </w:pPr>
      <w:r>
        <w:rPr>
          <w:rFonts w:ascii="Arial" w:cs="Arial" w:eastAsia="Arial" w:hAnsi="Arial"/>
          <w:sz w:val="19"/>
          <w:szCs w:val="19"/>
          <w:color w:val="auto"/>
        </w:rPr>
        <w:t>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each Allotment Date;</w:t>
      </w:r>
    </w:p>
    <w:p>
      <w:pPr>
        <w:spacing w:after="0" w:line="170" w:lineRule="exact"/>
        <w:rPr>
          <w:sz w:val="20"/>
          <w:szCs w:val="20"/>
          <w:color w:val="auto"/>
        </w:rPr>
      </w:pPr>
    </w:p>
    <w:p>
      <w:pPr>
        <w:jc w:val="both"/>
        <w:ind w:left="752" w:hanging="752"/>
        <w:spacing w:after="0" w:line="242"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respect of the Board Resolutions (i) in passing such resolutions the directors of the Company were or will be acting in good faith, (ii) the transactions and other matters referred to in the Board Resolutions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5" w:lineRule="exact"/>
        <w:rPr>
          <w:rFonts w:ascii="Arial" w:cs="Arial" w:eastAsia="Arial" w:hAnsi="Arial"/>
          <w:sz w:val="19"/>
          <w:szCs w:val="19"/>
          <w:color w:val="auto"/>
        </w:rPr>
      </w:pPr>
    </w:p>
    <w:p>
      <w:pPr>
        <w:jc w:val="both"/>
        <w:ind w:left="752" w:hanging="752"/>
        <w:spacing w:after="0" w:line="248"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Relevant Shares were or will be validly passed and have not been and will not be revoked or varied and remain in full force and effect and will remain so as at each Allotment Date;</w:t>
      </w:r>
    </w:p>
    <w:p>
      <w:pPr>
        <w:spacing w:after="0" w:line="190" w:lineRule="exact"/>
        <w:rPr>
          <w:rFonts w:ascii="Arial" w:cs="Arial" w:eastAsia="Arial" w:hAnsi="Arial"/>
          <w:sz w:val="19"/>
          <w:szCs w:val="19"/>
          <w:color w:val="auto"/>
        </w:rPr>
      </w:pPr>
    </w:p>
    <w:p>
      <w:pPr>
        <w:jc w:val="both"/>
        <w:ind w:left="752" w:hanging="752"/>
        <w:spacing w:after="0" w:line="242"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752" w:hanging="752"/>
        <w:spacing w:after="0" w:line="245"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0" w:lineRule="exact"/>
        <w:rPr>
          <w:rFonts w:ascii="Arial" w:cs="Arial" w:eastAsia="Arial" w:hAnsi="Arial"/>
          <w:sz w:val="19"/>
          <w:szCs w:val="19"/>
          <w:color w:val="auto"/>
        </w:rPr>
      </w:pPr>
    </w:p>
    <w:p>
      <w:pPr>
        <w:jc w:val="both"/>
        <w:ind w:left="752" w:hanging="752"/>
        <w:spacing w:after="0" w:line="254"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752" w:right="20" w:hanging="752"/>
        <w:spacing w:after="0" w:line="254"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70" w:lineRule="exact"/>
        <w:rPr>
          <w:rFonts w:ascii="Arial" w:cs="Arial" w:eastAsia="Arial" w:hAnsi="Arial"/>
          <w:sz w:val="19"/>
          <w:szCs w:val="19"/>
          <w:color w:val="auto"/>
        </w:rPr>
      </w:pPr>
    </w:p>
    <w:p>
      <w:pPr>
        <w:ind w:left="752" w:hanging="752"/>
        <w:spacing w:after="0" w:line="270" w:lineRule="auto"/>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69" w:lineRule="exact"/>
        <w:rPr>
          <w:rFonts w:ascii="Arial" w:cs="Arial" w:eastAsia="Arial" w:hAnsi="Arial"/>
          <w:sz w:val="19"/>
          <w:szCs w:val="19"/>
          <w:color w:val="auto"/>
        </w:rPr>
      </w:pPr>
    </w:p>
    <w:p>
      <w:pPr>
        <w:ind w:left="752" w:hanging="752"/>
        <w:spacing w:after="0"/>
        <w:tabs>
          <w:tab w:leader="none" w:pos="75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2" w:right="339" w:bottom="1440" w:gutter="0" w:footer="0" w:header="0"/>
        </w:sectPr>
      </w:pPr>
    </w:p>
    <w:bookmarkStart w:id="192" w:name="page193"/>
    <w:bookmarkEnd w:id="192"/>
    <w:p>
      <w:pPr>
        <w:ind w:left="752"/>
        <w:spacing w:after="0"/>
        <w:rPr>
          <w:sz w:val="20"/>
          <w:szCs w:val="20"/>
          <w:color w:val="auto"/>
        </w:rPr>
      </w:pPr>
      <w:r>
        <w:rPr>
          <w:rFonts w:ascii="Arial" w:cs="Arial" w:eastAsia="Arial" w:hAnsi="Arial"/>
          <w:sz w:val="19"/>
          <w:szCs w:val="19"/>
          <w:color w:val="auto"/>
        </w:rPr>
        <w:t>and the authenticity of the originals;</w:t>
      </w:r>
    </w:p>
    <w:p>
      <w:pPr>
        <w:spacing w:after="0" w:line="214" w:lineRule="exact"/>
        <w:rPr>
          <w:sz w:val="20"/>
          <w:szCs w:val="20"/>
          <w:color w:val="auto"/>
        </w:rPr>
      </w:pPr>
    </w:p>
    <w:p>
      <w:pPr>
        <w:ind w:left="412" w:hanging="412"/>
        <w:spacing w:after="0"/>
        <w:tabs>
          <w:tab w:leader="none" w:pos="41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412" w:hanging="412"/>
        <w:spacing w:after="0"/>
        <w:tabs>
          <w:tab w:leader="none" w:pos="412"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213" w:lineRule="exact"/>
        <w:rPr>
          <w:rFonts w:ascii="Arial" w:cs="Arial" w:eastAsia="Arial" w:hAnsi="Arial"/>
          <w:sz w:val="19"/>
          <w:szCs w:val="19"/>
          <w:color w:val="auto"/>
        </w:rPr>
      </w:pPr>
    </w:p>
    <w:p>
      <w:pPr>
        <w:ind w:left="1492" w:hanging="968"/>
        <w:spacing w:after="0" w:line="270"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42" w:lineRule="exact"/>
        <w:rPr>
          <w:rFonts w:ascii="Arial" w:cs="Arial" w:eastAsia="Arial" w:hAnsi="Arial"/>
          <w:sz w:val="19"/>
          <w:szCs w:val="19"/>
          <w:color w:val="auto"/>
        </w:rPr>
      </w:pPr>
    </w:p>
    <w:p>
      <w:pPr>
        <w:ind w:left="1492" w:hanging="968"/>
        <w:spacing w:after="0"/>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213" w:lineRule="exact"/>
        <w:rPr>
          <w:rFonts w:ascii="Arial" w:cs="Arial" w:eastAsia="Arial" w:hAnsi="Arial"/>
          <w:sz w:val="19"/>
          <w:szCs w:val="19"/>
          <w:color w:val="auto"/>
        </w:rPr>
      </w:pPr>
    </w:p>
    <w:p>
      <w:pPr>
        <w:ind w:left="1492" w:hanging="968"/>
        <w:spacing w:after="0" w:line="270"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56" w:lineRule="exact"/>
        <w:rPr>
          <w:rFonts w:ascii="Arial" w:cs="Arial" w:eastAsia="Arial" w:hAnsi="Arial"/>
          <w:sz w:val="19"/>
          <w:szCs w:val="19"/>
          <w:color w:val="auto"/>
        </w:rPr>
      </w:pPr>
    </w:p>
    <w:p>
      <w:pPr>
        <w:jc w:val="both"/>
        <w:ind w:left="1492" w:hanging="968"/>
        <w:spacing w:after="0" w:line="254"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83" w:lineRule="exact"/>
        <w:rPr>
          <w:rFonts w:ascii="Arial" w:cs="Arial" w:eastAsia="Arial" w:hAnsi="Arial"/>
          <w:sz w:val="19"/>
          <w:szCs w:val="19"/>
          <w:color w:val="auto"/>
        </w:rPr>
      </w:pPr>
    </w:p>
    <w:p>
      <w:pPr>
        <w:jc w:val="both"/>
        <w:ind w:left="1492" w:hanging="968"/>
        <w:spacing w:after="0" w:line="254"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1492" w:hanging="968"/>
        <w:spacing w:after="0" w:line="270"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1492" w:right="20" w:hanging="968"/>
        <w:spacing w:after="0" w:line="270" w:lineRule="auto"/>
        <w:tabs>
          <w:tab w:leader="none" w:pos="149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21" w:lineRule="exact"/>
        <w:rPr>
          <w:rFonts w:ascii="Arial" w:cs="Arial" w:eastAsia="Arial" w:hAnsi="Arial"/>
          <w:sz w:val="19"/>
          <w:szCs w:val="19"/>
          <w:color w:val="auto"/>
        </w:rPr>
      </w:pPr>
    </w:p>
    <w:p>
      <w:pPr>
        <w:ind w:left="752" w:hanging="752"/>
        <w:spacing w:after="0" w:line="242" w:lineRule="auto"/>
        <w:tabs>
          <w:tab w:leader="none" w:pos="42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1" w:lineRule="exact"/>
        <w:rPr>
          <w:rFonts w:ascii="Arial" w:cs="Arial" w:eastAsia="Arial" w:hAnsi="Arial"/>
          <w:sz w:val="19"/>
          <w:szCs w:val="19"/>
          <w:color w:val="auto"/>
        </w:rPr>
      </w:pPr>
    </w:p>
    <w:p>
      <w:pPr>
        <w:ind w:left="752" w:hanging="752"/>
        <w:spacing w:after="0" w:line="243" w:lineRule="auto"/>
        <w:tabs>
          <w:tab w:leader="none" w:pos="42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593090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2" w:right="339" w:bottom="1440" w:gutter="0" w:footer="0" w:header="0"/>
        </w:sectPr>
      </w:pPr>
    </w:p>
    <w:bookmarkStart w:id="193" w:name="page194"/>
    <w:bookmarkEnd w:id="193"/>
    <w:p>
      <w:pPr>
        <w:ind w:left="1492" w:hanging="690"/>
        <w:spacing w:after="0" w:line="254" w:lineRule="auto"/>
        <w:tabs>
          <w:tab w:leader="none" w:pos="121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3.8(x) or any other insolvency procedure has occurred in respect of the Company in a country other than England and that no steps have been taken to subject either of them to such a procedure;</w:t>
      </w:r>
    </w:p>
    <w:p>
      <w:pPr>
        <w:spacing w:after="0" w:line="183" w:lineRule="exact"/>
        <w:rPr>
          <w:rFonts w:ascii="Arial" w:cs="Arial" w:eastAsia="Arial" w:hAnsi="Arial"/>
          <w:sz w:val="19"/>
          <w:szCs w:val="19"/>
          <w:color w:val="auto"/>
        </w:rPr>
      </w:pPr>
    </w:p>
    <w:p>
      <w:pPr>
        <w:ind w:left="1492" w:hanging="690"/>
        <w:spacing w:after="0" w:line="248" w:lineRule="auto"/>
        <w:tabs>
          <w:tab w:leader="none" w:pos="1217"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76" w:lineRule="exact"/>
        <w:rPr>
          <w:rFonts w:ascii="Arial" w:cs="Arial" w:eastAsia="Arial" w:hAnsi="Arial"/>
          <w:sz w:val="19"/>
          <w:szCs w:val="19"/>
          <w:color w:val="auto"/>
        </w:rPr>
      </w:pPr>
    </w:p>
    <w:p>
      <w:pPr>
        <w:ind w:left="1172" w:hanging="423"/>
        <w:spacing w:after="0"/>
        <w:tabs>
          <w:tab w:leader="none" w:pos="117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Radio Shares were issued and allotted on 12 February 2025;</w:t>
      </w:r>
    </w:p>
    <w:p>
      <w:pPr>
        <w:spacing w:after="0" w:line="213" w:lineRule="exact"/>
        <w:rPr>
          <w:rFonts w:ascii="Arial" w:cs="Arial" w:eastAsia="Arial" w:hAnsi="Arial"/>
          <w:sz w:val="19"/>
          <w:szCs w:val="19"/>
          <w:color w:val="auto"/>
        </w:rPr>
      </w:pPr>
    </w:p>
    <w:p>
      <w:pPr>
        <w:ind w:left="1492" w:hanging="690"/>
        <w:spacing w:after="0" w:line="248" w:lineRule="auto"/>
        <w:tabs>
          <w:tab w:leader="none" w:pos="1217"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are, was at the relevant time and will be at all relevant times in compliance with all applicable requirements of that Act and any regulations or rules made under that Act;</w:t>
      </w:r>
    </w:p>
    <w:p>
      <w:pPr>
        <w:spacing w:after="0" w:line="176" w:lineRule="exact"/>
        <w:rPr>
          <w:rFonts w:ascii="Arial" w:cs="Arial" w:eastAsia="Arial" w:hAnsi="Arial"/>
          <w:sz w:val="19"/>
          <w:szCs w:val="19"/>
          <w:color w:val="auto"/>
        </w:rPr>
      </w:pPr>
    </w:p>
    <w:p>
      <w:pPr>
        <w:ind w:left="1492" w:right="20" w:hanging="690"/>
        <w:spacing w:after="0" w:line="270" w:lineRule="auto"/>
        <w:tabs>
          <w:tab w:leader="none" w:pos="1217" w:val="left"/>
        </w:tabs>
        <w:numPr>
          <w:ilvl w:val="1"/>
          <w:numId w:val="164"/>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sz w:val="20"/>
          <w:szCs w:val="20"/>
          <w:color w:val="auto"/>
        </w:rPr>
      </w:pPr>
    </w:p>
    <w:p>
      <w:pPr>
        <w:ind w:left="1492" w:right="3520" w:hanging="743"/>
        <w:spacing w:after="0" w:line="285" w:lineRule="auto"/>
        <w:tabs>
          <w:tab w:leader="none" w:pos="116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42" w:lineRule="exact"/>
        <w:rPr>
          <w:rFonts w:ascii="Arial" w:cs="Arial" w:eastAsia="Arial" w:hAnsi="Arial"/>
          <w:sz w:val="19"/>
          <w:szCs w:val="19"/>
          <w:color w:val="auto"/>
        </w:rPr>
      </w:pPr>
    </w:p>
    <w:p>
      <w:pPr>
        <w:ind w:left="1492" w:right="20" w:hanging="690"/>
        <w:spacing w:after="0" w:line="270" w:lineRule="auto"/>
        <w:tabs>
          <w:tab w:leader="none" w:pos="1217" w:val="left"/>
        </w:tabs>
        <w:numPr>
          <w:ilvl w:val="2"/>
          <w:numId w:val="165"/>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492" w:hanging="690"/>
        <w:spacing w:after="0" w:line="270" w:lineRule="auto"/>
        <w:tabs>
          <w:tab w:leader="none" w:pos="1217" w:val="left"/>
        </w:tabs>
        <w:numPr>
          <w:ilvl w:val="2"/>
          <w:numId w:val="165"/>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 to in paragraph 2.5 since we made them.</w:t>
      </w:r>
    </w:p>
    <w:p>
      <w:pPr>
        <w:spacing w:after="0" w:line="372" w:lineRule="exact"/>
        <w:rPr>
          <w:rFonts w:ascii="Arial" w:cs="Arial" w:eastAsia="Arial" w:hAnsi="Arial"/>
          <w:sz w:val="19"/>
          <w:szCs w:val="19"/>
          <w:color w:val="auto"/>
        </w:rPr>
      </w:pPr>
    </w:p>
    <w:p>
      <w:pPr>
        <w:ind w:left="412" w:hanging="412"/>
        <w:spacing w:after="0"/>
        <w:tabs>
          <w:tab w:leader="none" w:pos="412" w:val="left"/>
        </w:tabs>
        <w:numPr>
          <w:ilvl w:val="0"/>
          <w:numId w:val="166"/>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27" w:lineRule="exact"/>
        <w:rPr>
          <w:sz w:val="20"/>
          <w:szCs w:val="20"/>
          <w:color w:val="auto"/>
        </w:rPr>
      </w:pPr>
    </w:p>
    <w:p>
      <w:pPr>
        <w:ind w:left="412" w:right="20" w:hanging="748"/>
        <w:spacing w:after="0" w:line="270" w:lineRule="auto"/>
        <w:tabs>
          <w:tab w:leader="none" w:pos="392" w:val="left"/>
        </w:tabs>
        <w:rPr>
          <w:sz w:val="20"/>
          <w:szCs w:val="20"/>
          <w:color w:val="auto"/>
        </w:rPr>
      </w:pPr>
      <w:r>
        <w:rPr>
          <w:rFonts w:ascii="Arial" w:cs="Arial" w:eastAsia="Arial" w:hAnsi="Arial"/>
          <w:sz w:val="19"/>
          <w:szCs w:val="19"/>
          <w:color w:val="auto"/>
        </w:rPr>
        <w:t>4.1</w:t>
        <w:tab/>
        <w:t>On the basis of the above assumptions (and subject to the reservations and qualifications set out herein and to any matters not disclosed to us) we are of the opinion that as at today’s date:</w:t>
      </w:r>
    </w:p>
    <w:p>
      <w:pPr>
        <w:spacing w:after="0" w:line="143" w:lineRule="exact"/>
        <w:rPr>
          <w:sz w:val="20"/>
          <w:szCs w:val="20"/>
          <w:color w:val="auto"/>
        </w:rPr>
      </w:pPr>
    </w:p>
    <w:p>
      <w:pPr>
        <w:ind w:left="1492" w:hanging="743"/>
        <w:spacing w:after="0"/>
        <w:tabs>
          <w:tab w:leader="none" w:pos="14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Bluedot Shares have been duly and validly authorized and issued, fully paid or credited as fully paid;</w:t>
      </w:r>
    </w:p>
    <w:p>
      <w:pPr>
        <w:spacing w:after="0" w:line="213" w:lineRule="exact"/>
        <w:rPr>
          <w:rFonts w:ascii="Arial" w:cs="Arial" w:eastAsia="Arial" w:hAnsi="Arial"/>
          <w:sz w:val="19"/>
          <w:szCs w:val="19"/>
          <w:color w:val="auto"/>
        </w:rPr>
      </w:pPr>
    </w:p>
    <w:p>
      <w:pPr>
        <w:ind w:left="1492" w:hanging="743"/>
        <w:spacing w:after="0"/>
        <w:tabs>
          <w:tab w:leader="none" w:pos="14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GroupBy Shares have been duly and validly authorized and issued, fully paid or credited as fully paid;</w:t>
      </w:r>
    </w:p>
    <w:p>
      <w:pPr>
        <w:spacing w:after="0" w:line="213" w:lineRule="exact"/>
        <w:rPr>
          <w:rFonts w:ascii="Arial" w:cs="Arial" w:eastAsia="Arial" w:hAnsi="Arial"/>
          <w:sz w:val="19"/>
          <w:szCs w:val="19"/>
          <w:color w:val="auto"/>
        </w:rPr>
      </w:pPr>
    </w:p>
    <w:p>
      <w:pPr>
        <w:jc w:val="both"/>
        <w:ind w:left="1492" w:right="20" w:hanging="743"/>
        <w:spacing w:after="0" w:line="254" w:lineRule="auto"/>
        <w:tabs>
          <w:tab w:leader="none" w:pos="14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WAB Settlement Shares will, when registered in the name of the recipient in the register of members of the Company and when issued pursuant to the terms of the Subscription Letter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492" w:hanging="743"/>
        <w:spacing w:after="0" w:line="254" w:lineRule="auto"/>
        <w:tabs>
          <w:tab w:leader="none" w:pos="14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Roth Shares will, when registered in the name of the recipient in the register of members of the Company and when issued pursuant to the terms of the Roth Letter and Roth Agreement be duly and validly authorised and issued, fully paid or credited as fully paid;</w:t>
      </w:r>
    </w:p>
    <w:p>
      <w:pPr>
        <w:spacing w:after="0" w:line="170" w:lineRule="exact"/>
        <w:rPr>
          <w:rFonts w:ascii="Arial" w:cs="Arial" w:eastAsia="Arial" w:hAnsi="Arial"/>
          <w:sz w:val="19"/>
          <w:szCs w:val="19"/>
          <w:color w:val="auto"/>
        </w:rPr>
      </w:pPr>
    </w:p>
    <w:p>
      <w:pPr>
        <w:jc w:val="both"/>
        <w:ind w:left="1492" w:hanging="743"/>
        <w:spacing w:after="0" w:line="254" w:lineRule="auto"/>
        <w:tabs>
          <w:tab w:leader="none" w:pos="149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DBLP Settlement Shares will, when registered in the name of the recipient in the register of members of the Company and when issued pursuant to the terms of the DBLP Settlement Agreement be duly and validly authorised and issued, fully paid or credited as fully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68" w:right="339" w:bottom="1440" w:gutter="0" w:footer="0" w:header="0"/>
        </w:sectPr>
      </w:pPr>
    </w:p>
    <w:bookmarkStart w:id="194" w:name="page195"/>
    <w:bookmarkEnd w:id="194"/>
    <w:p>
      <w:pPr>
        <w:ind w:left="1162" w:hanging="414"/>
        <w:spacing w:after="0"/>
        <w:tabs>
          <w:tab w:leader="none" w:pos="116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Radio Shares have been duly and validly authorised and issued, fully paid or credited as fully paid.</w:t>
      </w:r>
    </w:p>
    <w:p>
      <w:pPr>
        <w:spacing w:after="0" w:line="213" w:lineRule="exact"/>
        <w:rPr>
          <w:rFonts w:ascii="Arial" w:cs="Arial" w:eastAsia="Arial" w:hAnsi="Arial"/>
          <w:sz w:val="19"/>
          <w:szCs w:val="19"/>
          <w:color w:val="auto"/>
        </w:rPr>
      </w:pPr>
    </w:p>
    <w:p>
      <w:pPr>
        <w:ind w:left="362" w:hanging="362"/>
        <w:spacing w:after="0"/>
        <w:tabs>
          <w:tab w:leader="none" w:pos="362"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ind w:left="422"/>
        <w:spacing w:after="0"/>
        <w:tabs>
          <w:tab w:leader="none" w:pos="822"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8"/>
          <w:szCs w:val="18"/>
          <w:color w:val="auto"/>
        </w:rPr>
        <w:t>We express no opinion as to any agreement, instrument or other document other than</w:t>
      </w:r>
    </w:p>
    <w:p>
      <w:pPr>
        <w:spacing w:after="0" w:line="16" w:lineRule="exact"/>
        <w:rPr>
          <w:sz w:val="20"/>
          <w:szCs w:val="20"/>
          <w:color w:val="auto"/>
        </w:rPr>
      </w:pPr>
    </w:p>
    <w:p>
      <w:pPr>
        <w:jc w:val="both"/>
        <w:ind w:left="742" w:right="20"/>
        <w:spacing w:after="0" w:line="251" w:lineRule="auto"/>
        <w:rPr>
          <w:sz w:val="20"/>
          <w:szCs w:val="20"/>
          <w:color w:val="auto"/>
        </w:rPr>
      </w:pPr>
      <w:r>
        <w:rPr>
          <w:rFonts w:ascii="Arial" w:cs="Arial" w:eastAsia="Arial" w:hAnsi="Arial"/>
          <w:sz w:val="19"/>
          <w:szCs w:val="19"/>
          <w:color w:val="auto"/>
        </w:rPr>
        <w:t>as specified in this letter or as to any liability to tax or duty which may arise or be suffered as a result of or in connection with the transactions contemplated by the Registration Statement.</w:t>
      </w:r>
    </w:p>
    <w:p>
      <w:pPr>
        <w:spacing w:after="0" w:line="173" w:lineRule="exact"/>
        <w:rPr>
          <w:sz w:val="20"/>
          <w:szCs w:val="20"/>
          <w:color w:val="auto"/>
        </w:rPr>
      </w:pPr>
    </w:p>
    <w:p>
      <w:pPr>
        <w:ind w:left="422"/>
        <w:spacing w:after="0"/>
        <w:tabs>
          <w:tab w:leader="none" w:pos="822"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color w:val="auto"/>
        </w:rPr>
        <w:t>This letter only applies to those facts and circumstances which exist as at today’s date</w:t>
      </w:r>
    </w:p>
    <w:p>
      <w:pPr>
        <w:spacing w:after="0" w:line="16" w:lineRule="exact"/>
        <w:rPr>
          <w:sz w:val="20"/>
          <w:szCs w:val="20"/>
          <w:color w:val="auto"/>
        </w:rPr>
      </w:pPr>
    </w:p>
    <w:p>
      <w:pPr>
        <w:jc w:val="both"/>
        <w:ind w:left="742"/>
        <w:spacing w:after="0" w:line="241" w:lineRule="auto"/>
        <w:rPr>
          <w:sz w:val="20"/>
          <w:szCs w:val="20"/>
          <w:color w:val="auto"/>
        </w:rPr>
      </w:pPr>
      <w:r>
        <w:rPr>
          <w:rFonts w:ascii="Arial" w:cs="Arial" w:eastAsia="Arial" w:hAnsi="Arial"/>
          <w:sz w:val="19"/>
          <w:szCs w:val="19"/>
          <w:color w:val="auto"/>
        </w:rPr>
        <w:t>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w:t>
      </w:r>
    </w:p>
    <w:p>
      <w:pPr>
        <w:spacing w:after="0" w:line="200" w:lineRule="exact"/>
        <w:rPr>
          <w:sz w:val="20"/>
          <w:szCs w:val="20"/>
          <w:color w:val="auto"/>
        </w:rPr>
      </w:pPr>
    </w:p>
    <w:p>
      <w:pPr>
        <w:spacing w:after="0" w:line="214" w:lineRule="exact"/>
        <w:rPr>
          <w:sz w:val="20"/>
          <w:szCs w:val="20"/>
          <w:color w:val="auto"/>
        </w:rPr>
      </w:pPr>
    </w:p>
    <w:p>
      <w:pPr>
        <w:ind w:left="362" w:hanging="362"/>
        <w:spacing w:after="0"/>
        <w:tabs>
          <w:tab w:leader="none" w:pos="362" w:val="left"/>
        </w:tabs>
        <w:numPr>
          <w:ilvl w:val="0"/>
          <w:numId w:val="170"/>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00" w:lineRule="exact"/>
        <w:rPr>
          <w:sz w:val="20"/>
          <w:szCs w:val="20"/>
          <w:color w:val="auto"/>
        </w:rPr>
      </w:pPr>
    </w:p>
    <w:p>
      <w:pPr>
        <w:ind w:left="422"/>
        <w:spacing w:after="0"/>
        <w:tabs>
          <w:tab w:leader="none" w:pos="822"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8"/>
          <w:szCs w:val="18"/>
          <w:color w:val="auto"/>
        </w:rPr>
        <w:t>This letter is rendered to you for your benefit in connection with the Registration</w:t>
      </w:r>
    </w:p>
    <w:p>
      <w:pPr>
        <w:spacing w:after="0" w:line="29" w:lineRule="exact"/>
        <w:rPr>
          <w:sz w:val="20"/>
          <w:szCs w:val="20"/>
          <w:color w:val="auto"/>
        </w:rPr>
      </w:pPr>
    </w:p>
    <w:p>
      <w:pPr>
        <w:jc w:val="both"/>
        <w:ind w:left="742"/>
        <w:spacing w:after="0" w:line="241" w:lineRule="auto"/>
        <w:rPr>
          <w:sz w:val="20"/>
          <w:szCs w:val="20"/>
          <w:color w:val="auto"/>
        </w:rPr>
      </w:pPr>
      <w:r>
        <w:rPr>
          <w:rFonts w:ascii="Arial" w:cs="Arial" w:eastAsia="Arial" w:hAnsi="Arial"/>
          <w:sz w:val="19"/>
          <w:szCs w:val="19"/>
          <w:color w:val="auto"/>
        </w:rPr>
        <w:t>Statement. We consent to the filing of this letter as an exhibit to the Registration Statement.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4" w:lineRule="exact"/>
        <w:rPr>
          <w:sz w:val="20"/>
          <w:szCs w:val="20"/>
          <w:color w:val="auto"/>
        </w:rPr>
      </w:pPr>
    </w:p>
    <w:p>
      <w:pPr>
        <w:ind w:left="422"/>
        <w:spacing w:after="0"/>
        <w:tabs>
          <w:tab w:leader="none" w:pos="822"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color w:val="auto"/>
        </w:rPr>
        <w:t>Other than for the purpose set out in the prior paragraph, this letter may not be relied</w:t>
      </w:r>
    </w:p>
    <w:p>
      <w:pPr>
        <w:spacing w:after="0" w:line="16" w:lineRule="exact"/>
        <w:rPr>
          <w:sz w:val="20"/>
          <w:szCs w:val="20"/>
          <w:color w:val="auto"/>
        </w:rPr>
      </w:pPr>
    </w:p>
    <w:p>
      <w:pPr>
        <w:ind w:left="742"/>
        <w:spacing w:after="0"/>
        <w:rPr>
          <w:sz w:val="20"/>
          <w:szCs w:val="20"/>
          <w:color w:val="auto"/>
        </w:rPr>
      </w:pPr>
      <w:r>
        <w:rPr>
          <w:rFonts w:ascii="Arial" w:cs="Arial" w:eastAsia="Arial" w:hAnsi="Arial"/>
          <w:sz w:val="19"/>
          <w:szCs w:val="19"/>
          <w:color w:val="auto"/>
        </w:rPr>
        <w:t>upon, or assigned, for any purpose, without our prior written consent, which may be granted or withheld in our discretion.</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109855</wp:posOffset>
            </wp:positionV>
            <wp:extent cx="2237105" cy="4800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6">
                      <a:extLst>
                        <a:ext uri="{28A0092B-C50C-407E-A947-70E740481C1C}"/>
                      </a:extLst>
                    </a:blip>
                    <a:srcRect/>
                    <a:stretch>
                      <a:fillRect/>
                    </a:stretch>
                  </pic:blipFill>
                  <pic:spPr bwMode="auto">
                    <a:xfrm>
                      <a:off x="0" y="0"/>
                      <a:ext cx="22371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2531745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2"/>
          </w:cols>
          <w:pgMar w:left="478" w:top="1382" w:right="339" w:bottom="1440" w:gutter="0" w:footer="0" w:header="0"/>
        </w:sectPr>
      </w:pPr>
    </w:p>
    <w:bookmarkStart w:id="195" w:name="page196"/>
    <w:bookmarkEnd w:id="195"/>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inclusion in this Registration Statement on Form F-1 of our report dated April 23,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inclusion Registration Statement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97" w:name="page198"/>
    <w:bookmarkEnd w:id="197"/>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4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Form F-1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 Type)</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REZOLVE AI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CALCULATION OF REGISTRATION FEE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60" w:type="dxa"/>
            <w:vAlign w:val="bottom"/>
            <w:tcBorders>
              <w:top w:val="single" w:sz="8" w:color="auto"/>
              <w:right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25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Proposed Maximum Offering Price per</w:t>
            </w:r>
          </w:p>
        </w:tc>
        <w:tc>
          <w:tcPr>
            <w:tcW w:w="24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Proposed Maximum Aggregate Offering</w:t>
            </w: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60" w:type="dxa"/>
            <w:vAlign w:val="bottom"/>
            <w:tcBorders>
              <w:right w:val="single" w:sz="8" w:color="auto"/>
            </w:tcBorders>
            <w:vMerge w:val="restart"/>
          </w:tcPr>
          <w:p>
            <w:pPr>
              <w:ind w:left="1020"/>
              <w:spacing w:after="0"/>
              <w:rPr>
                <w:sz w:val="20"/>
                <w:szCs w:val="20"/>
                <w:color w:val="auto"/>
              </w:rPr>
            </w:pPr>
            <w:r>
              <w:rPr>
                <w:rFonts w:ascii="Times New Roman" w:cs="Times New Roman" w:eastAsia="Times New Roman" w:hAnsi="Times New Roman"/>
                <w:sz w:val="13"/>
                <w:szCs w:val="13"/>
                <w:color w:val="auto"/>
              </w:rPr>
              <w:t>Title of Each Class of</w:t>
            </w:r>
          </w:p>
        </w:tc>
        <w:tc>
          <w:tcPr>
            <w:tcW w:w="16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 xml:space="preserve">Amount to be registered </w:t>
            </w:r>
            <w:r>
              <w:rPr>
                <w:rFonts w:ascii="Times New Roman" w:cs="Times New Roman" w:eastAsia="Times New Roman" w:hAnsi="Times New Roman"/>
                <w:sz w:val="8"/>
                <w:szCs w:val="8"/>
                <w:color w:val="auto"/>
              </w:rPr>
              <w:t>(1)</w:t>
            </w:r>
          </w:p>
        </w:tc>
        <w:tc>
          <w:tcPr>
            <w:tcW w:w="2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60" w:type="dxa"/>
            <w:vAlign w:val="bottom"/>
            <w:tcBorders>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73"/>
        </w:trPr>
        <w:tc>
          <w:tcPr>
            <w:tcW w:w="346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Securities to be Registered</w:t>
            </w:r>
          </w:p>
        </w:tc>
        <w:tc>
          <w:tcPr>
            <w:tcW w:w="168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tcPr>
          <w:p>
            <w:pPr>
              <w:spacing w:after="0"/>
              <w:rPr>
                <w:sz w:val="15"/>
                <w:szCs w:val="15"/>
                <w:color w:val="auto"/>
              </w:rPr>
            </w:pPr>
          </w:p>
        </w:tc>
        <w:tc>
          <w:tcPr>
            <w:tcW w:w="2400" w:type="dxa"/>
            <w:vAlign w:val="bottom"/>
            <w:tcBorders>
              <w:right w:val="single" w:sz="8" w:color="auto"/>
            </w:tcBorders>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Registration Fee</w:t>
            </w:r>
          </w:p>
        </w:tc>
        <w:tc>
          <w:tcPr>
            <w:tcW w:w="0" w:type="dxa"/>
            <w:vAlign w:val="bottom"/>
          </w:tcPr>
          <w:p>
            <w:pPr>
              <w:spacing w:after="0"/>
              <w:rPr>
                <w:sz w:val="1"/>
                <w:szCs w:val="1"/>
                <w:color w:val="auto"/>
              </w:rPr>
            </w:pPr>
          </w:p>
        </w:tc>
      </w:tr>
      <w:tr>
        <w:trPr>
          <w:trHeight w:val="57"/>
        </w:trPr>
        <w:tc>
          <w:tcPr>
            <w:tcW w:w="346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25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Secondary Offering Ordinary Shares</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20,249,283</w:t>
            </w:r>
          </w:p>
        </w:tc>
        <w:tc>
          <w:tcPr>
            <w:tcW w:w="2500" w:type="dxa"/>
            <w:vAlign w:val="bottom"/>
            <w:tcBorders>
              <w:bottom w:val="single" w:sz="8" w:color="auto"/>
              <w:right w:val="single" w:sz="8" w:color="auto"/>
            </w:tcBorders>
          </w:tcPr>
          <w:p>
            <w:pPr>
              <w:jc w:val="right"/>
              <w:ind w:right="1766"/>
              <w:spacing w:after="0"/>
              <w:rPr>
                <w:sz w:val="20"/>
                <w:szCs w:val="20"/>
                <w:color w:val="auto"/>
              </w:rPr>
            </w:pPr>
            <w:r>
              <w:rPr>
                <w:rFonts w:ascii="Times New Roman" w:cs="Times New Roman" w:eastAsia="Times New Roman" w:hAnsi="Times New Roman"/>
                <w:sz w:val="16"/>
                <w:szCs w:val="16"/>
                <w:color w:val="auto"/>
              </w:rPr>
              <w:t xml:space="preserve">$2.14 </w:t>
            </w:r>
            <w:r>
              <w:rPr>
                <w:rFonts w:ascii="Times New Roman" w:cs="Times New Roman" w:eastAsia="Times New Roman" w:hAnsi="Times New Roman"/>
                <w:sz w:val="10"/>
                <w:szCs w:val="10"/>
                <w:color w:val="auto"/>
              </w:rPr>
              <w:t>(2)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$43,333,465.62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$6,634.35</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$43,333,465.62</w:t>
            </w: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$6,634.35</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Fees Previously Paid</w:t>
            </w:r>
          </w:p>
        </w:tc>
        <w:tc>
          <w:tcPr>
            <w:tcW w:w="16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Registration Fee Due</w:t>
            </w:r>
          </w:p>
        </w:tc>
        <w:tc>
          <w:tcPr>
            <w:tcW w:w="168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$6,634.35</w:t>
            </w:r>
          </w:p>
        </w:tc>
        <w:tc>
          <w:tcPr>
            <w:tcW w:w="0" w:type="dxa"/>
            <w:vAlign w:val="bottom"/>
          </w:tcPr>
          <w:p>
            <w:pPr>
              <w:spacing w:after="0"/>
              <w:rPr>
                <w:sz w:val="1"/>
                <w:szCs w:val="1"/>
                <w:color w:val="auto"/>
              </w:rPr>
            </w:pPr>
          </w:p>
        </w:tc>
      </w:tr>
      <w:tr>
        <w:trPr>
          <w:trHeight w:val="559"/>
        </w:trPr>
        <w:tc>
          <w:tcPr>
            <w:tcW w:w="34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500" w:type="dxa"/>
            <w:vAlign w:val="bottom"/>
            <w:tcBorders>
              <w:bottom w:val="single" w:sz="8" w:color="auto"/>
              <w:right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00" w:firstLine="8"/>
        <w:spacing w:after="0" w:line="269" w:lineRule="auto"/>
        <w:tabs>
          <w:tab w:leader="none" w:pos="22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there are also being registered an indeterminable number of additional securities as may be issued as a result of stock splits, stock dividends or similar transactions.</w:t>
      </w:r>
    </w:p>
    <w:p>
      <w:pPr>
        <w:ind w:right="160" w:firstLine="8"/>
        <w:spacing w:after="0" w:line="264" w:lineRule="auto"/>
        <w:tabs>
          <w:tab w:leader="none" w:pos="22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the calculation of the registration fee pursuant to Rule 457(c) under the Securities Act, based on the average of the high and the low prices as reported on the Nasdaq Stock Market LLC on May 12, 2025.</w:t>
      </w:r>
    </w:p>
    <w:p>
      <w:pPr>
        <w:ind w:left="240" w:hanging="232"/>
        <w:spacing w:after="0"/>
        <w:tabs>
          <w:tab w:leader="none" w:pos="24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multiplying the proposed maximum aggregate offering price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1031875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lowerRoman"/>
      <w:start w:val="5"/>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1"/>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1."/>
      <w:numFmt w:val="upperLetter"/>
      <w:start w:val="1"/>
    </w:lvl>
  </w:abstractNum>
  <w:abstractNum w:abstractNumId="8">
    <w:nsid w:val="68EBC550"/>
    <w:multiLevelType w:val="hybridMultilevel"/>
    <w:lvl w:ilvl="0">
      <w:lvlJc w:val="left"/>
      <w:lvlText w:val="%1."/>
      <w:numFmt w:val="upperLetter"/>
      <w:start w:val="1"/>
    </w:lvl>
  </w:abstractNum>
  <w:abstractNum w:abstractNumId="9">
    <w:nsid w:val="2DF6D648"/>
    <w:multiLevelType w:val="hybridMultilevel"/>
    <w:lvl w:ilvl="0">
      <w:lvlJc w:val="left"/>
      <w:lvlText w:val="%1."/>
      <w:numFmt w:val="upperLetter"/>
      <w:start w:val="7"/>
    </w:lvl>
  </w:abstractNum>
  <w:abstractNum w:abstractNumId="10">
    <w:nsid w:val="46B7D447"/>
    <w:multiLevelType w:val="hybridMultilevel"/>
    <w:lvl w:ilvl="0">
      <w:lvlJc w:val="left"/>
      <w:lvlText w:val="%1."/>
      <w:numFmt w:val="decimal"/>
      <w:start w:val="1"/>
    </w:lvl>
  </w:abstractNum>
  <w:abstractNum w:abstractNumId="11">
    <w:nsid w:val="4A2AC315"/>
    <w:multiLevelType w:val="hybridMultilevel"/>
    <w:lvl w:ilvl="0">
      <w:lvlJc w:val="left"/>
      <w:lvlText w:val="%1."/>
      <w:numFmt w:val="decimal"/>
      <w:start w:val="1"/>
    </w:lvl>
  </w:abstractNum>
  <w:abstractNum w:abstractNumId="12">
    <w:nsid w:val="39EE015C"/>
    <w:multiLevelType w:val="hybridMultilevel"/>
    <w:lvl w:ilvl="0">
      <w:lvlJc w:val="left"/>
      <w:lvlText w:val="(%1)"/>
      <w:numFmt w:val="lowerLetter"/>
      <w:start w:val="1"/>
    </w:lvl>
  </w:abstractNum>
  <w:abstractNum w:abstractNumId="13">
    <w:nsid w:val="57FC4FBB"/>
    <w:multiLevelType w:val="hybridMultilevel"/>
    <w:lvl w:ilvl="0">
      <w:lvlJc w:val="left"/>
      <w:lvlText w:val="(%1)"/>
      <w:numFmt w:val="lowerLetter"/>
      <w:start w:val="5"/>
    </w:lvl>
  </w:abstractNum>
  <w:abstractNum w:abstractNumId="14">
    <w:nsid w:val="CC1016F"/>
    <w:multiLevelType w:val="hybridMultilevel"/>
    <w:lvl w:ilvl="0">
      <w:lvlJc w:val="left"/>
      <w:lvlText w:val="%1."/>
      <w:numFmt w:val="decimal"/>
      <w:start w:val="1"/>
    </w:lvl>
  </w:abstractNum>
  <w:abstractNum w:abstractNumId="15">
    <w:nsid w:val="43F18422"/>
    <w:multiLevelType w:val="hybridMultilevel"/>
    <w:lvl w:ilvl="0">
      <w:lvlJc w:val="left"/>
      <w:lvlText w:val="(%1)"/>
      <w:numFmt w:val="lowerRoman"/>
      <w:start w:val="1"/>
    </w:lvl>
  </w:abstractNum>
  <w:abstractNum w:abstractNumId="16">
    <w:nsid w:val="60EF0119"/>
    <w:multiLevelType w:val="hybridMultilevel"/>
    <w:lvl w:ilvl="0">
      <w:lvlJc w:val="left"/>
      <w:lvlText w:val="%1."/>
      <w:numFmt w:val="decimal"/>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1)"/>
      <w:numFmt w:val="lowerLetter"/>
      <w:start w:val="1"/>
    </w:lvl>
  </w:abstractNum>
  <w:abstractNum w:abstractNumId="19">
    <w:nsid w:val="49DA307D"/>
    <w:multiLevelType w:val="hybridMultilevel"/>
    <w:lvl w:ilvl="0">
      <w:lvlJc w:val="left"/>
      <w:lvlText w:val="(%1)"/>
      <w:numFmt w:val="lowerLetter"/>
      <w:start w:val="4"/>
    </w:lvl>
  </w:abstractNum>
  <w:abstractNum w:abstractNumId="20">
    <w:nsid w:val="7055A5F5"/>
    <w:multiLevelType w:val="hybridMultilevel"/>
    <w:lvl w:ilvl="0">
      <w:lvlJc w:val="left"/>
      <w:lvlText w:val="(%1)"/>
      <w:numFmt w:val="lowerLetter"/>
      <w:start w:val="18"/>
    </w:lvl>
  </w:abstractNum>
  <w:abstractNum w:abstractNumId="21">
    <w:nsid w:val="5FB8370B"/>
    <w:multiLevelType w:val="hybridMultilevel"/>
    <w:lvl w:ilvl="0">
      <w:lvlJc w:val="left"/>
      <w:lvlText w:val="(%1)"/>
      <w:numFmt w:val="lowerLetter"/>
      <w:start w:val="20"/>
    </w:lvl>
  </w:abstractNum>
  <w:abstractNum w:abstractNumId="22">
    <w:nsid w:val="50801EE1"/>
    <w:multiLevelType w:val="hybridMultilevel"/>
    <w:lvl w:ilvl="0">
      <w:lvlJc w:val="left"/>
      <w:lvlText w:val="(%1)"/>
      <w:numFmt w:val="lowerLetter"/>
      <w:start w:val="27"/>
    </w:lvl>
  </w:abstractNum>
  <w:abstractNum w:abstractNumId="23">
    <w:nsid w:val="488AC1A"/>
    <w:multiLevelType w:val="hybridMultilevel"/>
    <w:lvl w:ilvl="0">
      <w:lvlJc w:val="left"/>
      <w:lvlText w:val="2"/>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1"/>
      <w:numFmt w:val="bullet"/>
      <w:start w:val="1"/>
    </w:lvl>
  </w:abstractNum>
  <w:abstractNum w:abstractNumId="32">
    <w:nsid w:val="7DE67713"/>
    <w:multiLevelType w:val="hybridMultilevel"/>
    <w:lvl w:ilvl="0">
      <w:lvlJc w:val="left"/>
      <w:lvlText w:val="2"/>
      <w:numFmt w:val="bullet"/>
      <w:start w:val="1"/>
    </w:lvl>
  </w:abstractNum>
  <w:abstractNum w:abstractNumId="33">
    <w:nsid w:val="555C55B5"/>
    <w:multiLevelType w:val="hybridMultilevel"/>
    <w:lvl w:ilvl="0">
      <w:lvlJc w:val="left"/>
      <w:lvlText w:val="3"/>
      <w:numFmt w:val="bullet"/>
      <w:start w:val="1"/>
    </w:lvl>
  </w:abstractNum>
  <w:abstractNum w:abstractNumId="34">
    <w:nsid w:val="3FA62ACA"/>
    <w:multiLevelType w:val="hybridMultilevel"/>
    <w:lvl w:ilvl="0">
      <w:lvlJc w:val="left"/>
      <w:lvlText w:val="7"/>
      <w:numFmt w:val="bullet"/>
      <w:start w:val="1"/>
    </w:lvl>
    <w:lvl w:ilvl="1">
      <w:lvlJc w:val="left"/>
      <w:lvlText w:val="%2."/>
      <w:numFmt w:val="upperLetter"/>
      <w:start w:val="1"/>
    </w:lvl>
  </w:abstractNum>
  <w:abstractNum w:abstractNumId="35">
    <w:nsid w:val="14FCE74E"/>
    <w:multiLevelType w:val="hybridMultilevel"/>
    <w:lvl w:ilvl="0">
      <w:lvlJc w:val="left"/>
      <w:lvlText w:val="•"/>
      <w:numFmt w:val="bullet"/>
      <w:start w:val="1"/>
    </w:lvl>
  </w:abstractNum>
  <w:abstractNum w:abstractNumId="36">
    <w:nsid w:val="6A3DD3E8"/>
    <w:multiLevelType w:val="hybridMultilevel"/>
    <w:lvl w:ilvl="0">
      <w:lvlJc w:val="left"/>
      <w:lvlText w:val="1"/>
      <w:numFmt w:val="bullet"/>
      <w:start w:val="1"/>
    </w:lvl>
  </w:abstractNum>
  <w:abstractNum w:abstractNumId="37">
    <w:nsid w:val="71C91298"/>
    <w:multiLevelType w:val="hybridMultilevel"/>
    <w:lvl w:ilvl="0">
      <w:lvlJc w:val="left"/>
      <w:lvlText w:val="1"/>
      <w:numFmt w:val="bullet"/>
      <w:start w:val="1"/>
    </w:lvl>
  </w:abstractNum>
  <w:abstractNum w:abstractNumId="38">
    <w:nsid w:val="9DAF632"/>
    <w:multiLevelType w:val="hybridMultilevel"/>
    <w:lvl w:ilvl="0">
      <w:lvlJc w:val="left"/>
      <w:lvlText w:val="2"/>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1)"/>
      <w:numFmt w:val="lowerRoman"/>
      <w:start w:val="2"/>
    </w:lvl>
  </w:abstractNum>
  <w:abstractNum w:abstractNumId="41">
    <w:nsid w:val="5092CA79"/>
    <w:multiLevelType w:val="hybridMultilevel"/>
    <w:lvl w:ilvl="0">
      <w:lvlJc w:val="left"/>
      <w:lvlText w:val="(%1)"/>
      <w:numFmt w:val="decimal"/>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lowerLetter"/>
      <w:start w:val="1"/>
    </w:lvl>
  </w:abstractNum>
  <w:abstractNum w:abstractNumId="44">
    <w:nsid w:val="288F1A34"/>
    <w:multiLevelType w:val="hybridMultilevel"/>
    <w:lvl w:ilvl="0">
      <w:lvlJc w:val="left"/>
      <w:lvlText w:val="%1."/>
      <w:numFmt w:val="upperLetter"/>
      <w:start w:val="3"/>
    </w:lvl>
  </w:abstractNum>
  <w:abstractNum w:abstractNumId="45">
    <w:nsid w:val="2A155DBC"/>
    <w:multiLevelType w:val="hybridMultilevel"/>
    <w:lvl w:ilvl="0">
      <w:lvlJc w:val="left"/>
      <w:lvlText w:val="%1."/>
      <w:numFmt w:val="decimal"/>
      <w:start w:val="1"/>
    </w:lvl>
  </w:abstractNum>
  <w:abstractNum w:abstractNumId="46">
    <w:nsid w:val="1D9F6E5F"/>
    <w:multiLevelType w:val="hybridMultilevel"/>
    <w:lvl w:ilvl="0">
      <w:lvlJc w:val="left"/>
      <w:lvlText w:val="%1."/>
      <w:numFmt w:val="upperLetter"/>
      <w:start w:val="5"/>
    </w:lvl>
  </w:abstractNum>
  <w:abstractNum w:abstractNumId="47">
    <w:nsid w:val="97E1B4E"/>
    <w:multiLevelType w:val="hybridMultilevel"/>
    <w:lvl w:ilvl="0">
      <w:lvlJc w:val="left"/>
      <w:lvlText w:val="%1."/>
      <w:numFmt w:val="decimal"/>
      <w:start w:val="1"/>
    </w:lvl>
  </w:abstractNum>
  <w:abstractNum w:abstractNumId="48">
    <w:nsid w:val="51088277"/>
    <w:multiLevelType w:val="hybridMultilevel"/>
    <w:lvl w:ilvl="0">
      <w:lvlJc w:val="left"/>
      <w:lvlText w:val="%1."/>
      <w:numFmt w:val="decimal"/>
      <w:start w:val="1"/>
    </w:lvl>
  </w:abstractNum>
  <w:abstractNum w:abstractNumId="49">
    <w:nsid w:val="1CA0C5FA"/>
    <w:multiLevelType w:val="hybridMultilevel"/>
    <w:lvl w:ilvl="0">
      <w:lvlJc w:val="left"/>
      <w:lvlText w:val="%1."/>
      <w:numFmt w:val="decimal"/>
      <w:start w:val="6"/>
    </w:lvl>
  </w:abstractNum>
  <w:abstractNum w:abstractNumId="50">
    <w:nsid w:val="53584BCB"/>
    <w:multiLevelType w:val="hybridMultilevel"/>
    <w:lvl w:ilvl="0">
      <w:lvlJc w:val="left"/>
      <w:lvlText w:val="%1."/>
      <w:numFmt w:val="decimal"/>
      <w:start w:val="1"/>
    </w:lvl>
  </w:abstractNum>
  <w:abstractNum w:abstractNumId="51">
    <w:nsid w:val="415E286C"/>
    <w:multiLevelType w:val="hybridMultilevel"/>
    <w:lvl w:ilvl="0">
      <w:lvlJc w:val="left"/>
      <w:lvlText w:val="%1."/>
      <w:numFmt w:val="upperLetter"/>
      <w:start w:val="1"/>
    </w:lvl>
  </w:abstractNum>
  <w:abstractNum w:abstractNumId="52">
    <w:nsid w:val="7C58FD05"/>
    <w:multiLevelType w:val="hybridMultilevel"/>
    <w:lvl w:ilvl="0">
      <w:lvlJc w:val="left"/>
      <w:lvlText w:val="%1."/>
      <w:numFmt w:val="upperLetter"/>
      <w:start w:val="5"/>
    </w:lvl>
  </w:abstractNum>
  <w:abstractNum w:abstractNumId="53">
    <w:nsid w:val="23D86AAC"/>
    <w:multiLevelType w:val="hybridMultilevel"/>
    <w:lvl w:ilvl="0">
      <w:lvlJc w:val="left"/>
      <w:lvlText w:val="%1."/>
      <w:numFmt w:val="decimal"/>
      <w:start w:val="1"/>
    </w:lvl>
  </w:abstractNum>
  <w:abstractNum w:abstractNumId="54">
    <w:nsid w:val="45E6D486"/>
    <w:multiLevelType w:val="hybridMultilevel"/>
    <w:lvl w:ilvl="0">
      <w:lvlJc w:val="left"/>
      <w:lvlText w:val="%1."/>
      <w:numFmt w:val="decimal"/>
      <w:start w:val="1"/>
    </w:lvl>
  </w:abstractNum>
  <w:abstractNum w:abstractNumId="55">
    <w:nsid w:val="5C10FE21"/>
    <w:multiLevelType w:val="hybridMultilevel"/>
    <w:lvl w:ilvl="0">
      <w:lvlJc w:val="left"/>
      <w:lvlText w:val="%1."/>
      <w:numFmt w:val="decimal"/>
      <w:start w:val="1"/>
    </w:lvl>
  </w:abstractNum>
  <w:abstractNum w:abstractNumId="56">
    <w:nsid w:val="E7FFA2B"/>
    <w:multiLevelType w:val="hybridMultilevel"/>
    <w:lvl w:ilvl="0">
      <w:lvlJc w:val="left"/>
      <w:lvlText w:val="%1."/>
      <w:numFmt w:val="decimal"/>
      <w:start w:val="6"/>
    </w:lvl>
  </w:abstractNum>
  <w:abstractNum w:abstractNumId="57">
    <w:nsid w:val="3C5991AA"/>
    <w:multiLevelType w:val="hybridMultilevel"/>
    <w:lvl w:ilvl="0">
      <w:lvlJc w:val="left"/>
      <w:lvlText w:val="%1."/>
      <w:numFmt w:val="decimal"/>
      <w:start w:val="1"/>
    </w:lvl>
  </w:abstractNum>
  <w:abstractNum w:abstractNumId="58">
    <w:nsid w:val="4BD8591A"/>
    <w:multiLevelType w:val="hybridMultilevel"/>
    <w:lvl w:ilvl="0">
      <w:lvlJc w:val="left"/>
      <w:lvlText w:val="(%1)"/>
      <w:numFmt w:val="decimal"/>
      <w:start w:val="1"/>
    </w:lvl>
  </w:abstractNum>
  <w:abstractNum w:abstractNumId="59">
    <w:nsid w:val="78DF6A55"/>
    <w:multiLevelType w:val="hybridMultilevel"/>
    <w:lvl w:ilvl="0">
      <w:lvlJc w:val="left"/>
      <w:lvlText w:val="(%1)"/>
      <w:numFmt w:val="decimal"/>
      <w:start w:val="4"/>
    </w:lvl>
  </w:abstractNum>
  <w:abstractNum w:abstractNumId="60">
    <w:nsid w:val="39B7AAA2"/>
    <w:multiLevelType w:val="hybridMultilevel"/>
    <w:lvl w:ilvl="0">
      <w:lvlJc w:val="left"/>
      <w:lvlText w:val="(%1)"/>
      <w:numFmt w:val="lowerRoman"/>
      <w:start w:val="1"/>
    </w:lvl>
  </w:abstractNum>
  <w:abstractNum w:abstractNumId="61">
    <w:nsid w:val="2B0D8DBE"/>
    <w:multiLevelType w:val="hybridMultilevel"/>
    <w:lvl w:ilvl="0">
      <w:lvlJc w:val="left"/>
      <w:lvlText w:val="(%1)"/>
      <w:numFmt w:val="lowerRoman"/>
      <w:start w:val="6"/>
    </w:lvl>
  </w:abstractNum>
  <w:abstractNum w:abstractNumId="62">
    <w:nsid w:val="6C80EC70"/>
    <w:multiLevelType w:val="hybridMultilevel"/>
    <w:lvl w:ilvl="0">
      <w:lvlJc w:val="left"/>
      <w:lvlText w:val="(%1)"/>
      <w:numFmt w:val="decimal"/>
      <w:start w:val="2"/>
    </w:lvl>
  </w:abstractNum>
  <w:abstractNum w:abstractNumId="63">
    <w:nsid w:val="379E21B5"/>
    <w:multiLevelType w:val="hybridMultilevel"/>
    <w:lvl w:ilvl="0">
      <w:lvlJc w:val="left"/>
      <w:lvlText w:val="(%1)"/>
      <w:numFmt w:val="decimal"/>
      <w:start w:val="3"/>
    </w:lvl>
  </w:abstractNum>
  <w:abstractNum w:abstractNumId="64">
    <w:nsid w:val="69E373"/>
    <w:multiLevelType w:val="hybridMultilevel"/>
    <w:lvl w:ilvl="0">
      <w:lvlJc w:val="left"/>
      <w:lvlText w:val="(%1)"/>
      <w:numFmt w:val="upperLetter"/>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1."/>
      <w:numFmt w:val="decimal"/>
      <w:start w:val="1"/>
    </w:lvl>
  </w:abstractNum>
  <w:abstractNum w:abstractNumId="70">
    <w:nsid w:val="3DD15094"/>
    <w:multiLevelType w:val="hybridMultilevel"/>
    <w:lvl w:ilvl="0">
      <w:lvlJc w:val="left"/>
      <w:lvlText w:val="%1."/>
      <w:numFmt w:val="decimal"/>
      <w:start w:val="3"/>
    </w:lvl>
  </w:abstractNum>
  <w:abstractNum w:abstractNumId="71">
    <w:nsid w:val="3DB012B3"/>
    <w:multiLevelType w:val="hybridMultilevel"/>
    <w:lvl w:ilvl="0">
      <w:lvlJc w:val="left"/>
      <w:lvlText w:val="*"/>
      <w:numFmt w:val="bullet"/>
      <w:start w:val="1"/>
    </w:lvl>
    <w:lvl w:ilvl="1">
      <w:lvlJc w:val="left"/>
      <w:lvlText w:val="(%2)"/>
      <w:numFmt w:val="decimal"/>
      <w:start w:val="1"/>
    </w:lvl>
  </w:abstractNum>
  <w:abstractNum w:abstractNumId="72">
    <w:nsid w:val="2708C9AF"/>
    <w:multiLevelType w:val="hybridMultilevel"/>
    <w:lvl w:ilvl="0">
      <w:lvlJc w:val="left"/>
      <w:lvlText w:val="(%1)"/>
      <w:numFmt w:val="decimal"/>
      <w:start w:val="9"/>
    </w:lvl>
  </w:abstractNum>
  <w:abstractNum w:abstractNumId="73">
    <w:nsid w:val="5B25ACE2"/>
    <w:multiLevelType w:val="hybridMultilevel"/>
    <w:lvl w:ilvl="0">
      <w:lvlJc w:val="left"/>
      <w:lvlText w:val="(%1)"/>
      <w:numFmt w:val="decimal"/>
      <w:start w:val="37"/>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1)"/>
      <w:numFmt w:val="lowerRoman"/>
      <w:start w:val="3"/>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1."/>
      <w:numFmt w:val="decimal"/>
      <w:start w:val="1"/>
    </w:lvl>
  </w:abstractNum>
  <w:abstractNum w:abstractNumId="91">
    <w:nsid w:val="5399C654"/>
    <w:multiLevelType w:val="hybridMultilevel"/>
    <w:lvl w:ilvl="0">
      <w:lvlJc w:val="left"/>
      <w:lvlText w:val="2"/>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1)"/>
      <w:numFmt w:val="decimal"/>
      <w:start w:val="1"/>
    </w:lvl>
  </w:abstractNum>
  <w:abstractNum w:abstractNumId="99">
    <w:nsid w:val="E3E47A8"/>
    <w:multiLevelType w:val="hybridMultilevel"/>
    <w:lvl w:ilvl="0">
      <w:lvlJc w:val="left"/>
      <w:lvlText w:val="•"/>
      <w:numFmt w:val="bullet"/>
      <w:start w:val="1"/>
    </w:lvl>
  </w:abstractNum>
  <w:abstractNum w:abstractNumId="100">
    <w:nsid w:val="2E48F044"/>
    <w:multiLevelType w:val="hybridMultilevel"/>
    <w:lvl w:ilvl="0">
      <w:lvlJc w:val="left"/>
      <w:lvlText w:val="%1."/>
      <w:numFmt w:val="decimal"/>
      <w:start w:val="3"/>
    </w:lvl>
  </w:abstractNum>
  <w:abstractNum w:abstractNumId="101">
    <w:nsid w:val="49D0FEAC"/>
    <w:multiLevelType w:val="hybridMultilevel"/>
    <w:lvl w:ilvl="0">
      <w:lvlJc w:val="left"/>
      <w:lvlText w:val="•"/>
      <w:numFmt w:val="bullet"/>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1)"/>
      <w:numFmt w:val="lowerRoman"/>
      <w:start w:val="2"/>
    </w:lvl>
  </w:abstractNum>
  <w:abstractNum w:abstractNumId="107">
    <w:nsid w:val="2A31B62D"/>
    <w:multiLevelType w:val="hybridMultilevel"/>
    <w:lvl w:ilvl="0">
      <w:lvlJc w:val="left"/>
      <w:lvlText w:val="%1."/>
      <w:numFmt w:val="decimal"/>
      <w:start w:val="8"/>
    </w:lvl>
  </w:abstractNum>
  <w:abstractNum w:abstractNumId="108">
    <w:nsid w:val="1849C29B"/>
    <w:multiLevelType w:val="hybridMultilevel"/>
    <w:lvl w:ilvl="0">
      <w:lvlJc w:val="left"/>
      <w:lvlText w:val="%1."/>
      <w:numFmt w:val="decimal"/>
      <w:start w:val="9"/>
    </w:lvl>
  </w:abstractNum>
  <w:abstractNum w:abstractNumId="109">
    <w:nsid w:val="7DFF9D09"/>
    <w:multiLevelType w:val="hybridMultilevel"/>
    <w:lvl w:ilvl="0">
      <w:lvlJc w:val="left"/>
      <w:lvlText w:val="%1."/>
      <w:numFmt w:val="decimal"/>
      <w:start w:val="10"/>
    </w:lvl>
  </w:abstractNum>
  <w:abstractNum w:abstractNumId="110">
    <w:nsid w:val="754342"/>
    <w:multiLevelType w:val="hybridMultilevel"/>
    <w:lvl w:ilvl="0">
      <w:lvlJc w:val="left"/>
      <w:lvlText w:val="%1."/>
      <w:numFmt w:val="decimal"/>
      <w:start w:val="1"/>
    </w:lvl>
  </w:abstractNum>
  <w:abstractNum w:abstractNumId="111">
    <w:nsid w:val="69E7F3E5"/>
    <w:multiLevelType w:val="hybridMultilevel"/>
    <w:lvl w:ilvl="0">
      <w:lvlJc w:val="left"/>
      <w:lvlText w:val="%1."/>
      <w:numFmt w:val="decimal"/>
      <w:start w:val="1"/>
    </w:lvl>
  </w:abstractNum>
  <w:abstractNum w:abstractNumId="112">
    <w:nsid w:val="2A6DE806"/>
    <w:multiLevelType w:val="hybridMultilevel"/>
    <w:lvl w:ilvl="0">
      <w:lvlJc w:val="left"/>
      <w:lvlText w:val="(%1)"/>
      <w:numFmt w:val="decimal"/>
      <w:start w:val="1"/>
    </w:lvl>
  </w:abstractNum>
  <w:abstractNum w:abstractNumId="113">
    <w:nsid w:val="1816F8C4"/>
    <w:multiLevelType w:val="hybridMultilevel"/>
    <w:lvl w:ilvl="0">
      <w:lvlJc w:val="left"/>
      <w:lvlText w:val="%1."/>
      <w:numFmt w:val="decimal"/>
      <w:start w:val="11"/>
    </w:lvl>
  </w:abstractNum>
  <w:abstractNum w:abstractNumId="114">
    <w:nsid w:val="37DF2233"/>
    <w:multiLevelType w:val="hybridMultilevel"/>
    <w:lvl w:ilvl="0">
      <w:lvlJc w:val="left"/>
      <w:lvlText w:val="%1."/>
      <w:numFmt w:val="decimal"/>
      <w:start w:val="12"/>
    </w:lvl>
  </w:abstractNum>
  <w:abstractNum w:abstractNumId="115">
    <w:nsid w:val="7AB49DAF"/>
    <w:multiLevelType w:val="hybridMultilevel"/>
    <w:lvl w:ilvl="0">
      <w:lvlJc w:val="left"/>
      <w:lvlText w:val="%1."/>
      <w:numFmt w:val="decimal"/>
      <w:start w:val="1"/>
    </w:lvl>
  </w:abstractNum>
  <w:abstractNum w:abstractNumId="116">
    <w:nsid w:val="759F82CD"/>
    <w:multiLevelType w:val="hybridMultilevel"/>
    <w:lvl w:ilvl="0">
      <w:lvlJc w:val="left"/>
      <w:lvlText w:val="%1"/>
      <w:numFmt w:val="decimal"/>
      <w:start w:val="1"/>
    </w:lvl>
    <w:lvl w:ilvl="1">
      <w:lvlJc w:val="left"/>
      <w:lvlText w:val="%2."/>
      <w:numFmt w:val="decimal"/>
      <w:start w:val="2"/>
    </w:lvl>
  </w:abstractNum>
  <w:abstractNum w:abstractNumId="117">
    <w:nsid w:val="61E74EA3"/>
    <w:multiLevelType w:val="hybridMultilevel"/>
    <w:lvl w:ilvl="0">
      <w:lvlJc w:val="left"/>
      <w:lvlText w:val="%1."/>
      <w:numFmt w:val="decimal"/>
      <w:start w:val="14"/>
    </w:lvl>
    <w:lvl w:ilvl="1">
      <w:lvlJc w:val="left"/>
      <w:lvlText w:val="%2"/>
      <w:numFmt w:val="decimal"/>
      <w:start w:val="1"/>
    </w:lvl>
  </w:abstractNum>
  <w:abstractNum w:abstractNumId="118">
    <w:nsid w:val="597B4D84"/>
    <w:multiLevelType w:val="hybridMultilevel"/>
    <w:lvl w:ilvl="0">
      <w:lvlJc w:val="left"/>
      <w:lvlText w:val="%1."/>
      <w:numFmt w:val="decimal"/>
      <w:start w:val="15"/>
    </w:lvl>
  </w:abstractNum>
  <w:abstractNum w:abstractNumId="119">
    <w:nsid w:val="F819E7F"/>
    <w:multiLevelType w:val="hybridMultilevel"/>
    <w:lvl w:ilvl="0">
      <w:lvlJc w:val="left"/>
      <w:lvlText w:val="%1."/>
      <w:numFmt w:val="lowerLetter"/>
      <w:start w:val="1"/>
    </w:lvl>
  </w:abstractNum>
  <w:abstractNum w:abstractNumId="120">
    <w:nsid w:val="57C7D42D"/>
    <w:multiLevelType w:val="hybridMultilevel"/>
    <w:lvl w:ilvl="0">
      <w:lvlJc w:val="left"/>
      <w:lvlText w:val="%1."/>
      <w:numFmt w:val="decimal"/>
      <w:start w:val="1"/>
    </w:lvl>
  </w:abstractNum>
  <w:abstractNum w:abstractNumId="121">
    <w:nsid w:val="312167AD"/>
    <w:multiLevelType w:val="hybridMultilevel"/>
    <w:lvl w:ilvl="0">
      <w:lvlJc w:val="left"/>
      <w:lvlText w:val="%1"/>
      <w:numFmt w:val="decimal"/>
      <w:start w:val="1"/>
    </w:lvl>
    <w:lvl w:ilvl="1">
      <w:lvlJc w:val="left"/>
      <w:lvlText w:val="(%2)"/>
      <w:numFmt w:val="lowerLetter"/>
      <w:start w:val="1"/>
    </w:lvl>
  </w:abstractNum>
  <w:abstractNum w:abstractNumId="122">
    <w:nsid w:val="631B64D4"/>
    <w:multiLevelType w:val="hybridMultilevel"/>
    <w:lvl w:ilvl="0">
      <w:lvlJc w:val="left"/>
      <w:lvlText w:val="%1."/>
      <w:numFmt w:val="decimal"/>
      <w:start w:val="17"/>
    </w:lvl>
    <w:lvl w:ilvl="1">
      <w:lvlJc w:val="left"/>
      <w:lvlText w:val="%2"/>
      <w:numFmt w:val="lowerLetter"/>
      <w:start w:val="1"/>
    </w:lvl>
  </w:abstractNum>
  <w:abstractNum w:abstractNumId="123">
    <w:nsid w:val="78B5E776"/>
    <w:multiLevelType w:val="hybridMultilevel"/>
    <w:lvl w:ilvl="0">
      <w:lvlJc w:val="left"/>
      <w:lvlText w:val="▪"/>
      <w:numFmt w:val="bullet"/>
      <w:start w:val="1"/>
    </w:lvl>
  </w:abstractNum>
  <w:abstractNum w:abstractNumId="124">
    <w:nsid w:val="75486E47"/>
    <w:multiLevelType w:val="hybridMultilevel"/>
    <w:lvl w:ilvl="0">
      <w:lvlJc w:val="left"/>
      <w:lvlText w:val="▪"/>
      <w:numFmt w:val="bullet"/>
      <w:start w:val="1"/>
    </w:lvl>
  </w:abstractNum>
  <w:abstractNum w:abstractNumId="125">
    <w:nsid w:val="6E534CDE"/>
    <w:multiLevelType w:val="hybridMultilevel"/>
    <w:lvl w:ilvl="0">
      <w:lvlJc w:val="left"/>
      <w:lvlText w:val="%1."/>
      <w:numFmt w:val="decimal"/>
      <w:start w:val="1"/>
    </w:lvl>
  </w:abstractNum>
  <w:abstractNum w:abstractNumId="126">
    <w:nsid w:val="1A0DDE32"/>
    <w:multiLevelType w:val="hybridMultilevel"/>
    <w:lvl w:ilvl="0">
      <w:lvlJc w:val="left"/>
      <w:lvlText w:val="%1."/>
      <w:numFmt w:val="decimal"/>
      <w:start w:val="2"/>
    </w:lvl>
  </w:abstractNum>
  <w:abstractNum w:abstractNumId="127">
    <w:nsid w:val="65968C1C"/>
    <w:multiLevelType w:val="hybridMultilevel"/>
    <w:lvl w:ilvl="0">
      <w:lvlJc w:val="left"/>
      <w:lvlText w:val="%1."/>
      <w:numFmt w:val="decimal"/>
      <w:start w:val="3"/>
    </w:lvl>
  </w:abstractNum>
  <w:abstractNum w:abstractNumId="128">
    <w:nsid w:val="46263DEC"/>
    <w:multiLevelType w:val="hybridMultilevel"/>
    <w:lvl w:ilvl="0">
      <w:lvlJc w:val="left"/>
      <w:lvlText w:val=")"/>
      <w:numFmt w:val="bullet"/>
      <w:start w:val="1"/>
    </w:lvl>
  </w:abstractNum>
  <w:abstractNum w:abstractNumId="129">
    <w:nsid w:val="260D8C4A"/>
    <w:multiLevelType w:val="hybridMultilevel"/>
    <w:lvl w:ilvl="0">
      <w:lvlJc w:val="left"/>
      <w:lvlText w:val="%1."/>
      <w:numFmt w:val="decimal"/>
      <w:start w:val="1"/>
    </w:lvl>
  </w:abstractNum>
  <w:abstractNum w:abstractNumId="130">
    <w:nsid w:val="73D4D3C4"/>
    <w:multiLevelType w:val="hybridMultilevel"/>
    <w:lvl w:ilvl="0">
      <w:lvlJc w:val="left"/>
      <w:lvlText w:val="%1."/>
      <w:numFmt w:val="decimal"/>
      <w:start w:val="5"/>
    </w:lvl>
  </w:abstractNum>
  <w:abstractNum w:abstractNumId="131">
    <w:nsid w:val="746F2E30"/>
    <w:multiLevelType w:val="hybridMultilevel"/>
    <w:lvl w:ilvl="0">
      <w:lvlJc w:val="left"/>
      <w:lvlText w:val="%1."/>
      <w:numFmt w:val="decimal"/>
      <w:start w:val="6"/>
    </w:lvl>
  </w:abstractNum>
  <w:abstractNum w:abstractNumId="132">
    <w:nsid w:val="6FDE8AF6"/>
    <w:multiLevelType w:val="hybridMultilevel"/>
    <w:lvl w:ilvl="0">
      <w:lvlJc w:val="left"/>
      <w:lvlText w:val="%1."/>
      <w:numFmt w:val="decimal"/>
      <w:start w:val="7"/>
    </w:lvl>
  </w:abstractNum>
  <w:abstractNum w:abstractNumId="133">
    <w:nsid w:val="3FC32E20"/>
    <w:multiLevelType w:val="hybridMultilevel"/>
    <w:lvl w:ilvl="0">
      <w:lvlJc w:val="left"/>
      <w:lvlText w:val="%1."/>
      <w:numFmt w:val="decimal"/>
      <w:start w:val="8"/>
    </w:lvl>
  </w:abstractNum>
  <w:abstractNum w:abstractNumId="134">
    <w:nsid w:val="49C0E823"/>
    <w:multiLevelType w:val="hybridMultilevel"/>
    <w:lvl w:ilvl="0">
      <w:lvlJc w:val="left"/>
      <w:lvlText w:val="%1."/>
      <w:numFmt w:val="decimal"/>
      <w:start w:val="9"/>
    </w:lvl>
  </w:abstractNum>
  <w:abstractNum w:abstractNumId="135">
    <w:nsid w:val="14D53685"/>
    <w:multiLevelType w:val="hybridMultilevel"/>
    <w:lvl w:ilvl="0">
      <w:lvlJc w:val="left"/>
      <w:lvlText w:val="%1."/>
      <w:numFmt w:val="decimal"/>
      <w:start w:val="10"/>
    </w:lvl>
  </w:abstractNum>
  <w:abstractNum w:abstractNumId="136">
    <w:nsid w:val="230F856C"/>
    <w:multiLevelType w:val="hybridMultilevel"/>
    <w:lvl w:ilvl="0">
      <w:lvlJc w:val="left"/>
      <w:lvlText w:val="%1."/>
      <w:numFmt w:val="decimal"/>
      <w:start w:val="11"/>
    </w:lvl>
  </w:abstractNum>
  <w:abstractNum w:abstractNumId="137">
    <w:nsid w:val="6EAA85FB"/>
    <w:multiLevelType w:val="hybridMultilevel"/>
    <w:lvl w:ilvl="0">
      <w:lvlJc w:val="left"/>
      <w:lvlText w:val="%1."/>
      <w:numFmt w:val="decimal"/>
      <w:start w:val="13"/>
    </w:lvl>
  </w:abstractNum>
  <w:abstractNum w:abstractNumId="138">
    <w:nsid w:val="3F06ECB2"/>
    <w:multiLevelType w:val="hybridMultilevel"/>
    <w:lvl w:ilvl="0">
      <w:lvlJc w:val="left"/>
      <w:lvlText w:val="-"/>
      <w:numFmt w:val="bullet"/>
      <w:start w:val="1"/>
    </w:lvl>
  </w:abstractNum>
  <w:abstractNum w:abstractNumId="139">
    <w:nsid w:val="3B594807"/>
    <w:multiLevelType w:val="hybridMultilevel"/>
    <w:lvl w:ilvl="0">
      <w:lvlJc w:val="left"/>
      <w:lvlText w:val="-"/>
      <w:numFmt w:val="bullet"/>
      <w:start w:val="1"/>
    </w:lvl>
  </w:abstractNum>
  <w:abstractNum w:abstractNumId="140">
    <w:nsid w:val="6CAA2304"/>
    <w:multiLevelType w:val="hybridMultilevel"/>
    <w:lvl w:ilvl="0">
      <w:lvlJc w:val="left"/>
      <w:lvlText w:val="%1."/>
      <w:numFmt w:val="decimal"/>
      <w:start w:val="15"/>
    </w:lvl>
  </w:abstractNum>
  <w:abstractNum w:abstractNumId="141">
    <w:nsid w:val="3F7C2FF4"/>
    <w:multiLevelType w:val="hybridMultilevel"/>
    <w:lvl w:ilvl="0">
      <w:lvlJc w:val="left"/>
      <w:lvlText w:val="%1."/>
      <w:numFmt w:val="decimal"/>
      <w:start w:val="16"/>
    </w:lvl>
  </w:abstractNum>
  <w:abstractNum w:abstractNumId="142">
    <w:nsid w:val="25413BEC"/>
    <w:multiLevelType w:val="hybridMultilevel"/>
    <w:lvl w:ilvl="0">
      <w:lvlJc w:val="left"/>
      <w:lvlText w:val="%1."/>
      <w:numFmt w:val="decimal"/>
      <w:start w:val="17"/>
    </w:lvl>
  </w:abstractNum>
  <w:abstractNum w:abstractNumId="143">
    <w:nsid w:val="17180B0B"/>
    <w:multiLevelType w:val="hybridMultilevel"/>
    <w:lvl w:ilvl="0">
      <w:lvlJc w:val="left"/>
      <w:lvlText w:val="%1."/>
      <w:numFmt w:val="decimal"/>
      <w:start w:val="18"/>
    </w:lvl>
  </w:abstractNum>
  <w:abstractNum w:abstractNumId="144">
    <w:nsid w:val="579328B9"/>
    <w:multiLevelType w:val="hybridMultilevel"/>
    <w:lvl w:ilvl="0">
      <w:lvlJc w:val="left"/>
      <w:lvlText w:val="%1."/>
      <w:numFmt w:val="decimal"/>
      <w:start w:val="19"/>
    </w:lvl>
  </w:abstractNum>
  <w:abstractNum w:abstractNumId="145">
    <w:nsid w:val="5D205E20"/>
    <w:multiLevelType w:val="hybridMultilevel"/>
    <w:lvl w:ilvl="0">
      <w:lvlJc w:val="left"/>
      <w:lvlText w:val="*"/>
      <w:numFmt w:val="bullet"/>
      <w:start w:val="1"/>
    </w:lvl>
    <w:lvl w:ilvl="1">
      <w:lvlJc w:val="left"/>
      <w:lvlText w:val="%2"/>
      <w:numFmt w:val="decimal"/>
      <w:start w:val="107"/>
    </w:lvl>
  </w:abstractNum>
  <w:abstractNum w:abstractNumId="146">
    <w:nsid w:val="11CCA8BA"/>
    <w:multiLevelType w:val="hybridMultilevel"/>
    <w:lvl w:ilvl="0">
      <w:lvlJc w:val="left"/>
      <w:lvlText w:val="%1."/>
      <w:numFmt w:val="decimal"/>
      <w:start w:val="1"/>
    </w:lvl>
  </w:abstractNum>
  <w:abstractNum w:abstractNumId="147">
    <w:nsid w:val="4D32AB86"/>
    <w:multiLevelType w:val="hybridMultilevel"/>
    <w:lvl w:ilvl="0">
      <w:lvlJc w:val="left"/>
      <w:lvlText w:val="(%1)"/>
      <w:numFmt w:val="lowerLetter"/>
      <w:start w:val="1"/>
    </w:lvl>
  </w:abstractNum>
  <w:abstractNum w:abstractNumId="148">
    <w:nsid w:val="3F07ACC3"/>
    <w:multiLevelType w:val="hybridMultilevel"/>
    <w:lvl w:ilvl="0">
      <w:lvlJc w:val="left"/>
      <w:lvlText w:val="(%1)"/>
      <w:numFmt w:val="lowerLetter"/>
      <w:start w:val="3"/>
    </w:lvl>
  </w:abstractNum>
  <w:abstractNum w:abstractNumId="149">
    <w:nsid w:val="6B47F63E"/>
    <w:multiLevelType w:val="hybridMultilevel"/>
    <w:lvl w:ilvl="0">
      <w:lvlJc w:val="left"/>
      <w:lvlText w:val="%1."/>
      <w:numFmt w:val="decimal"/>
      <w:start w:val="2"/>
    </w:lvl>
  </w:abstractNum>
  <w:abstractNum w:abstractNumId="150">
    <w:nsid w:val="5CB44A05"/>
    <w:multiLevelType w:val="hybridMultilevel"/>
    <w:lvl w:ilvl="0">
      <w:lvlJc w:val="left"/>
      <w:lvlText w:val="(%1)"/>
      <w:numFmt w:val="lowerLetter"/>
      <w:start w:val="1"/>
    </w:lvl>
  </w:abstractNum>
  <w:abstractNum w:abstractNumId="151">
    <w:nsid w:val="16CF80F1"/>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abstractNum>
  <w:abstractNum w:abstractNumId="152">
    <w:nsid w:val="1C695DEC"/>
    <w:multiLevelType w:val="hybridMultilevel"/>
    <w:lvl w:ilvl="0">
      <w:lvlJc w:val="left"/>
      <w:lvlText w:val="(%1)"/>
      <w:numFmt w:val="lowerLetter"/>
      <w:start w:val="10"/>
    </w:lvl>
  </w:abstractNum>
  <w:abstractNum w:abstractNumId="153">
    <w:nsid w:val="3FCFAED9"/>
    <w:multiLevelType w:val="hybridMultilevel"/>
    <w:lvl w:ilvl="0">
      <w:lvlJc w:val="left"/>
      <w:lvlText w:val="(%1)"/>
      <w:numFmt w:val="upperLetter"/>
      <w:start w:val="1"/>
    </w:lvl>
  </w:abstractNum>
  <w:abstractNum w:abstractNumId="154">
    <w:nsid w:val="F856867"/>
    <w:multiLevelType w:val="hybridMultilevel"/>
    <w:lvl w:ilvl="0">
      <w:lvlJc w:val="left"/>
      <w:lvlText w:val="(%1)"/>
      <w:numFmt w:val="upperLetter"/>
      <w:start w:val="2"/>
    </w:lvl>
  </w:abstractNum>
  <w:abstractNum w:abstractNumId="155">
    <w:nsid w:val="11B1CC33"/>
    <w:multiLevelType w:val="hybridMultilevel"/>
    <w:lvl w:ilvl="0">
      <w:lvlJc w:val="left"/>
      <w:lvlText w:val="(%1)"/>
      <w:numFmt w:val="lowerLetter"/>
      <w:start w:val="1"/>
    </w:lvl>
  </w:abstractNum>
  <w:abstractNum w:abstractNumId="156">
    <w:nsid w:val="2E22FBB7"/>
    <w:multiLevelType w:val="hybridMultilevel"/>
    <w:lvl w:ilvl="0">
      <w:lvlJc w:val="left"/>
      <w:lvlText w:val="%1."/>
      <w:numFmt w:val="decimal"/>
      <w:start w:val="3"/>
    </w:lvl>
  </w:abstractNum>
  <w:abstractNum w:abstractNumId="157">
    <w:nsid w:val="29934699"/>
    <w:multiLevelType w:val="hybridMultilevel"/>
    <w:lvl w:ilvl="0">
      <w:lvlJc w:val="left"/>
      <w:lvlText w:val="(%1)"/>
      <w:numFmt w:val="lowerLetter"/>
      <w:start w:val="1"/>
    </w:lvl>
  </w:abstractNum>
  <w:abstractNum w:abstractNumId="158">
    <w:nsid w:val="77485850"/>
    <w:multiLevelType w:val="hybridMultilevel"/>
    <w:lvl w:ilvl="0">
      <w:lvlJc w:val="left"/>
      <w:lvlText w:val="(%1)"/>
      <w:numFmt w:val="lowerLetter"/>
      <w:start w:val="1"/>
    </w:lvl>
  </w:abstractNum>
  <w:abstractNum w:abstractNumId="159">
    <w:nsid w:val="744939A3"/>
    <w:multiLevelType w:val="hybridMultilevel"/>
    <w:lvl w:ilvl="0">
      <w:lvlJc w:val="left"/>
      <w:lvlText w:val="(%1)"/>
      <w:numFmt w:val="lowerLetter"/>
      <w:start w:val="3"/>
    </w:lvl>
  </w:abstractNum>
  <w:abstractNum w:abstractNumId="160">
    <w:nsid w:val="4FA0D2E3"/>
    <w:multiLevelType w:val="hybridMultilevel"/>
    <w:lvl w:ilvl="0">
      <w:lvlJc w:val="left"/>
      <w:lvlText w:val="(%1)"/>
      <w:numFmt w:val="lowerLetter"/>
      <w:start w:val="13"/>
    </w:lvl>
  </w:abstractNum>
  <w:abstractNum w:abstractNumId="161">
    <w:nsid w:val="6B1D2C14"/>
    <w:multiLevelType w:val="hybridMultilevel"/>
    <w:lvl w:ilvl="0">
      <w:lvlJc w:val="left"/>
      <w:lvlText w:val="(%1)"/>
      <w:numFmt w:val="lowerLetter"/>
      <w:start w:val="21"/>
    </w:lvl>
    <w:lvl w:ilvl="1">
      <w:lvlJc w:val="left"/>
      <w:lvlText w:val="(%2)"/>
      <w:numFmt w:val="lowerRoman"/>
      <w:start w:val="1"/>
    </w:lvl>
  </w:abstractNum>
  <w:abstractNum w:abstractNumId="162">
    <w:nsid w:val="68B867D3"/>
    <w:multiLevelType w:val="hybridMultilevel"/>
    <w:lvl w:ilvl="0">
      <w:lvlJc w:val="left"/>
      <w:lvlText w:val="%1"/>
      <w:numFmt w:val="lowerLetter"/>
      <w:start w:val="1"/>
    </w:lvl>
    <w:lvl w:ilvl="1">
      <w:lvlJc w:val="left"/>
      <w:lvlText w:val="(%2)"/>
      <w:numFmt w:val="lowerLetter"/>
      <w:start w:val="27"/>
    </w:lvl>
  </w:abstractNum>
  <w:abstractNum w:abstractNumId="163">
    <w:nsid w:val="3F7F5DD9"/>
    <w:multiLevelType w:val="hybridMultilevel"/>
    <w:lvl w:ilvl="0">
      <w:lvlJc w:val="left"/>
      <w:lvlText w:val="(%1)"/>
      <w:numFmt w:val="lowerLetter"/>
      <w:start w:val="29"/>
    </w:lvl>
    <w:lvl w:ilvl="1">
      <w:lvlJc w:val="left"/>
      <w:lvlText w:val="(%2)"/>
      <w:numFmt w:val="lowerLetter"/>
      <w:start w:val="30"/>
    </w:lvl>
  </w:abstractNum>
  <w:abstractNum w:abstractNumId="164">
    <w:nsid w:val="2AE05A34"/>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33"/>
    </w:lvl>
  </w:abstractNum>
  <w:abstractNum w:abstractNumId="165">
    <w:nsid w:val="32794FF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66">
    <w:nsid w:val="5454945E"/>
    <w:multiLevelType w:val="hybridMultilevel"/>
    <w:lvl w:ilvl="0">
      <w:lvlJc w:val="left"/>
      <w:lvlText w:val="(%1)"/>
      <w:numFmt w:val="lowerLetter"/>
      <w:start w:val="1"/>
    </w:lvl>
  </w:abstractNum>
  <w:abstractNum w:abstractNumId="167">
    <w:nsid w:val="4DEFDFA0"/>
    <w:multiLevelType w:val="hybridMultilevel"/>
    <w:lvl w:ilvl="0">
      <w:lvlJc w:val="left"/>
      <w:lvlText w:val="%1"/>
      <w:numFmt w:val="decimal"/>
      <w:start w:val="1"/>
    </w:lvl>
    <w:lvl w:ilvl="1">
      <w:lvlJc w:val="left"/>
      <w:lvlText w:val="(%2)"/>
      <w:numFmt w:val="lowerLetter"/>
      <w:start w:val="6"/>
    </w:lvl>
  </w:abstractNum>
  <w:abstractNum w:abstractNumId="168">
    <w:nsid w:val="2123D5F2"/>
    <w:multiLevelType w:val="hybridMultilevel"/>
    <w:lvl w:ilvl="0">
      <w:lvlJc w:val="left"/>
      <w:lvlText w:val="%1."/>
      <w:numFmt w:val="decimal"/>
      <w:start w:val="5"/>
    </w:lvl>
    <w:lvl w:ilvl="1">
      <w:lvlJc w:val="left"/>
      <w:lvlText w:val="%2"/>
      <w:numFmt w:val="lowerLetter"/>
      <w:start w:val="1"/>
    </w:lvl>
  </w:abstractNum>
  <w:abstractNum w:abstractNumId="169">
    <w:nsid w:val="135B8110"/>
    <w:multiLevelType w:val="hybridMultilevel"/>
    <w:lvl w:ilvl="0">
      <w:lvlJc w:val="left"/>
      <w:lvlText w:val="%1."/>
      <w:numFmt w:val="decimal"/>
      <w:start w:val="6"/>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11" Type="http://schemas.openxmlformats.org/officeDocument/2006/relationships/image" Target="media/image599.png"/><Relationship Id="rId629" Type="http://schemas.openxmlformats.org/officeDocument/2006/relationships/image" Target="media/image600.png"/><Relationship Id="rId630" Type="http://schemas.openxmlformats.org/officeDocument/2006/relationships/image" Target="media/image601.png"/><Relationship Id="rId639" Type="http://schemas.openxmlformats.org/officeDocument/2006/relationships/image" Target="media/image602.png"/><Relationship Id="rId640" Type="http://schemas.openxmlformats.org/officeDocument/2006/relationships/image" Target="media/image603.png"/><Relationship Id="rId641" Type="http://schemas.openxmlformats.org/officeDocument/2006/relationships/image" Target="media/image604.png"/><Relationship Id="rId642" Type="http://schemas.openxmlformats.org/officeDocument/2006/relationships/image" Target="media/image605.png"/><Relationship Id="rId643" Type="http://schemas.openxmlformats.org/officeDocument/2006/relationships/image" Target="media/image606.png"/><Relationship Id="rId644" Type="http://schemas.openxmlformats.org/officeDocument/2006/relationships/image" Target="media/image607.png"/><Relationship Id="rId645" Type="http://schemas.openxmlformats.org/officeDocument/2006/relationships/image" Target="media/image608.png"/><Relationship Id="rId646" Type="http://schemas.openxmlformats.org/officeDocument/2006/relationships/image" Target="media/image609.jpeg"/><Relationship Id="rId647" Type="http://schemas.openxmlformats.org/officeDocument/2006/relationships/image" Target="media/image610.png"/><Relationship Id="rId648" Type="http://schemas.openxmlformats.org/officeDocument/2006/relationships/image" Target="media/image611.png"/><Relationship Id="rId649" Type="http://schemas.openxmlformats.org/officeDocument/2006/relationships/image" Target="media/image612.png"/><Relationship Id="rId650" Type="http://schemas.openxmlformats.org/officeDocument/2006/relationships/image" Target="media/image613.png"/><Relationship Id="rId651" Type="http://schemas.openxmlformats.org/officeDocument/2006/relationships/image" Target="media/image614.png"/><Relationship Id="rId652" Type="http://schemas.openxmlformats.org/officeDocument/2006/relationships/image" Target="media/image615.png"/><Relationship Id="rId653" Type="http://schemas.openxmlformats.org/officeDocument/2006/relationships/image" Target="media/image616.png"/><Relationship Id="rId654" Type="http://schemas.openxmlformats.org/officeDocument/2006/relationships/image" Target="media/image617.png"/><Relationship Id="rId655" Type="http://schemas.openxmlformats.org/officeDocument/2006/relationships/image" Target="media/image618.png"/><Relationship Id="rId656" Type="http://schemas.openxmlformats.org/officeDocument/2006/relationships/image" Target="media/image619.jpeg"/><Relationship Id="rId657" Type="http://schemas.openxmlformats.org/officeDocument/2006/relationships/image" Target="media/image620.png"/><Relationship Id="rId658" Type="http://schemas.openxmlformats.org/officeDocument/2006/relationships/image" Target="media/image621.png"/><Relationship Id="rId659" Type="http://schemas.openxmlformats.org/officeDocument/2006/relationships/image" Target="media/image622.png"/><Relationship Id="rId660" Type="http://schemas.openxmlformats.org/officeDocument/2006/relationships/image" Target="media/image623.png"/><Relationship Id="rId606" Type="http://schemas.openxmlformats.org/officeDocument/2006/relationships/hyperlink" Target="https://www.sec.gov/Archives/edgar/data/1920294/000119312523240685/d309194df4a.htm#anxacov" TargetMode="External"/><Relationship Id="rId607" Type="http://schemas.openxmlformats.org/officeDocument/2006/relationships/hyperlink" Target="https://www.sec.gov/Archives/edgar/data/1920294/000119312523240685/d309194df4a.htm#anxaa" TargetMode="External"/><Relationship Id="rId608" Type="http://schemas.openxmlformats.org/officeDocument/2006/relationships/hyperlink" Target="https://www.sec.gov/Archives/edgar/data/1920294/000095017025047916/rzlv-ex3_1.htm" TargetMode="External"/><Relationship Id="rId609" Type="http://schemas.openxmlformats.org/officeDocument/2006/relationships/hyperlink" Target="https://www.sec.gov/Archives/edgar/data/1920294/000119312524204510/d885107dex21.htm" TargetMode="External"/><Relationship Id="rId610" Type="http://schemas.openxmlformats.org/officeDocument/2006/relationships/hyperlink" Target="https://www.sec.gov/Archives/edgar/data/1920294/000119312524204510/d885107dex22.htm" TargetMode="External"/><Relationship Id="rId612" Type="http://schemas.openxmlformats.org/officeDocument/2006/relationships/hyperlink" Target="https://www.sec.gov/Archives/edgar/data/1920294/000119312524204510/d885107dex43.htm" TargetMode="External"/><Relationship Id="rId613" Type="http://schemas.openxmlformats.org/officeDocument/2006/relationships/hyperlink" Target="https://www.sec.gov/Archives/edgar/data/1920294/000119312524204510/d885107dex44.htm" TargetMode="External"/><Relationship Id="rId614" Type="http://schemas.openxmlformats.org/officeDocument/2006/relationships/hyperlink" Target="https://www.sec.gov/Archives/edgar/data/1920294/000119312524204510/d885107dex46.htm" TargetMode="External"/><Relationship Id="rId615" Type="http://schemas.openxmlformats.org/officeDocument/2006/relationships/hyperlink" Target="https://www.sec.gov/Archives/edgar/data/1920294/000119312524204510/d885107dex47.htm" TargetMode="External"/><Relationship Id="rId616" Type="http://schemas.openxmlformats.org/officeDocument/2006/relationships/hyperlink" Target="https://www.sec.gov/Archives/edgar/data/1920294/000119312524159410/d309194dex1017.htm" TargetMode="External"/><Relationship Id="rId617" Type="http://schemas.openxmlformats.org/officeDocument/2006/relationships/hyperlink" Target="https://www.sec.gov/Archives/edgar/data/1920294/000119312524143103/d309194dex1018.htm" TargetMode="External"/><Relationship Id="rId618" Type="http://schemas.openxmlformats.org/officeDocument/2006/relationships/hyperlink" Target="https://www.sec.gov/Archives/edgar/data/1920294/000119312524143103/d309194dex1019.htm" TargetMode="External"/><Relationship Id="rId619" Type="http://schemas.openxmlformats.org/officeDocument/2006/relationships/hyperlink" Target="https://www.sec.gov/Archives/edgar/data/1920294/000119312524143103/d309194dex1020.htm" TargetMode="External"/><Relationship Id="rId620" Type="http://schemas.openxmlformats.org/officeDocument/2006/relationships/hyperlink" Target="https://www.sec.gov/Archives/edgar/data/1920294/000119312524143103/d309194dex1021.htm" TargetMode="External"/><Relationship Id="rId621" Type="http://schemas.openxmlformats.org/officeDocument/2006/relationships/hyperlink" Target="https://www.sec.gov/Archives/edgar/data/1920294/000119312524143103/d309194dex1022.htm" TargetMode="External"/><Relationship Id="rId622" Type="http://schemas.openxmlformats.org/officeDocument/2006/relationships/hyperlink" Target="https://www.sec.gov/Archives/edgar/data/1920294/000119312524143103/d309194dex1023.htm" TargetMode="External"/><Relationship Id="rId623" Type="http://schemas.openxmlformats.org/officeDocument/2006/relationships/hyperlink" Target="https://www.sec.gov/Archives/edgar/data/1920294/000119312524143103/d309194dex1024.htm" TargetMode="External"/><Relationship Id="rId624" Type="http://schemas.openxmlformats.org/officeDocument/2006/relationships/hyperlink" Target="https://www.sec.gov/Archives/edgar/data/1844817/000119312524028592/d701134dex21.htm" TargetMode="External"/><Relationship Id="rId625" Type="http://schemas.openxmlformats.org/officeDocument/2006/relationships/hyperlink" Target="https://www.sec.gov/Archives/edgar/data/1920294/000095017024104513/rzlv-ex10_13.htm" TargetMode="External"/><Relationship Id="rId626" Type="http://schemas.openxmlformats.org/officeDocument/2006/relationships/hyperlink" Target="https://www.sec.gov/Archives/edgar/data/1920294/000095017024106474/rzlv-ex99_2.htm" TargetMode="External"/><Relationship Id="rId627" Type="http://schemas.openxmlformats.org/officeDocument/2006/relationships/hyperlink" Target="https://www.sec.gov/Archives/edgar/data/1920294/000095017024133740/rzlv-ex99_1.htm" TargetMode="External"/><Relationship Id="rId628" Type="http://schemas.openxmlformats.org/officeDocument/2006/relationships/hyperlink" Target="https://www.sec.gov/Archives/edgar/data/1920294/000095017024137626/rzlv-ex10_2.htm" TargetMode="External"/><Relationship Id="rId631" Type="http://schemas.openxmlformats.org/officeDocument/2006/relationships/hyperlink" Target="https://www.sec.gov/Archives/edgar/data/1920294/000095017024137626/rzlv-ex10_3.htm" TargetMode="External"/><Relationship Id="rId632" Type="http://schemas.openxmlformats.org/officeDocument/2006/relationships/hyperlink" Target="https://www.sec.gov/Archives/edgar/data/1920294/000095017024139714/rzlv-ex10_1.htm" TargetMode="External"/><Relationship Id="rId633" Type="http://schemas.openxmlformats.org/officeDocument/2006/relationships/hyperlink" Target="https://www.sec.gov/Archives/edgar/data/1920294/000095017025010226/rzlv-ex10_1.htm" TargetMode="External"/><Relationship Id="rId634" Type="http://schemas.openxmlformats.org/officeDocument/2006/relationships/hyperlink" Target="https://www.sec.gov/Archives/edgar/data/1920294/000095017025016341/rzlv-ex10_1.htm" TargetMode="External"/><Relationship Id="rId635" Type="http://schemas.openxmlformats.org/officeDocument/2006/relationships/hyperlink" Target="https://www.sec.gov/Archives/edgar/data/1920294/000095017025024898/rzlv-ex10_1.htm" TargetMode="External"/><Relationship Id="rId636" Type="http://schemas.openxmlformats.org/officeDocument/2006/relationships/hyperlink" Target="https://www.sec.gov/Archives/edgar/data/1920294/000095017025026125/rzlv-ex10_1.htm" TargetMode="External"/><Relationship Id="rId637" Type="http://schemas.openxmlformats.org/officeDocument/2006/relationships/hyperlink" Target="https://www.sec.gov/Archives/edgar/data/1920294/000095017025026125/rzlv-ex10_2.htm" TargetMode="External"/><Relationship Id="rId638" Type="http://schemas.openxmlformats.org/officeDocument/2006/relationships/hyperlink" Target="https://www.sec.gov/Archives/edgar/data/1920294/000095017025034867/rzlv-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2025-05-19T12:17:21Z</dcterms:created>
  <dcterms:modified xsi:type="dcterms:W3CDTF">2025-05-19T12:17:21Z</dcterms:modified>
</cp:coreProperties>
</file>