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For the month of March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780415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2233930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GroupBy Acquisition Closing</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previously disclosed, on February 11, 2025, Rezolve AI Limited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entered into a purchase agreement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by and among the Company, GroupBy Inc. ("</w:t>
      </w:r>
      <w:r>
        <w:rPr>
          <w:rFonts w:ascii="Times New Roman" w:cs="Times New Roman" w:eastAsia="Times New Roman" w:hAnsi="Times New Roman"/>
          <w:sz w:val="18"/>
          <w:szCs w:val="18"/>
          <w:i w:val="1"/>
          <w:iCs w:val="1"/>
          <w:color w:val="auto"/>
        </w:rPr>
        <w:t>GroupBy</w:t>
      </w:r>
      <w:r>
        <w:rPr>
          <w:rFonts w:ascii="Times New Roman" w:cs="Times New Roman" w:eastAsia="Times New Roman" w:hAnsi="Times New Roman"/>
          <w:sz w:val="18"/>
          <w:szCs w:val="18"/>
          <w:color w:val="auto"/>
        </w:rPr>
        <w:t>"), GroupBy International ("</w:t>
      </w:r>
      <w:r>
        <w:rPr>
          <w:rFonts w:ascii="Times New Roman" w:cs="Times New Roman" w:eastAsia="Times New Roman" w:hAnsi="Times New Roman"/>
          <w:sz w:val="18"/>
          <w:szCs w:val="18"/>
          <w:i w:val="1"/>
          <w:iCs w:val="1"/>
          <w:color w:val="auto"/>
        </w:rPr>
        <w:t>GroupBy Internationa</w:t>
      </w:r>
      <w:r>
        <w:rPr>
          <w:rFonts w:ascii="Times New Roman" w:cs="Times New Roman" w:eastAsia="Times New Roman" w:hAnsi="Times New Roman"/>
          <w:sz w:val="18"/>
          <w:szCs w:val="18"/>
          <w:color w:val="auto"/>
        </w:rPr>
        <w:t>l") and Fortis Advisors LLC, a Delaware limited liability company, as the representative of the sellers party thereto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25, 2025, the Company closed the Acquisition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As consideration for the Acquisition, the Company issued an aggregate of 3,999,902 of ordinary shares of £0.0001 nominal value in the capital of the Company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in a private placement to the Sellers. In addition, the Company intends to grant stock options exercisable for an aggregate of 3,098,270 Ordinary Shares to certain individuals pursuant to the Purchase Agreement.</w:t>
      </w:r>
    </w:p>
    <w:p>
      <w:pPr>
        <w:spacing w:after="0" w:line="1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26, 2025, the Company issued a press release announcing the closing of the Acquisition. A copy of the press release is furnished as Exhibit 99.1 to this Report on Form 6-K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Novation Agreement and Subscription Letter</w:t>
      </w:r>
    </w:p>
    <w:p>
      <w:pPr>
        <w:spacing w:after="0" w:line="227" w:lineRule="exact"/>
        <w:rPr>
          <w:sz w:val="20"/>
          <w:szCs w:val="20"/>
          <w:color w:val="auto"/>
        </w:rPr>
      </w:pPr>
    </w:p>
    <w:p>
      <w:pPr>
        <w:ind w:right="620"/>
        <w:spacing w:after="0" w:line="267" w:lineRule="auto"/>
        <w:rPr>
          <w:sz w:val="20"/>
          <w:szCs w:val="20"/>
          <w:color w:val="auto"/>
        </w:rPr>
      </w:pPr>
      <w:r>
        <w:rPr>
          <w:rFonts w:ascii="Times New Roman" w:cs="Times New Roman" w:eastAsia="Times New Roman" w:hAnsi="Times New Roman"/>
          <w:sz w:val="18"/>
          <w:szCs w:val="18"/>
          <w:color w:val="auto"/>
        </w:rPr>
        <w:t>In connection with the Closing, on March 25, 2025, the Company entered into a Subscription Letter (the "</w:t>
      </w:r>
      <w:r>
        <w:rPr>
          <w:rFonts w:ascii="Times New Roman" w:cs="Times New Roman" w:eastAsia="Times New Roman" w:hAnsi="Times New Roman"/>
          <w:sz w:val="18"/>
          <w:szCs w:val="18"/>
          <w:i w:val="1"/>
          <w:iCs w:val="1"/>
          <w:color w:val="auto"/>
        </w:rPr>
        <w:t>Subscription Lette</w:t>
      </w:r>
      <w:r>
        <w:rPr>
          <w:rFonts w:ascii="Times New Roman" w:cs="Times New Roman" w:eastAsia="Times New Roman" w:hAnsi="Times New Roman"/>
          <w:sz w:val="18"/>
          <w:szCs w:val="18"/>
          <w:color w:val="auto"/>
        </w:rPr>
        <w:t>r"), by and between the Company and WAB, pursuant to which the Company agreed to issue to WAB a number of Ordinary Shares which is equal to $12,300,000 (the "</w:t>
      </w:r>
      <w:r>
        <w:rPr>
          <w:rFonts w:ascii="Times New Roman" w:cs="Times New Roman" w:eastAsia="Times New Roman" w:hAnsi="Times New Roman"/>
          <w:sz w:val="18"/>
          <w:szCs w:val="18"/>
          <w:i w:val="1"/>
          <w:iCs w:val="1"/>
          <w:color w:val="auto"/>
        </w:rPr>
        <w:t>Subscription Shares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consideration for the allotment of the Subscription Shares, WAB will irrevocably and unconditionally release and discharge the Company from the obligations owed by the Company to WAB.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Re-registration as a Public Limited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28, 2025, the Company altered its legal status under English law from a private limited company and re-registered as a public limited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re-registration as a public limited company, the Company changed its name from Rezolve AI Limited to Rezolve AI PLC.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Pr>
          <w:p>
            <w:pPr>
              <w:spacing w:after="0"/>
              <w:rPr>
                <w:sz w:val="24"/>
                <w:szCs w:val="24"/>
                <w:color w:val="auto"/>
              </w:rPr>
            </w:pPr>
          </w:p>
        </w:tc>
        <w:tc>
          <w:tcPr>
            <w:tcW w:w="3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Articles of Association of Rezolve AI PLC</w:t>
            </w:r>
          </w:p>
        </w:tc>
        <w:tc>
          <w:tcPr>
            <w:tcW w:w="6060" w:type="dxa"/>
            <w:vAlign w:val="bottom"/>
            <w:gridSpan w:val="4"/>
          </w:tcPr>
          <w:p>
            <w:pPr>
              <w:spacing w:after="0"/>
              <w:rPr>
                <w:sz w:val="24"/>
                <w:szCs w:val="24"/>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spacing w:after="0"/>
              <w:rPr>
                <w:sz w:val="17"/>
                <w:szCs w:val="17"/>
                <w:color w:val="auto"/>
              </w:rPr>
            </w:pPr>
          </w:p>
        </w:tc>
        <w:tc>
          <w:tcPr>
            <w:tcW w:w="86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Novation Agreement, dated March 25, 2025, by and among Rezolve AI Limited, Western Alliance Bank, GroupBy Inc,</w:t>
            </w:r>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7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GroupBy USA Inc. and GroupBy International Ltd.</w:t>
            </w:r>
          </w:p>
        </w:tc>
        <w:tc>
          <w:tcPr>
            <w:tcW w:w="5440" w:type="dxa"/>
            <w:vAlign w:val="bottom"/>
            <w:gridSpan w:val="3"/>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spacing w:after="0"/>
              <w:rPr>
                <w:sz w:val="17"/>
                <w:szCs w:val="17"/>
                <w:color w:val="auto"/>
              </w:rPr>
            </w:pPr>
          </w:p>
        </w:tc>
        <w:tc>
          <w:tcPr>
            <w:tcW w:w="77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Subscription Letter, dated March 25, 2025, by and among Rezolve AI Limited and Western Alliance Bank.</w:t>
            </w:r>
          </w:p>
        </w:tc>
        <w:tc>
          <w:tcPr>
            <w:tcW w:w="1440" w:type="dxa"/>
            <w:vAlign w:val="bottom"/>
            <w:gridSpan w:val="2"/>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17"/>
                <w:szCs w:val="17"/>
                <w:color w:val="auto"/>
              </w:rPr>
            </w:pPr>
          </w:p>
        </w:tc>
        <w:tc>
          <w:tcPr>
            <w:tcW w:w="9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March 26, 2025</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1760" w:type="dxa"/>
            <w:vAlign w:val="bottom"/>
            <w:tcBorders>
              <w:top w:val="single" w:sz="8" w:color="0000FF"/>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r>
      <w:tr>
        <w:trPr>
          <w:trHeight w:val="1864"/>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ARTICLES OF ASSOCIATION</w:t>
      </w:r>
    </w:p>
    <w:p>
      <w:pPr>
        <w:spacing w:after="0" w:line="4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Of REZOLVE AI PLC</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(Company number: 14573691)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by special resolution passed on 28 February 2025 and effective from re-registration as 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661670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4" w:name="page5"/>
    <w:bookmarkEnd w:id="4"/>
    <w:p>
      <w:pPr>
        <w:jc w:val="right"/>
        <w:ind w:right="3819"/>
        <w:spacing w:after="0"/>
        <w:rPr>
          <w:sz w:val="20"/>
          <w:szCs w:val="20"/>
          <w:color w:val="auto"/>
        </w:rPr>
      </w:pPr>
      <w:r>
        <w:rPr>
          <w:rFonts w:ascii="Times New Roman" w:cs="Times New Roman" w:eastAsia="Times New Roman" w:hAnsi="Times New Roman"/>
          <w:sz w:val="20"/>
          <w:szCs w:val="20"/>
          <w:color w:val="auto"/>
        </w:rPr>
        <w:t>contents</w:t>
      </w:r>
    </w:p>
    <w:p>
      <w:pPr>
        <w:spacing w:after="0" w:line="21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Article</w:t>
      </w:r>
      <w:r>
        <w:rPr>
          <w:sz w:val="20"/>
          <w:szCs w:val="20"/>
          <w:color w:val="auto"/>
        </w:rPr>
        <w:tab/>
      </w: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989965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399" w:right="1440" w:bottom="1440" w:gutter="0" w:footer="0" w:header="0"/>
        </w:sectPr>
      </w:pPr>
    </w:p>
    <w:bookmarkStart w:id="5" w:name="page6"/>
    <w:bookmarkEnd w:id="5"/>
    <w:p>
      <w:pPr>
        <w:spacing w:after="0" w:line="149" w:lineRule="exact"/>
        <w:rPr>
          <w:sz w:val="20"/>
          <w:szCs w:val="20"/>
          <w:color w:val="auto"/>
        </w:rPr>
      </w:pPr>
    </w:p>
    <w:p>
      <w:pPr>
        <w:ind w:left="7"/>
        <w:spacing w:after="0"/>
        <w:tabs>
          <w:tab w:leader="none" w:pos="1567" w:val="left"/>
        </w:tabs>
        <w:rPr>
          <w:sz w:val="20"/>
          <w:szCs w:val="20"/>
          <w:color w:val="auto"/>
        </w:rPr>
      </w:pPr>
      <w:r>
        <w:rPr>
          <w:rFonts w:ascii="Times New Roman" w:cs="Times New Roman" w:eastAsia="Times New Roman" w:hAnsi="Times New Roman"/>
          <w:sz w:val="20"/>
          <w:szCs w:val="20"/>
          <w:color w:val="auto"/>
        </w:rPr>
        <w:t>PRELIMINARY</w:t>
        <w:tab/>
        <w:t>1</w:t>
      </w:r>
    </w:p>
    <w:p>
      <w:pPr>
        <w:spacing w:after="0" w:line="21" w:lineRule="exact"/>
        <w:rPr>
          <w:sz w:val="20"/>
          <w:szCs w:val="20"/>
          <w:color w:val="auto"/>
        </w:rPr>
      </w:pPr>
    </w:p>
    <w:p>
      <w:pPr>
        <w:ind w:left="7"/>
        <w:spacing w:after="0"/>
        <w:tabs>
          <w:tab w:leader="none" w:pos="727" w:val="left"/>
          <w:tab w:leader="none" w:pos="3887"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20"/>
          <w:szCs w:val="20"/>
          <w:color w:val="auto"/>
        </w:rPr>
        <w:t>Exclusion of default or model articles</w:t>
        <w:tab/>
        <w:t>1</w:t>
      </w:r>
    </w:p>
    <w:p>
      <w:pPr>
        <w:ind w:left="747" w:hanging="747"/>
        <w:spacing w:after="0"/>
        <w:tabs>
          <w:tab w:leader="none" w:pos="747"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Interpretation 1</w:t>
      </w:r>
    </w:p>
    <w:tbl>
      <w:tblPr>
        <w:tblLayout w:type="fixed"/>
        <w:tblInd w:w="7" w:type="dxa"/>
        <w:tblCellMar>
          <w:top w:w="0" w:type="dxa"/>
          <w:left w:w="0" w:type="dxa"/>
          <w:bottom w:w="0" w:type="dxa"/>
          <w:right w:w="0" w:type="dxa"/>
        </w:tblCellMar>
      </w:tblPr>
      <w:tr>
        <w:trPr>
          <w:trHeight w:val="221"/>
        </w:trPr>
        <w:tc>
          <w:tcPr>
            <w:tcW w:w="4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3.</w:t>
            </w:r>
          </w:p>
        </w:tc>
        <w:tc>
          <w:tcPr>
            <w:tcW w:w="3960" w:type="dxa"/>
            <w:vAlign w:val="bottom"/>
          </w:tcPr>
          <w:p>
            <w:pPr>
              <w:ind w:left="300"/>
              <w:spacing w:after="0" w:line="221" w:lineRule="exact"/>
              <w:rPr>
                <w:sz w:val="20"/>
                <w:szCs w:val="20"/>
                <w:color w:val="auto"/>
              </w:rPr>
            </w:pPr>
            <w:r>
              <w:rPr>
                <w:rFonts w:ascii="Times New Roman" w:cs="Times New Roman" w:eastAsia="Times New Roman" w:hAnsi="Times New Roman"/>
                <w:sz w:val="20"/>
                <w:szCs w:val="20"/>
                <w:color w:val="auto"/>
              </w:rPr>
              <w:t>Limited liability   8</w:t>
            </w:r>
          </w:p>
        </w:tc>
      </w:tr>
      <w:tr>
        <w:trPr>
          <w:trHeight w:val="243"/>
        </w:trPr>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 CAPITAL 8</w:t>
            </w:r>
          </w:p>
        </w:tc>
      </w:t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39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Share capital and rights attached to shares   8</w:t>
            </w:r>
          </w:p>
        </w:tc>
      </w:tr>
      <w:tr>
        <w:trPr>
          <w:trHeight w:val="258"/>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39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Rights attaching to Founder's Shares   9</w:t>
            </w:r>
          </w:p>
        </w:tc>
      </w:tr>
    </w:tbl>
    <w:p>
      <w:pPr>
        <w:ind w:left="747" w:hanging="747"/>
        <w:spacing w:after="0"/>
        <w:tabs>
          <w:tab w:leader="none" w:pos="74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attaching to the Deferred Shares 9</w:t>
      </w:r>
    </w:p>
    <w:tbl>
      <w:tblPr>
        <w:tblLayout w:type="fixed"/>
        <w:tblInd w:w="7" w:type="dxa"/>
        <w:tblCellMar>
          <w:top w:w="0" w:type="dxa"/>
          <w:left w:w="0" w:type="dxa"/>
          <w:bottom w:w="0" w:type="dxa"/>
          <w:right w:w="0" w:type="dxa"/>
        </w:tblCellMar>
      </w:tblP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7.</w:t>
            </w:r>
          </w:p>
        </w:tc>
        <w:tc>
          <w:tcPr>
            <w:tcW w:w="2920" w:type="dxa"/>
            <w:vAlign w:val="bottom"/>
            <w:gridSpan w:val="2"/>
          </w:tcPr>
          <w:p>
            <w:pPr>
              <w:ind w:left="240"/>
              <w:spacing w:after="0" w:line="228" w:lineRule="exact"/>
              <w:rPr>
                <w:sz w:val="20"/>
                <w:szCs w:val="20"/>
                <w:color w:val="auto"/>
              </w:rPr>
            </w:pPr>
            <w:r>
              <w:rPr>
                <w:rFonts w:ascii="Times New Roman" w:cs="Times New Roman" w:eastAsia="Times New Roman" w:hAnsi="Times New Roman"/>
                <w:sz w:val="20"/>
                <w:szCs w:val="20"/>
                <w:color w:val="auto"/>
              </w:rPr>
              <w:t>Conversion to Deferred Shares</w:t>
            </w:r>
          </w:p>
        </w:tc>
        <w:tc>
          <w:tcPr>
            <w:tcW w:w="700" w:type="dxa"/>
            <w:vAlign w:val="bottom"/>
          </w:tcPr>
          <w:p>
            <w:pPr>
              <w:jc w:val="right"/>
              <w:ind w:right="321"/>
              <w:spacing w:after="0" w:line="228" w:lineRule="exact"/>
              <w:rPr>
                <w:sz w:val="20"/>
                <w:szCs w:val="20"/>
                <w:color w:val="auto"/>
              </w:rPr>
            </w:pPr>
            <w:r>
              <w:rPr>
                <w:rFonts w:ascii="Times New Roman" w:cs="Times New Roman" w:eastAsia="Times New Roman" w:hAnsi="Times New Roman"/>
                <w:sz w:val="20"/>
                <w:szCs w:val="20"/>
                <w:color w:val="auto"/>
              </w:rPr>
              <w:t>10</w:t>
            </w:r>
          </w:p>
        </w:tc>
        <w:tc>
          <w:tcPr>
            <w:tcW w:w="380" w:type="dxa"/>
            <w:vAlign w:val="bottom"/>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36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Authority to allot shares and grant rights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2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Power to pay commission</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1"/>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2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Power to alter share capital</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ind w:left="747" w:hanging="747"/>
        <w:spacing w:after="0"/>
        <w:tabs>
          <w:tab w:leader="none" w:pos="747"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Power to issue redeemable shares and conversion of existing non-redeemable shares</w:t>
      </w:r>
    </w:p>
    <w:p>
      <w:pPr>
        <w:spacing w:after="0" w:line="18" w:lineRule="exact"/>
        <w:rPr>
          <w:sz w:val="20"/>
          <w:szCs w:val="20"/>
          <w:color w:val="auto"/>
        </w:rPr>
      </w:pPr>
    </w:p>
    <w:p>
      <w:pPr>
        <w:ind w:left="1187" w:hanging="389"/>
        <w:spacing w:after="0"/>
        <w:tabs>
          <w:tab w:leader="none" w:pos="118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w:t>
      </w:r>
    </w:p>
    <w:p>
      <w:pPr>
        <w:spacing w:after="0" w:line="6" w:lineRule="exact"/>
        <w:rPr>
          <w:sz w:val="20"/>
          <w:szCs w:val="20"/>
          <w:color w:val="auto"/>
        </w:rPr>
      </w:pPr>
    </w:p>
    <w:p>
      <w:pPr>
        <w:ind w:left="7"/>
        <w:spacing w:after="0"/>
        <w:tabs>
          <w:tab w:leader="none" w:pos="727" w:val="left"/>
          <w:tab w:leader="none" w:pos="3507"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Power to purchase own shares</w:t>
      </w:r>
      <w:r>
        <w:rPr>
          <w:sz w:val="20"/>
          <w:szCs w:val="20"/>
          <w:color w:val="auto"/>
        </w:rPr>
        <w:tab/>
      </w:r>
      <w:r>
        <w:rPr>
          <w:rFonts w:ascii="Times New Roman" w:cs="Times New Roman" w:eastAsia="Times New Roman" w:hAnsi="Times New Roman"/>
          <w:sz w:val="18"/>
          <w:szCs w:val="18"/>
          <w:color w:val="auto"/>
        </w:rPr>
        <w:t>12</w:t>
      </w:r>
    </w:p>
    <w:p>
      <w:pPr>
        <w:ind w:left="747" w:hanging="747"/>
        <w:spacing w:after="0"/>
        <w:tabs>
          <w:tab w:leader="none" w:pos="74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 to reduce capital 13</w:t>
      </w:r>
    </w:p>
    <w:tbl>
      <w:tblPr>
        <w:tblLayout w:type="fixed"/>
        <w:tblInd w:w="7" w:type="dxa"/>
        <w:tblCellMar>
          <w:top w:w="0" w:type="dxa"/>
          <w:left w:w="0" w:type="dxa"/>
          <w:bottom w:w="0" w:type="dxa"/>
          <w:right w:w="0" w:type="dxa"/>
        </w:tblCellMar>
      </w:tblPr>
      <w:tr>
        <w:trPr>
          <w:trHeight w:val="221"/>
        </w:trPr>
        <w:tc>
          <w:tcPr>
            <w:tcW w:w="5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14.</w:t>
            </w:r>
          </w:p>
        </w:tc>
        <w:tc>
          <w:tcPr>
            <w:tcW w:w="4080" w:type="dxa"/>
            <w:vAlign w:val="bottom"/>
          </w:tcPr>
          <w:p>
            <w:pPr>
              <w:ind w:left="240"/>
              <w:spacing w:after="0" w:line="221" w:lineRule="exact"/>
              <w:rPr>
                <w:sz w:val="20"/>
                <w:szCs w:val="20"/>
                <w:color w:val="auto"/>
              </w:rPr>
            </w:pPr>
            <w:r>
              <w:rPr>
                <w:rFonts w:ascii="Times New Roman" w:cs="Times New Roman" w:eastAsia="Times New Roman" w:hAnsi="Times New Roman"/>
                <w:sz w:val="20"/>
                <w:szCs w:val="20"/>
                <w:color w:val="auto"/>
              </w:rPr>
              <w:t>Trusts not recognised   13</w:t>
            </w:r>
          </w:p>
        </w:tc>
        <w:tc>
          <w:tcPr>
            <w:tcW w:w="36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4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Effect of Redemption, Purchase and Surrender</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4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Treasury shares    13</w:t>
            </w:r>
          </w:p>
        </w:tc>
        <w:tc>
          <w:tcPr>
            <w:tcW w:w="360" w:type="dxa"/>
            <w:vAlign w:val="bottom"/>
          </w:tcPr>
          <w:p>
            <w:pPr>
              <w:spacing w:after="0"/>
              <w:rPr>
                <w:sz w:val="19"/>
                <w:szCs w:val="19"/>
                <w:color w:val="auto"/>
              </w:rPr>
            </w:pPr>
          </w:p>
        </w:tc>
      </w:tr>
      <w:tr>
        <w:trPr>
          <w:trHeight w:val="258"/>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UNCERTIFICATED SHARES – GENERAL POWERS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bl>
    <w:p>
      <w:pPr>
        <w:ind w:left="747" w:hanging="747"/>
        <w:spacing w:after="0"/>
        <w:tabs>
          <w:tab w:leader="none" w:pos="74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Uncertificated shares – general powers 13</w:t>
      </w:r>
    </w:p>
    <w:p>
      <w:pPr>
        <w:spacing w:after="0" w:line="227" w:lineRule="exact"/>
        <w:rPr>
          <w:sz w:val="20"/>
          <w:szCs w:val="20"/>
          <w:color w:val="auto"/>
        </w:rPr>
      </w:pPr>
    </w:p>
    <w:p>
      <w:pPr>
        <w:ind w:left="747" w:hanging="747"/>
        <w:spacing w:after="0"/>
        <w:tabs>
          <w:tab w:leader="none" w:pos="74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 of rights 14</w:t>
      </w:r>
    </w:p>
    <w:p>
      <w:pPr>
        <w:spacing w:after="0" w:line="21" w:lineRule="exact"/>
        <w:rPr>
          <w:rFonts w:ascii="Times New Roman" w:cs="Times New Roman" w:eastAsia="Times New Roman" w:hAnsi="Times New Roman"/>
          <w:sz w:val="20"/>
          <w:szCs w:val="20"/>
          <w:color w:val="auto"/>
        </w:rPr>
      </w:pPr>
    </w:p>
    <w:p>
      <w:pPr>
        <w:ind w:left="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SHARES  15</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 to transfer shares  15</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uncertificated shares 15</w:t>
      </w:r>
    </w:p>
    <w:tbl>
      <w:tblPr>
        <w:tblLayout w:type="fixed"/>
        <w:tblInd w:w="7" w:type="dxa"/>
        <w:tblCellMar>
          <w:top w:w="0" w:type="dxa"/>
          <w:left w:w="0" w:type="dxa"/>
          <w:bottom w:w="0" w:type="dxa"/>
          <w:right w:w="0" w:type="dxa"/>
        </w:tblCellMar>
      </w:tblPr>
      <w:tr>
        <w:trPr>
          <w:trHeight w:val="221"/>
        </w:trPr>
        <w:tc>
          <w:tcPr>
            <w:tcW w:w="5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21.</w:t>
            </w:r>
          </w:p>
        </w:tc>
        <w:tc>
          <w:tcPr>
            <w:tcW w:w="3300" w:type="dxa"/>
            <w:vAlign w:val="bottom"/>
            <w:gridSpan w:val="2"/>
          </w:tcPr>
          <w:p>
            <w:pPr>
              <w:ind w:left="240"/>
              <w:spacing w:after="0" w:line="221" w:lineRule="exact"/>
              <w:rPr>
                <w:sz w:val="20"/>
                <w:szCs w:val="20"/>
                <w:color w:val="auto"/>
              </w:rPr>
            </w:pPr>
            <w:r>
              <w:rPr>
                <w:rFonts w:ascii="Times New Roman" w:cs="Times New Roman" w:eastAsia="Times New Roman" w:hAnsi="Times New Roman"/>
                <w:sz w:val="20"/>
                <w:szCs w:val="20"/>
                <w:color w:val="auto"/>
              </w:rPr>
              <w:t>Transfers of certificated shares   15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3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 provisions relating to transfers</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w:t>
            </w:r>
          </w:p>
        </w:tc>
        <w:tc>
          <w:tcPr>
            <w:tcW w:w="28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2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 of refusal   17</w:t>
            </w: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29"/>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TRANSMISSION OF SHARES</w:t>
            </w:r>
          </w:p>
        </w:tc>
        <w:tc>
          <w:tcPr>
            <w:tcW w:w="116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17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2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Transmission on death</w:t>
            </w:r>
          </w:p>
        </w:tc>
        <w:tc>
          <w:tcPr>
            <w:tcW w:w="116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rPr>
              <w:t>17</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37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Election of person entitled by transmission</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37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Rights of person entitled by transmission</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3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DISCLOSURE OF INTERESTS IN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80" w:type="dxa"/>
            <w:vAlign w:val="bottom"/>
          </w:tcPr>
          <w:p>
            <w:pPr>
              <w:spacing w:after="0"/>
              <w:rPr>
                <w:sz w:val="19"/>
                <w:szCs w:val="19"/>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27.</w:t>
            </w:r>
          </w:p>
        </w:tc>
        <w:tc>
          <w:tcPr>
            <w:tcW w:w="2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Disenfranchisement</w:t>
            </w:r>
          </w:p>
        </w:tc>
        <w:tc>
          <w:tcPr>
            <w:tcW w:w="116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rPr>
              <w:t>18</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r>
    </w:tbl>
    <w:p>
      <w:pPr>
        <w:ind w:left="747" w:hanging="747"/>
        <w:spacing w:after="0"/>
        <w:tabs>
          <w:tab w:leader="none" w:pos="74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of notices on non-members and Depositaries 19</w:t>
      </w:r>
    </w:p>
    <w:tbl>
      <w:tblPr>
        <w:tblLayout w:type="fixed"/>
        <w:tblInd w:w="7" w:type="dxa"/>
        <w:tblCellMar>
          <w:top w:w="0" w:type="dxa"/>
          <w:left w:w="0" w:type="dxa"/>
          <w:bottom w:w="0" w:type="dxa"/>
          <w:right w:w="0" w:type="dxa"/>
        </w:tblCellMar>
      </w:tblP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29.</w:t>
            </w:r>
          </w:p>
        </w:tc>
        <w:tc>
          <w:tcPr>
            <w:tcW w:w="3300" w:type="dxa"/>
            <w:vAlign w:val="bottom"/>
            <w:gridSpan w:val="2"/>
          </w:tcPr>
          <w:p>
            <w:pPr>
              <w:ind w:left="240"/>
              <w:spacing w:after="0" w:line="228" w:lineRule="exact"/>
              <w:rPr>
                <w:sz w:val="20"/>
                <w:szCs w:val="20"/>
                <w:color w:val="auto"/>
              </w:rPr>
            </w:pPr>
            <w:r>
              <w:rPr>
                <w:rFonts w:ascii="Times New Roman" w:cs="Times New Roman" w:eastAsia="Times New Roman" w:hAnsi="Times New Roman"/>
                <w:sz w:val="20"/>
                <w:szCs w:val="20"/>
                <w:color w:val="auto"/>
              </w:rPr>
              <w:t>Cessation of disenfranchisement  20</w:t>
            </w:r>
          </w:p>
        </w:tc>
        <w:tc>
          <w:tcPr>
            <w:tcW w:w="3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30.</w:t>
            </w:r>
          </w:p>
        </w:tc>
        <w:tc>
          <w:tcPr>
            <w:tcW w:w="3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Conversion of uncertificated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3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Section 794 and 795 of the 2006 Act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2"/>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MEETINGS</w:t>
            </w:r>
          </w:p>
        </w:tc>
        <w:tc>
          <w:tcPr>
            <w:tcW w:w="1640" w:type="dxa"/>
            <w:vAlign w:val="bottom"/>
          </w:tcPr>
          <w:p>
            <w:pPr>
              <w:jc w:val="right"/>
              <w:ind w:right="1141"/>
              <w:spacing w:after="0"/>
              <w:rPr>
                <w:sz w:val="20"/>
                <w:szCs w:val="20"/>
                <w:color w:val="auto"/>
              </w:rPr>
            </w:pPr>
            <w:r>
              <w:rPr>
                <w:rFonts w:ascii="Times New Roman" w:cs="Times New Roman" w:eastAsia="Times New Roman" w:hAnsi="Times New Roman"/>
                <w:sz w:val="20"/>
                <w:szCs w:val="20"/>
                <w:color w:val="auto"/>
              </w:rPr>
              <w:t>20</w:t>
            </w:r>
          </w:p>
        </w:tc>
        <w:tc>
          <w:tcPr>
            <w:tcW w:w="300" w:type="dxa"/>
            <w:vAlign w:val="bottom"/>
          </w:tcPr>
          <w:p>
            <w:pPr>
              <w:spacing w:after="0"/>
              <w:rPr>
                <w:sz w:val="21"/>
                <w:szCs w:val="21"/>
                <w:color w:val="auto"/>
              </w:rPr>
            </w:pPr>
          </w:p>
        </w:tc>
      </w:tr>
    </w:tbl>
    <w:p>
      <w:pPr>
        <w:ind w:left="747" w:hanging="747"/>
        <w:spacing w:after="0"/>
        <w:tabs>
          <w:tab w:leader="none" w:pos="74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meetings  20</w:t>
      </w:r>
    </w:p>
    <w:p>
      <w:pPr>
        <w:ind w:left="747" w:hanging="747"/>
        <w:spacing w:after="0"/>
        <w:tabs>
          <w:tab w:leader="none" w:pos="74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 at more than one place or in more than one format 21</w:t>
      </w:r>
    </w:p>
    <w:tbl>
      <w:tblPr>
        <w:tblLayout w:type="fixed"/>
        <w:tblInd w:w="7" w:type="dxa"/>
        <w:tblCellMar>
          <w:top w:w="0" w:type="dxa"/>
          <w:left w:w="0" w:type="dxa"/>
          <w:bottom w:w="0" w:type="dxa"/>
          <w:right w:w="0" w:type="dxa"/>
        </w:tblCellMar>
      </w:tblPr>
      <w:tr>
        <w:trPr>
          <w:trHeight w:val="221"/>
        </w:trPr>
        <w:tc>
          <w:tcPr>
            <w:tcW w:w="5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34.</w:t>
            </w:r>
          </w:p>
        </w:tc>
        <w:tc>
          <w:tcPr>
            <w:tcW w:w="2460" w:type="dxa"/>
            <w:vAlign w:val="bottom"/>
          </w:tcPr>
          <w:p>
            <w:pPr>
              <w:ind w:left="240"/>
              <w:spacing w:after="0" w:line="221" w:lineRule="exact"/>
              <w:rPr>
                <w:sz w:val="20"/>
                <w:szCs w:val="20"/>
                <w:color w:val="auto"/>
              </w:rPr>
            </w:pPr>
            <w:r>
              <w:rPr>
                <w:rFonts w:ascii="Times New Roman" w:cs="Times New Roman" w:eastAsia="Times New Roman" w:hAnsi="Times New Roman"/>
                <w:sz w:val="20"/>
                <w:szCs w:val="20"/>
                <w:color w:val="auto"/>
              </w:rPr>
              <w:t>Hybrid meetings   22</w:t>
            </w:r>
          </w:p>
        </w:tc>
        <w:tc>
          <w:tcPr>
            <w:tcW w:w="7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2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Annual general meetings</w:t>
            </w:r>
          </w:p>
        </w:tc>
        <w:tc>
          <w:tcPr>
            <w:tcW w:w="7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22</w:t>
            </w:r>
          </w:p>
        </w:tc>
        <w:tc>
          <w:tcPr>
            <w:tcW w:w="2780" w:type="dxa"/>
            <w:vAlign w:val="bottom"/>
          </w:tcPr>
          <w:p>
            <w:pPr>
              <w:spacing w:after="0"/>
              <w:rPr>
                <w:sz w:val="21"/>
                <w:szCs w:val="21"/>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59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Convening of general meetings other than annual general meetings   22</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37.</w:t>
            </w:r>
          </w:p>
        </w:tc>
        <w:tc>
          <w:tcPr>
            <w:tcW w:w="2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Separate general meetings</w:t>
            </w:r>
          </w:p>
        </w:tc>
        <w:tc>
          <w:tcPr>
            <w:tcW w:w="7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23</w:t>
            </w:r>
          </w:p>
        </w:tc>
        <w:tc>
          <w:tcPr>
            <w:tcW w:w="2780" w:type="dxa"/>
            <w:vAlign w:val="bottom"/>
          </w:tcPr>
          <w:p>
            <w:pPr>
              <w:spacing w:after="0"/>
              <w:rPr>
                <w:sz w:val="21"/>
                <w:szCs w:val="21"/>
                <w:color w:val="auto"/>
              </w:rPr>
            </w:pPr>
          </w:p>
        </w:tc>
      </w:tr>
      <w:tr>
        <w:trPr>
          <w:trHeight w:val="229"/>
        </w:trPr>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NOTICE OF GENERAL MEETINGS 23</w:t>
            </w:r>
          </w:p>
        </w:tc>
        <w:tc>
          <w:tcPr>
            <w:tcW w:w="2780" w:type="dxa"/>
            <w:vAlign w:val="bottom"/>
          </w:tcPr>
          <w:p>
            <w:pPr>
              <w:spacing w:after="0"/>
              <w:rPr>
                <w:sz w:val="19"/>
                <w:szCs w:val="19"/>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38.</w:t>
            </w:r>
          </w:p>
        </w:tc>
        <w:tc>
          <w:tcPr>
            <w:tcW w:w="3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Length, form and content of notice</w:t>
            </w:r>
          </w:p>
        </w:tc>
        <w:tc>
          <w:tcPr>
            <w:tcW w:w="2780" w:type="dxa"/>
            <w:vAlign w:val="bottom"/>
          </w:tcPr>
          <w:p>
            <w:pPr>
              <w:jc w:val="right"/>
              <w:ind w:right="2281"/>
              <w:spacing w:after="0"/>
              <w:rPr>
                <w:sz w:val="20"/>
                <w:szCs w:val="20"/>
                <w:color w:val="auto"/>
              </w:rPr>
            </w:pPr>
            <w:r>
              <w:rPr>
                <w:rFonts w:ascii="Times New Roman" w:cs="Times New Roman" w:eastAsia="Times New Roman" w:hAnsi="Times New Roman"/>
                <w:sz w:val="20"/>
                <w:szCs w:val="20"/>
                <w:color w:val="auto"/>
              </w:rPr>
              <w:t>23</w:t>
            </w:r>
          </w:p>
        </w:tc>
      </w:tr>
    </w:tbl>
    <w:p>
      <w:pPr>
        <w:ind w:left="747" w:hanging="747"/>
        <w:spacing w:after="0"/>
        <w:tabs>
          <w:tab w:leader="none" w:pos="74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Omission or non-receipt of notice 23</w:t>
      </w:r>
    </w:p>
    <w:p>
      <w:pPr>
        <w:spacing w:after="0" w:line="38" w:lineRule="exact"/>
        <w:rPr>
          <w:sz w:val="20"/>
          <w:szCs w:val="20"/>
          <w:color w:val="auto"/>
        </w:rPr>
      </w:pPr>
    </w:p>
    <w:p>
      <w:pPr>
        <w:ind w:left="7"/>
        <w:spacing w:after="0"/>
        <w:tabs>
          <w:tab w:leader="none" w:pos="3927" w:val="left"/>
        </w:tabs>
        <w:rPr>
          <w:sz w:val="20"/>
          <w:szCs w:val="20"/>
          <w:color w:val="auto"/>
        </w:rPr>
      </w:pPr>
      <w:r>
        <w:rPr>
          <w:rFonts w:ascii="Times New Roman" w:cs="Times New Roman" w:eastAsia="Times New Roman" w:hAnsi="Times New Roman"/>
          <w:sz w:val="20"/>
          <w:szCs w:val="20"/>
          <w:color w:val="auto"/>
        </w:rPr>
        <w:t>PROCEEDINGS AT GENERAL MEETINGS</w:t>
        <w:tab/>
        <w:t>24</w:t>
      </w:r>
    </w:p>
    <w:p>
      <w:pPr>
        <w:spacing w:after="0" w:line="28" w:lineRule="exact"/>
        <w:rPr>
          <w:sz w:val="20"/>
          <w:szCs w:val="20"/>
          <w:color w:val="auto"/>
        </w:rPr>
      </w:pPr>
    </w:p>
    <w:p>
      <w:pPr>
        <w:ind w:left="747" w:hanging="747"/>
        <w:spacing w:after="0"/>
        <w:tabs>
          <w:tab w:leader="none" w:pos="74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Quorum  24</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973455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6"/>
          </w:cols>
          <w:pgMar w:left="433" w:top="1440" w:right="1440" w:bottom="1440" w:gutter="0" w:footer="0" w:header="0"/>
        </w:sectPr>
      </w:pPr>
    </w:p>
    <w:bookmarkStart w:id="6" w:name="page7"/>
    <w:bookmarkEnd w:id="6"/>
    <w:tbl>
      <w:tblPr>
        <w:tblLayout w:type="fixed"/>
        <w:tblInd w:w="7" w:type="dxa"/>
        <w:tblCellMar>
          <w:top w:w="0" w:type="dxa"/>
          <w:left w:w="0" w:type="dxa"/>
          <w:bottom w:w="0" w:type="dxa"/>
          <w:right w:w="0" w:type="dxa"/>
        </w:tblCellMar>
      </w:tblPr>
      <w:tr>
        <w:trPr>
          <w:trHeight w:val="230"/>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42.</w:t>
            </w:r>
          </w:p>
        </w:tc>
        <w:tc>
          <w:tcPr>
            <w:tcW w:w="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Chair</w:t>
            </w:r>
          </w:p>
        </w:tc>
        <w:tc>
          <w:tcPr>
            <w:tcW w:w="158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rPr>
              <w:t>24</w:t>
            </w:r>
          </w:p>
        </w:tc>
        <w:tc>
          <w:tcPr>
            <w:tcW w:w="380" w:type="dxa"/>
            <w:vAlign w:val="bottom"/>
          </w:tcPr>
          <w:p>
            <w:pPr>
              <w:spacing w:after="0"/>
              <w:rPr>
                <w:sz w:val="19"/>
                <w:szCs w:val="19"/>
                <w:color w:val="auto"/>
              </w:rPr>
            </w:pPr>
          </w:p>
        </w:tc>
      </w:tr>
      <w:tr>
        <w:trPr>
          <w:trHeight w:val="258"/>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43.</w:t>
            </w:r>
          </w:p>
        </w:tc>
        <w:tc>
          <w:tcPr>
            <w:tcW w:w="2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Right to attend and speak</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bl>
    <w:p>
      <w:pPr>
        <w:ind w:left="747" w:hanging="747"/>
        <w:spacing w:after="0"/>
        <w:tabs>
          <w:tab w:leader="none" w:pos="74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Resolutions and amendments 25</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Adjournment  26</w:t>
      </w:r>
    </w:p>
    <w:p>
      <w:pPr>
        <w:ind w:left="7"/>
        <w:spacing w:after="0"/>
        <w:tabs>
          <w:tab w:leader="none" w:pos="727" w:val="left"/>
          <w:tab w:leader="none" w:pos="3107"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Method of voting - general</w:t>
        <w:tab/>
        <w:t>27</w:t>
      </w:r>
    </w:p>
    <w:p>
      <w:pPr>
        <w:spacing w:after="0" w:line="6" w:lineRule="exact"/>
        <w:rPr>
          <w:sz w:val="20"/>
          <w:szCs w:val="20"/>
          <w:color w:val="auto"/>
        </w:rPr>
      </w:pPr>
    </w:p>
    <w:p>
      <w:pPr>
        <w:ind w:left="747" w:hanging="747"/>
        <w:spacing w:after="0"/>
        <w:tabs>
          <w:tab w:leader="none" w:pos="74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 of voting - shares held by DTC 27</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 poll is to be taken  27</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Validity of meeting 28</w:t>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VOTES OF MEMBERS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bl>
    <w:p>
      <w:pPr>
        <w:ind w:left="747" w:hanging="747"/>
        <w:spacing w:after="0"/>
        <w:tabs>
          <w:tab w:leader="none" w:pos="74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rights  28</w:t>
      </w:r>
    </w:p>
    <w:p>
      <w:pPr>
        <w:ind w:left="7"/>
        <w:spacing w:after="0"/>
        <w:tabs>
          <w:tab w:leader="none" w:pos="727" w:val="left"/>
          <w:tab w:leader="none" w:pos="3507"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Representation of corporations</w:t>
      </w:r>
      <w:r>
        <w:rPr>
          <w:sz w:val="20"/>
          <w:szCs w:val="20"/>
          <w:color w:val="auto"/>
        </w:rPr>
        <w:tab/>
      </w:r>
      <w:r>
        <w:rPr>
          <w:rFonts w:ascii="Times New Roman" w:cs="Times New Roman" w:eastAsia="Times New Roman" w:hAnsi="Times New Roman"/>
          <w:sz w:val="18"/>
          <w:szCs w:val="18"/>
          <w:color w:val="auto"/>
        </w:rPr>
        <w:t>29</w:t>
      </w:r>
    </w:p>
    <w:p>
      <w:pPr>
        <w:spacing w:after="0" w:line="6" w:lineRule="exact"/>
        <w:rPr>
          <w:sz w:val="20"/>
          <w:szCs w:val="20"/>
          <w:color w:val="auto"/>
        </w:rPr>
      </w:pPr>
    </w:p>
    <w:p>
      <w:pPr>
        <w:ind w:left="747" w:hanging="747"/>
        <w:spacing w:after="0"/>
        <w:tabs>
          <w:tab w:leader="none" w:pos="74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rights of joint holders 29</w:t>
      </w:r>
    </w:p>
    <w:tbl>
      <w:tblPr>
        <w:tblLayout w:type="fixed"/>
        <w:tblInd w:w="7" w:type="dxa"/>
        <w:tblCellMar>
          <w:top w:w="0" w:type="dxa"/>
          <w:left w:w="0" w:type="dxa"/>
          <w:bottom w:w="0" w:type="dxa"/>
          <w:right w:w="0" w:type="dxa"/>
        </w:tblCellMar>
      </w:tblP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53.</w:t>
            </w:r>
          </w:p>
        </w:tc>
        <w:tc>
          <w:tcPr>
            <w:tcW w:w="5580" w:type="dxa"/>
            <w:vAlign w:val="bottom"/>
            <w:gridSpan w:val="4"/>
          </w:tcPr>
          <w:p>
            <w:pPr>
              <w:ind w:left="240"/>
              <w:spacing w:after="0" w:line="228" w:lineRule="exact"/>
              <w:rPr>
                <w:sz w:val="20"/>
                <w:szCs w:val="20"/>
                <w:color w:val="auto"/>
              </w:rPr>
            </w:pPr>
            <w:r>
              <w:rPr>
                <w:rFonts w:ascii="Times New Roman" w:cs="Times New Roman" w:eastAsia="Times New Roman" w:hAnsi="Times New Roman"/>
                <w:sz w:val="20"/>
                <w:szCs w:val="20"/>
                <w:color w:val="auto"/>
              </w:rPr>
              <w:t>Voting rights of members incapable of managing their affairs   29</w:t>
            </w: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54.</w:t>
            </w:r>
          </w:p>
        </w:tc>
        <w:tc>
          <w:tcPr>
            <w:tcW w:w="40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Voting rights suspended where sums overdue</w:t>
            </w:r>
          </w:p>
        </w:tc>
        <w:tc>
          <w:tcPr>
            <w:tcW w:w="1560" w:type="dxa"/>
            <w:vAlign w:val="bottom"/>
          </w:tcPr>
          <w:p>
            <w:pPr>
              <w:jc w:val="right"/>
              <w:ind w:right="1081"/>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55.</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Objections to admissibility of votes</w:t>
            </w:r>
          </w:p>
        </w:tc>
        <w:tc>
          <w:tcPr>
            <w:tcW w:w="7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30</w:t>
            </w:r>
          </w:p>
        </w:tc>
        <w:tc>
          <w:tcPr>
            <w:tcW w:w="1560" w:type="dxa"/>
            <w:vAlign w:val="bottom"/>
          </w:tcPr>
          <w:p>
            <w:pPr>
              <w:spacing w:after="0"/>
              <w:rPr>
                <w:sz w:val="19"/>
                <w:szCs w:val="19"/>
                <w:color w:val="auto"/>
              </w:rPr>
            </w:pPr>
          </w:p>
        </w:tc>
      </w:tr>
      <w:tr>
        <w:trPr>
          <w:trHeight w:val="258"/>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PROXIES</w:t>
            </w:r>
          </w:p>
        </w:tc>
        <w:tc>
          <w:tcPr>
            <w:tcW w:w="2740" w:type="dxa"/>
            <w:vAlign w:val="bottom"/>
          </w:tcPr>
          <w:p>
            <w:pPr>
              <w:jc w:val="right"/>
              <w:ind w:right="2261"/>
              <w:spacing w:after="0"/>
              <w:rPr>
                <w:sz w:val="20"/>
                <w:szCs w:val="20"/>
                <w:color w:val="auto"/>
              </w:rPr>
            </w:pPr>
            <w:r>
              <w:rPr>
                <w:rFonts w:ascii="Times New Roman" w:cs="Times New Roman" w:eastAsia="Times New Roman" w:hAnsi="Times New Roman"/>
                <w:sz w:val="20"/>
                <w:szCs w:val="20"/>
                <w:color w:val="auto"/>
              </w:rPr>
              <w:t>30</w:t>
            </w:r>
          </w:p>
        </w:tc>
        <w:tc>
          <w:tcPr>
            <w:tcW w:w="78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ind w:left="747" w:hanging="747"/>
        <w:spacing w:after="0"/>
        <w:tabs>
          <w:tab w:leader="none" w:pos="74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Proxies  30</w:t>
      </w:r>
    </w:p>
    <w:tbl>
      <w:tblPr>
        <w:tblLayout w:type="fixed"/>
        <w:tblInd w:w="7" w:type="dxa"/>
        <w:tblCellMar>
          <w:top w:w="0" w:type="dxa"/>
          <w:left w:w="0" w:type="dxa"/>
          <w:bottom w:w="0" w:type="dxa"/>
          <w:right w:w="0" w:type="dxa"/>
        </w:tblCellMar>
      </w:tblPr>
      <w:tr>
        <w:trPr>
          <w:trHeight w:val="227"/>
        </w:trPr>
        <w:tc>
          <w:tcPr>
            <w:tcW w:w="500" w:type="dxa"/>
            <w:vAlign w:val="bottom"/>
          </w:tcPr>
          <w:p>
            <w:pPr>
              <w:jc w:val="right"/>
              <w:ind w:right="161"/>
              <w:spacing w:after="0" w:line="228" w:lineRule="exact"/>
              <w:rPr>
                <w:sz w:val="20"/>
                <w:szCs w:val="20"/>
                <w:color w:val="auto"/>
              </w:rPr>
            </w:pPr>
            <w:r>
              <w:rPr>
                <w:rFonts w:ascii="Times New Roman" w:cs="Times New Roman" w:eastAsia="Times New Roman" w:hAnsi="Times New Roman"/>
                <w:sz w:val="20"/>
                <w:szCs w:val="20"/>
                <w:color w:val="auto"/>
                <w:w w:val="87"/>
              </w:rPr>
              <w:t>57.</w:t>
            </w:r>
          </w:p>
        </w:tc>
        <w:tc>
          <w:tcPr>
            <w:tcW w:w="242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Appointment of proxy  30</w:t>
            </w:r>
          </w:p>
        </w:tc>
      </w:tr>
      <w:tr>
        <w:trPr>
          <w:trHeight w:val="251"/>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58.</w:t>
            </w:r>
          </w:p>
        </w:tc>
        <w:tc>
          <w:tcPr>
            <w:tcW w:w="2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Receipt of proxy   30</w:t>
            </w:r>
          </w:p>
        </w:tc>
      </w:tr>
    </w:tbl>
    <w:p>
      <w:pPr>
        <w:ind w:left="747" w:hanging="747"/>
        <w:spacing w:after="0"/>
        <w:tabs>
          <w:tab w:leader="none" w:pos="74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revocation of authority etc.   32</w:t>
      </w:r>
    </w:p>
    <w:p>
      <w:pPr>
        <w:spacing w:after="0" w:line="6" w:lineRule="exact"/>
        <w:rPr>
          <w:rFonts w:ascii="Times New Roman" w:cs="Times New Roman" w:eastAsia="Times New Roman" w:hAnsi="Times New Roman"/>
          <w:sz w:val="20"/>
          <w:szCs w:val="20"/>
          <w:color w:val="auto"/>
        </w:rPr>
      </w:pPr>
    </w:p>
    <w:p>
      <w:pPr>
        <w:ind w:left="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32</w:t>
      </w:r>
    </w:p>
    <w:tbl>
      <w:tblPr>
        <w:tblLayout w:type="fixed"/>
        <w:tblInd w:w="7" w:type="dxa"/>
        <w:tblCellMar>
          <w:top w:w="0" w:type="dxa"/>
          <w:left w:w="0" w:type="dxa"/>
          <w:bottom w:w="0" w:type="dxa"/>
          <w:right w:w="0" w:type="dxa"/>
        </w:tblCellMar>
      </w:tblP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60.</w:t>
            </w:r>
          </w:p>
        </w:tc>
        <w:tc>
          <w:tcPr>
            <w:tcW w:w="286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Number and class of directors</w:t>
            </w:r>
          </w:p>
        </w:tc>
        <w:tc>
          <w:tcPr>
            <w:tcW w:w="2360" w:type="dxa"/>
            <w:vAlign w:val="bottom"/>
          </w:tcPr>
          <w:p>
            <w:pPr>
              <w:jc w:val="right"/>
              <w:ind w:right="1921"/>
              <w:spacing w:after="0" w:line="228" w:lineRule="exact"/>
              <w:rPr>
                <w:sz w:val="20"/>
                <w:szCs w:val="20"/>
                <w:color w:val="auto"/>
              </w:rPr>
            </w:pPr>
            <w:r>
              <w:rPr>
                <w:rFonts w:ascii="Times New Roman" w:cs="Times New Roman" w:eastAsia="Times New Roman" w:hAnsi="Times New Roman"/>
                <w:sz w:val="20"/>
                <w:szCs w:val="20"/>
                <w:color w:val="auto"/>
              </w:rPr>
              <w:t>32</w:t>
            </w: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2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Directors need not be members</w:t>
            </w:r>
          </w:p>
        </w:tc>
        <w:tc>
          <w:tcPr>
            <w:tcW w:w="2360" w:type="dxa"/>
            <w:vAlign w:val="bottom"/>
          </w:tcPr>
          <w:p>
            <w:pPr>
              <w:jc w:val="right"/>
              <w:ind w:right="1921"/>
              <w:spacing w:after="0"/>
              <w:rPr>
                <w:sz w:val="20"/>
                <w:szCs w:val="20"/>
                <w:color w:val="auto"/>
              </w:rPr>
            </w:pPr>
            <w:r>
              <w:rPr>
                <w:rFonts w:ascii="Times New Roman" w:cs="Times New Roman" w:eastAsia="Times New Roman" w:hAnsi="Times New Roman"/>
                <w:sz w:val="20"/>
                <w:szCs w:val="20"/>
                <w:color w:val="auto"/>
              </w:rPr>
              <w:t>32</w:t>
            </w:r>
          </w:p>
        </w:tc>
      </w:tr>
      <w:tr>
        <w:trPr>
          <w:trHeight w:val="243"/>
        </w:trPr>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ELECTION, RETIREMENT AND REMOVAL OF DIRECTORS   32</w:t>
            </w: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62.</w:t>
            </w:r>
          </w:p>
        </w:tc>
        <w:tc>
          <w:tcPr>
            <w:tcW w:w="5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Election of directors by the Company  32</w:t>
            </w:r>
          </w:p>
        </w:tc>
      </w:tr>
    </w:tbl>
    <w:p>
      <w:pPr>
        <w:ind w:left="747" w:hanging="747"/>
        <w:spacing w:after="0"/>
        <w:tabs>
          <w:tab w:leader="none" w:pos="74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Separate resolutions for election of each director 33</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Board's power to appoint directors 33</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of directors  33</w:t>
      </w:r>
    </w:p>
    <w:p>
      <w:pPr>
        <w:ind w:left="7"/>
        <w:spacing w:after="0"/>
        <w:tabs>
          <w:tab w:leader="none" w:pos="727" w:val="left"/>
          <w:tab w:leader="none" w:pos="2707"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20"/>
          <w:szCs w:val="20"/>
          <w:color w:val="auto"/>
        </w:rPr>
        <w:t>Removal of directors</w:t>
        <w:tab/>
        <w:t>34</w:t>
      </w:r>
    </w:p>
    <w:p>
      <w:pPr>
        <w:spacing w:after="0" w:line="6" w:lineRule="exact"/>
        <w:rPr>
          <w:sz w:val="20"/>
          <w:szCs w:val="20"/>
          <w:color w:val="auto"/>
        </w:rPr>
      </w:pPr>
    </w:p>
    <w:p>
      <w:pPr>
        <w:ind w:left="747" w:hanging="747"/>
        <w:spacing w:after="0"/>
        <w:tabs>
          <w:tab w:leader="none" w:pos="74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Vacation of office of director 34</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Disqualification of a director 35</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directors 35</w:t>
      </w:r>
    </w:p>
    <w:p>
      <w:pPr>
        <w:spacing w:after="0" w:line="6" w:lineRule="exact"/>
        <w:rPr>
          <w:rFonts w:ascii="Times New Roman" w:cs="Times New Roman" w:eastAsia="Times New Roman" w:hAnsi="Times New Roman"/>
          <w:sz w:val="20"/>
          <w:szCs w:val="20"/>
          <w:color w:val="auto"/>
        </w:rPr>
      </w:pPr>
    </w:p>
    <w:p>
      <w:pPr>
        <w:ind w:left="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Alternate directors 36</w:t>
      </w:r>
    </w:p>
    <w:p>
      <w:pPr>
        <w:spacing w:after="0" w:line="6" w:lineRule="exact"/>
        <w:rPr>
          <w:sz w:val="20"/>
          <w:szCs w:val="20"/>
          <w:color w:val="auto"/>
        </w:rPr>
      </w:pPr>
    </w:p>
    <w:p>
      <w:pPr>
        <w:ind w:left="7"/>
        <w:spacing w:after="0"/>
        <w:tabs>
          <w:tab w:leader="none" w:pos="727" w:val="left"/>
          <w:tab w:leader="none" w:pos="3887" w:val="left"/>
        </w:tabs>
        <w:rPr>
          <w:sz w:val="20"/>
          <w:szCs w:val="20"/>
          <w:color w:val="auto"/>
        </w:rPr>
      </w:pPr>
      <w:r>
        <w:rPr>
          <w:rFonts w:ascii="Times New Roman" w:cs="Times New Roman" w:eastAsia="Times New Roman" w:hAnsi="Times New Roman"/>
          <w:sz w:val="20"/>
          <w:szCs w:val="20"/>
          <w:color w:val="auto"/>
        </w:rPr>
        <w:t>70.</w:t>
      </w:r>
      <w:r>
        <w:rPr>
          <w:sz w:val="20"/>
          <w:szCs w:val="20"/>
          <w:color w:val="auto"/>
        </w:rPr>
        <w:tab/>
      </w:r>
      <w:r>
        <w:rPr>
          <w:rFonts w:ascii="Times New Roman" w:cs="Times New Roman" w:eastAsia="Times New Roman" w:hAnsi="Times New Roman"/>
          <w:sz w:val="20"/>
          <w:szCs w:val="20"/>
          <w:color w:val="auto"/>
        </w:rPr>
        <w:t>Power to appoint alternate directors</w:t>
      </w:r>
      <w:r>
        <w:rPr>
          <w:sz w:val="20"/>
          <w:szCs w:val="20"/>
          <w:color w:val="auto"/>
        </w:rPr>
        <w:tab/>
      </w:r>
      <w:r>
        <w:rPr>
          <w:rFonts w:ascii="Times New Roman" w:cs="Times New Roman" w:eastAsia="Times New Roman" w:hAnsi="Times New Roman"/>
          <w:sz w:val="20"/>
          <w:szCs w:val="20"/>
          <w:color w:val="auto"/>
        </w:rPr>
        <w:t>36</w:t>
      </w:r>
    </w:p>
    <w:p>
      <w:pPr>
        <w:spacing w:after="0" w:line="6" w:lineRule="exact"/>
        <w:rPr>
          <w:sz w:val="20"/>
          <w:szCs w:val="20"/>
          <w:color w:val="auto"/>
        </w:rPr>
      </w:pPr>
    </w:p>
    <w:p>
      <w:pPr>
        <w:ind w:left="747" w:hanging="747"/>
        <w:spacing w:after="0"/>
        <w:tabs>
          <w:tab w:leader="none" w:pos="74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Formalities for appointment and termination 36</w:t>
      </w:r>
    </w:p>
    <w:p>
      <w:pPr>
        <w:spacing w:after="0" w:line="6" w:lineRule="exact"/>
        <w:rPr>
          <w:sz w:val="20"/>
          <w:szCs w:val="20"/>
          <w:color w:val="auto"/>
        </w:rPr>
      </w:pPr>
    </w:p>
    <w:p>
      <w:pPr>
        <w:ind w:left="7"/>
        <w:spacing w:after="0"/>
        <w:tabs>
          <w:tab w:leader="none" w:pos="727" w:val="left"/>
          <w:tab w:leader="none" w:pos="3107"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Alternate to receive notices</w:t>
        <w:tab/>
        <w:t>37</w:t>
      </w:r>
    </w:p>
    <w:p>
      <w:pPr>
        <w:spacing w:after="0" w:line="6" w:lineRule="exact"/>
        <w:rPr>
          <w:sz w:val="20"/>
          <w:szCs w:val="20"/>
          <w:color w:val="auto"/>
        </w:rPr>
      </w:pPr>
    </w:p>
    <w:p>
      <w:pPr>
        <w:ind w:left="747" w:hanging="747"/>
        <w:spacing w:after="0"/>
        <w:tabs>
          <w:tab w:leader="none" w:pos="74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Alternate may be paid expenses but not remuneration  37</w:t>
      </w:r>
    </w:p>
    <w:tbl>
      <w:tblPr>
        <w:tblLayout w:type="fixed"/>
        <w:tblInd w:w="7" w:type="dxa"/>
        <w:tblCellMar>
          <w:top w:w="0" w:type="dxa"/>
          <w:left w:w="0" w:type="dxa"/>
          <w:bottom w:w="0" w:type="dxa"/>
          <w:right w:w="0" w:type="dxa"/>
        </w:tblCellMar>
      </w:tblPr>
      <w:tr>
        <w:trPr>
          <w:trHeight w:val="221"/>
        </w:trPr>
        <w:tc>
          <w:tcPr>
            <w:tcW w:w="5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74.</w:t>
            </w:r>
          </w:p>
        </w:tc>
        <w:tc>
          <w:tcPr>
            <w:tcW w:w="3220" w:type="dxa"/>
            <w:vAlign w:val="bottom"/>
          </w:tcPr>
          <w:p>
            <w:pPr>
              <w:ind w:left="240"/>
              <w:spacing w:after="0" w:line="221" w:lineRule="exact"/>
              <w:rPr>
                <w:sz w:val="20"/>
                <w:szCs w:val="20"/>
                <w:color w:val="auto"/>
              </w:rPr>
            </w:pPr>
            <w:r>
              <w:rPr>
                <w:rFonts w:ascii="Times New Roman" w:cs="Times New Roman" w:eastAsia="Times New Roman" w:hAnsi="Times New Roman"/>
                <w:sz w:val="20"/>
                <w:szCs w:val="20"/>
                <w:color w:val="auto"/>
              </w:rPr>
              <w:t>Alternate not an agent of appointor</w:t>
            </w:r>
          </w:p>
        </w:tc>
        <w:tc>
          <w:tcPr>
            <w:tcW w:w="2400" w:type="dxa"/>
            <w:vAlign w:val="bottom"/>
          </w:tcPr>
          <w:p>
            <w:pPr>
              <w:jc w:val="right"/>
              <w:ind w:right="1921"/>
              <w:spacing w:after="0" w:line="221" w:lineRule="exact"/>
              <w:rPr>
                <w:sz w:val="20"/>
                <w:szCs w:val="20"/>
                <w:color w:val="auto"/>
              </w:rPr>
            </w:pPr>
            <w:r>
              <w:rPr>
                <w:rFonts w:ascii="Times New Roman" w:cs="Times New Roman" w:eastAsia="Times New Roman" w:hAnsi="Times New Roman"/>
                <w:sz w:val="20"/>
                <w:szCs w:val="20"/>
                <w:color w:val="auto"/>
              </w:rPr>
              <w:t>37</w:t>
            </w:r>
          </w:p>
        </w:tc>
      </w:tr>
      <w:tr>
        <w:trPr>
          <w:trHeight w:val="243"/>
        </w:trPr>
        <w:tc>
          <w:tcPr>
            <w:tcW w:w="61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REMUNERATION, EXPENSES, PENSIONS AND OTHER BENEFITS 37</w:t>
            </w: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75.</w:t>
            </w:r>
          </w:p>
        </w:tc>
        <w:tc>
          <w:tcPr>
            <w:tcW w:w="32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Special remuneration   37</w:t>
            </w:r>
          </w:p>
        </w:tc>
        <w:tc>
          <w:tcPr>
            <w:tcW w:w="2400" w:type="dxa"/>
            <w:vAlign w:val="bottom"/>
          </w:tcPr>
          <w:p>
            <w:pPr>
              <w:spacing w:after="0"/>
              <w:rPr>
                <w:sz w:val="21"/>
                <w:szCs w:val="21"/>
                <w:color w:val="auto"/>
              </w:rPr>
            </w:pPr>
          </w:p>
        </w:tc>
      </w:tr>
    </w:tbl>
    <w:p>
      <w:pPr>
        <w:ind w:left="747" w:hanging="747"/>
        <w:spacing w:after="0"/>
        <w:tabs>
          <w:tab w:leader="none" w:pos="74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37</w:t>
      </w:r>
    </w:p>
    <w:p>
      <w:pPr>
        <w:spacing w:after="0" w:line="6" w:lineRule="exact"/>
        <w:rPr>
          <w:sz w:val="20"/>
          <w:szCs w:val="20"/>
          <w:color w:val="auto"/>
        </w:rPr>
      </w:pPr>
    </w:p>
    <w:p>
      <w:pPr>
        <w:ind w:left="7"/>
        <w:spacing w:after="0"/>
        <w:tabs>
          <w:tab w:leader="none" w:pos="727" w:val="left"/>
          <w:tab w:leader="none" w:pos="3107"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color w:val="auto"/>
        </w:rPr>
        <w:t>Pensions and other benefits</w:t>
        <w:tab/>
        <w:t>38</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POWERS OF THE BOARD 38</w:t>
      </w:r>
    </w:p>
    <w:p>
      <w:pPr>
        <w:ind w:left="747" w:hanging="747"/>
        <w:spacing w:after="0"/>
        <w:tabs>
          <w:tab w:leader="none" w:pos="74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powers of the Board to manage the Company's business 38</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79.</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Power to act notwithstanding vacancy  38</w:t>
            </w:r>
          </w:p>
        </w:tc>
      </w:tr>
      <w:tr>
        <w:trPr>
          <w:trHeight w:val="258"/>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80.</w:t>
            </w:r>
          </w:p>
        </w:tc>
        <w:tc>
          <w:tcPr>
            <w:tcW w:w="2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Provisions for employees</w:t>
            </w:r>
          </w:p>
        </w:tc>
        <w:tc>
          <w:tcPr>
            <w:tcW w:w="116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39</w:t>
            </w:r>
          </w:p>
        </w:tc>
      </w:tr>
    </w:tbl>
    <w:p>
      <w:pPr>
        <w:ind w:left="747" w:hanging="747"/>
        <w:spacing w:after="0"/>
        <w:tabs>
          <w:tab w:leader="none" w:pos="74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 to borrow money 39</w:t>
      </w:r>
    </w:p>
    <w:p>
      <w:pPr>
        <w:spacing w:after="0" w:line="6" w:lineRule="exact"/>
        <w:rPr>
          <w:sz w:val="20"/>
          <w:szCs w:val="20"/>
          <w:color w:val="auto"/>
        </w:rPr>
      </w:pPr>
    </w:p>
    <w:p>
      <w:pPr>
        <w:ind w:left="7"/>
        <w:spacing w:after="0"/>
        <w:tabs>
          <w:tab w:leader="none" w:pos="727"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Power to change the name of the Company  39</w:t>
      </w:r>
    </w:p>
    <w:p>
      <w:pPr>
        <w:spacing w:after="0" w:line="6" w:lineRule="exact"/>
        <w:rPr>
          <w:sz w:val="20"/>
          <w:szCs w:val="20"/>
          <w:color w:val="auto"/>
        </w:rPr>
      </w:pPr>
    </w:p>
    <w:p>
      <w:pPr>
        <w:ind w:left="7"/>
        <w:spacing w:after="0"/>
        <w:tabs>
          <w:tab w:leader="none" w:pos="3547" w:val="left"/>
        </w:tabs>
        <w:rPr>
          <w:sz w:val="20"/>
          <w:szCs w:val="20"/>
          <w:color w:val="auto"/>
        </w:rPr>
      </w:pPr>
      <w:r>
        <w:rPr>
          <w:rFonts w:ascii="Times New Roman" w:cs="Times New Roman" w:eastAsia="Times New Roman" w:hAnsi="Times New Roman"/>
          <w:sz w:val="20"/>
          <w:szCs w:val="20"/>
          <w:color w:val="auto"/>
        </w:rPr>
        <w:t>DELEGATION OF BOARD'S POWERS</w:t>
        <w:tab/>
        <w:t>39</w:t>
      </w:r>
    </w:p>
    <w:p>
      <w:pPr>
        <w:spacing w:after="0" w:line="6" w:lineRule="exact"/>
        <w:rPr>
          <w:sz w:val="20"/>
          <w:szCs w:val="20"/>
          <w:color w:val="auto"/>
        </w:rPr>
      </w:pPr>
    </w:p>
    <w:p>
      <w:pPr>
        <w:ind w:left="747" w:hanging="747"/>
        <w:spacing w:after="0"/>
        <w:tabs>
          <w:tab w:leader="none" w:pos="74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Delegation to individual directors 39</w:t>
      </w:r>
    </w:p>
    <w:p>
      <w:pPr>
        <w:spacing w:after="0" w:line="45"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Committees   39</w:t>
      </w:r>
    </w:p>
    <w:p>
      <w:pPr>
        <w:spacing w:after="0" w:line="21"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boards  40</w:t>
      </w:r>
    </w:p>
    <w:p>
      <w:pPr>
        <w:spacing w:after="0" w:line="6" w:lineRule="exact"/>
        <w:rPr>
          <w:sz w:val="20"/>
          <w:szCs w:val="20"/>
          <w:color w:val="auto"/>
        </w:rPr>
      </w:pPr>
    </w:p>
    <w:p>
      <w:pPr>
        <w:ind w:left="7"/>
        <w:spacing w:after="0"/>
        <w:tabs>
          <w:tab w:leader="none" w:pos="727" w:val="left"/>
          <w:tab w:leader="none" w:pos="3507"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20"/>
          <w:szCs w:val="20"/>
          <w:color w:val="auto"/>
        </w:rPr>
        <w:t>Powers of attorney and agents</w:t>
      </w:r>
      <w:r>
        <w:rPr>
          <w:sz w:val="20"/>
          <w:szCs w:val="20"/>
          <w:color w:val="auto"/>
        </w:rPr>
        <w:tab/>
      </w: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969010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6"/>
          </w:cols>
          <w:pgMar w:left="433" w:top="1372" w:right="1440" w:bottom="1440" w:gutter="0" w:footer="0" w:header="0"/>
        </w:sectPr>
      </w:pPr>
    </w:p>
    <w:bookmarkStart w:id="7" w:name="page8"/>
    <w:bookmarkEnd w:id="7"/>
    <w:p>
      <w:pPr>
        <w:ind w:left="7"/>
        <w:spacing w:after="0"/>
        <w:rPr>
          <w:sz w:val="20"/>
          <w:szCs w:val="20"/>
          <w:color w:val="auto"/>
        </w:rPr>
      </w:pPr>
      <w:r>
        <w:rPr>
          <w:rFonts w:ascii="Times New Roman" w:cs="Times New Roman" w:eastAsia="Times New Roman" w:hAnsi="Times New Roman"/>
          <w:sz w:val="20"/>
          <w:szCs w:val="20"/>
          <w:color w:val="auto"/>
        </w:rPr>
        <w:t>DIRECTORS' INTERESTS  40</w:t>
      </w:r>
    </w:p>
    <w:p>
      <w:pPr>
        <w:spacing w:after="0" w:line="22" w:lineRule="exact"/>
        <w:rPr>
          <w:sz w:val="20"/>
          <w:szCs w:val="20"/>
          <w:color w:val="auto"/>
        </w:rPr>
      </w:pPr>
    </w:p>
    <w:p>
      <w:pPr>
        <w:ind w:left="747" w:hanging="747"/>
        <w:spacing w:after="0"/>
        <w:tabs>
          <w:tab w:leader="none" w:pos="747"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interests in a proposed transaction or arrangement with the Company</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Pr>
          <w:p>
            <w:pPr>
              <w:jc w:val="right"/>
              <w:ind w:right="1841"/>
              <w:spacing w:after="0"/>
              <w:rPr>
                <w:sz w:val="20"/>
                <w:szCs w:val="20"/>
                <w:color w:val="auto"/>
              </w:rPr>
            </w:pPr>
            <w:r>
              <w:rPr>
                <w:rFonts w:ascii="Times New Roman" w:cs="Times New Roman" w:eastAsia="Times New Roman" w:hAnsi="Times New Roman"/>
                <w:sz w:val="20"/>
                <w:szCs w:val="20"/>
                <w:color w:val="auto"/>
              </w:rPr>
              <w:t>40</w:t>
            </w:r>
          </w:p>
        </w:tc>
        <w:tc>
          <w:tcPr>
            <w:tcW w:w="1980" w:type="dxa"/>
            <w:vAlign w:val="bottom"/>
          </w:tcPr>
          <w:p>
            <w:pPr>
              <w:spacing w:after="0"/>
              <w:rPr>
                <w:sz w:val="19"/>
                <w:szCs w:val="19"/>
                <w:color w:val="auto"/>
              </w:rPr>
            </w:pPr>
          </w:p>
        </w:tc>
      </w:tr>
      <w:tr>
        <w:trPr>
          <w:trHeight w:val="229"/>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88.</w:t>
            </w:r>
          </w:p>
        </w:tc>
        <w:tc>
          <w:tcPr>
            <w:tcW w:w="48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Provisions applicable to declarations of interest  41</w:t>
            </w:r>
          </w:p>
        </w:tc>
      </w:tr>
      <w:tr>
        <w:trPr>
          <w:trHeight w:val="243"/>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89.</w:t>
            </w:r>
          </w:p>
        </w:tc>
        <w:tc>
          <w:tcPr>
            <w:tcW w:w="48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Power of the Board to authorise conflicts of interest   41</w:t>
            </w:r>
          </w:p>
        </w:tc>
      </w:tr>
      <w:tr>
        <w:trPr>
          <w:trHeight w:val="251"/>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90.</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Directors' interests and voting</w:t>
            </w:r>
          </w:p>
        </w:tc>
        <w:tc>
          <w:tcPr>
            <w:tcW w:w="1980" w:type="dxa"/>
            <w:vAlign w:val="bottom"/>
          </w:tcPr>
          <w:p>
            <w:pPr>
              <w:jc w:val="right"/>
              <w:ind w:right="1501"/>
              <w:spacing w:after="0"/>
              <w:rPr>
                <w:sz w:val="20"/>
                <w:szCs w:val="20"/>
                <w:color w:val="auto"/>
              </w:rPr>
            </w:pPr>
            <w:r>
              <w:rPr>
                <w:rFonts w:ascii="Times New Roman" w:cs="Times New Roman" w:eastAsia="Times New Roman" w:hAnsi="Times New Roman"/>
                <w:sz w:val="20"/>
                <w:szCs w:val="20"/>
                <w:color w:val="auto"/>
              </w:rPr>
              <w:t>42</w:t>
            </w:r>
          </w:p>
        </w:tc>
      </w:tr>
    </w:tbl>
    <w:p>
      <w:pPr>
        <w:ind w:left="747" w:hanging="747"/>
        <w:spacing w:after="0"/>
        <w:tabs>
          <w:tab w:leader="none" w:pos="74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conflicts of interest 44</w:t>
      </w:r>
    </w:p>
    <w:tbl>
      <w:tblPr>
        <w:tblLayout w:type="fixed"/>
        <w:tblInd w:w="7" w:type="dxa"/>
        <w:tblCellMar>
          <w:top w:w="0" w:type="dxa"/>
          <w:left w:w="0" w:type="dxa"/>
          <w:bottom w:w="0" w:type="dxa"/>
          <w:right w:w="0" w:type="dxa"/>
        </w:tblCellMar>
      </w:tblPr>
      <w:tr>
        <w:trPr>
          <w:trHeight w:val="221"/>
        </w:trPr>
        <w:tc>
          <w:tcPr>
            <w:tcW w:w="298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PROCEEDINGS OF THE BOARD</w:t>
            </w:r>
          </w:p>
        </w:tc>
        <w:tc>
          <w:tcPr>
            <w:tcW w:w="3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45</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92.</w:t>
            </w:r>
          </w:p>
        </w:tc>
        <w:tc>
          <w:tcPr>
            <w:tcW w:w="2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Board meetings    45</w:t>
            </w:r>
          </w:p>
        </w:tc>
        <w:tc>
          <w:tcPr>
            <w:tcW w:w="380" w:type="dxa"/>
            <w:vAlign w:val="bottom"/>
          </w:tcPr>
          <w:p>
            <w:pPr>
              <w:spacing w:after="0"/>
              <w:rPr>
                <w:sz w:val="21"/>
                <w:szCs w:val="21"/>
                <w:color w:val="auto"/>
              </w:rPr>
            </w:pPr>
          </w:p>
        </w:tc>
      </w:tr>
      <w:tr>
        <w:trPr>
          <w:trHeight w:val="251"/>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93.</w:t>
            </w:r>
          </w:p>
        </w:tc>
        <w:tc>
          <w:tcPr>
            <w:tcW w:w="2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 of board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bl>
    <w:p>
      <w:pPr>
        <w:ind w:left="747" w:hanging="747"/>
        <w:spacing w:after="0"/>
        <w:tabs>
          <w:tab w:leader="none" w:pos="74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Quorum  45</w:t>
      </w:r>
    </w:p>
    <w:tbl>
      <w:tblPr>
        <w:tblLayout w:type="fixed"/>
        <w:tblInd w:w="7" w:type="dxa"/>
        <w:tblCellMar>
          <w:top w:w="0" w:type="dxa"/>
          <w:left w:w="0" w:type="dxa"/>
          <w:bottom w:w="0" w:type="dxa"/>
          <w:right w:w="0" w:type="dxa"/>
        </w:tblCellMar>
      </w:tblPr>
      <w:tr>
        <w:trPr>
          <w:trHeight w:val="221"/>
        </w:trPr>
        <w:tc>
          <w:tcPr>
            <w:tcW w:w="500" w:type="dxa"/>
            <w:vAlign w:val="bottom"/>
          </w:tcPr>
          <w:p>
            <w:pPr>
              <w:jc w:val="right"/>
              <w:ind w:right="161"/>
              <w:spacing w:after="0" w:line="221" w:lineRule="exact"/>
              <w:rPr>
                <w:sz w:val="20"/>
                <w:szCs w:val="20"/>
                <w:color w:val="auto"/>
              </w:rPr>
            </w:pPr>
            <w:r>
              <w:rPr>
                <w:rFonts w:ascii="Times New Roman" w:cs="Times New Roman" w:eastAsia="Times New Roman" w:hAnsi="Times New Roman"/>
                <w:sz w:val="20"/>
                <w:szCs w:val="20"/>
                <w:color w:val="auto"/>
                <w:w w:val="87"/>
              </w:rPr>
              <w:t>95.</w:t>
            </w:r>
          </w:p>
        </w:tc>
        <w:tc>
          <w:tcPr>
            <w:tcW w:w="4440" w:type="dxa"/>
            <w:vAlign w:val="bottom"/>
            <w:gridSpan w:val="2"/>
          </w:tcPr>
          <w:p>
            <w:pPr>
              <w:ind w:left="240"/>
              <w:spacing w:after="0" w:line="221" w:lineRule="exact"/>
              <w:rPr>
                <w:sz w:val="20"/>
                <w:szCs w:val="20"/>
                <w:color w:val="auto"/>
              </w:rPr>
            </w:pPr>
            <w:r>
              <w:rPr>
                <w:rFonts w:ascii="Times New Roman" w:cs="Times New Roman" w:eastAsia="Times New Roman" w:hAnsi="Times New Roman"/>
                <w:sz w:val="20"/>
                <w:szCs w:val="20"/>
                <w:color w:val="auto"/>
              </w:rPr>
              <w:t>Power of directors if number falls below minimum</w:t>
            </w:r>
          </w:p>
        </w:tc>
        <w:tc>
          <w:tcPr>
            <w:tcW w:w="3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45</w:t>
            </w:r>
          </w:p>
        </w:tc>
      </w:tr>
      <w:tr>
        <w:trPr>
          <w:trHeight w:val="243"/>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96.</w:t>
            </w:r>
          </w:p>
        </w:tc>
        <w:tc>
          <w:tcPr>
            <w:tcW w:w="2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Chair or deputy chair to preside</w:t>
            </w:r>
          </w:p>
        </w:tc>
        <w:tc>
          <w:tcPr>
            <w:tcW w:w="1560" w:type="dxa"/>
            <w:vAlign w:val="bottom"/>
          </w:tcPr>
          <w:p>
            <w:pPr>
              <w:jc w:val="right"/>
              <w:ind w:right="1141"/>
              <w:spacing w:after="0"/>
              <w:rPr>
                <w:sz w:val="20"/>
                <w:szCs w:val="20"/>
                <w:color w:val="auto"/>
              </w:rPr>
            </w:pPr>
            <w:r>
              <w:rPr>
                <w:rFonts w:ascii="Times New Roman" w:cs="Times New Roman" w:eastAsia="Times New Roman" w:hAnsi="Times New Roman"/>
                <w:sz w:val="20"/>
                <w:szCs w:val="20"/>
                <w:color w:val="auto"/>
              </w:rPr>
              <w:t>46</w:t>
            </w:r>
          </w:p>
        </w:tc>
        <w:tc>
          <w:tcPr>
            <w:tcW w:w="360" w:type="dxa"/>
            <w:vAlign w:val="bottom"/>
          </w:tcPr>
          <w:p>
            <w:pPr>
              <w:spacing w:after="0"/>
              <w:rPr>
                <w:sz w:val="21"/>
                <w:szCs w:val="21"/>
                <w:color w:val="auto"/>
              </w:rPr>
            </w:pPr>
          </w:p>
        </w:tc>
      </w:tr>
      <w:tr>
        <w:trPr>
          <w:trHeight w:val="251"/>
        </w:trPr>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7"/>
              </w:rPr>
              <w:t>97.</w:t>
            </w:r>
          </w:p>
        </w:tc>
        <w:tc>
          <w:tcPr>
            <w:tcW w:w="2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Competence of board meetings</w:t>
            </w:r>
          </w:p>
        </w:tc>
        <w:tc>
          <w:tcPr>
            <w:tcW w:w="1560" w:type="dxa"/>
            <w:vAlign w:val="bottom"/>
          </w:tcPr>
          <w:p>
            <w:pPr>
              <w:jc w:val="right"/>
              <w:ind w:right="1141"/>
              <w:spacing w:after="0"/>
              <w:rPr>
                <w:sz w:val="20"/>
                <w:szCs w:val="20"/>
                <w:color w:val="auto"/>
              </w:rPr>
            </w:pPr>
            <w:r>
              <w:rPr>
                <w:rFonts w:ascii="Times New Roman" w:cs="Times New Roman" w:eastAsia="Times New Roman" w:hAnsi="Times New Roman"/>
                <w:sz w:val="20"/>
                <w:szCs w:val="20"/>
                <w:color w:val="auto"/>
              </w:rPr>
              <w:t>46</w:t>
            </w:r>
          </w:p>
        </w:tc>
        <w:tc>
          <w:tcPr>
            <w:tcW w:w="360" w:type="dxa"/>
            <w:vAlign w:val="bottom"/>
          </w:tcPr>
          <w:p>
            <w:pPr>
              <w:spacing w:after="0"/>
              <w:rPr>
                <w:sz w:val="21"/>
                <w:szCs w:val="21"/>
                <w:color w:val="auto"/>
              </w:rPr>
            </w:pPr>
          </w:p>
        </w:tc>
      </w:tr>
    </w:tbl>
    <w:p>
      <w:pPr>
        <w:ind w:left="747" w:hanging="747"/>
        <w:spacing w:after="0"/>
        <w:tabs>
          <w:tab w:leader="none" w:pos="74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46</w:t>
      </w:r>
    </w:p>
    <w:tbl>
      <w:tblPr>
        <w:tblLayout w:type="fixed"/>
        <w:tblInd w:w="7" w:type="dxa"/>
        <w:tblCellMar>
          <w:top w:w="0" w:type="dxa"/>
          <w:left w:w="0" w:type="dxa"/>
          <w:bottom w:w="0" w:type="dxa"/>
          <w:right w:w="0" w:type="dxa"/>
        </w:tblCellMar>
      </w:tblPr>
      <w:tr>
        <w:trPr>
          <w:trHeight w:val="221"/>
        </w:trPr>
        <w:tc>
          <w:tcPr>
            <w:tcW w:w="5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99.</w:t>
            </w:r>
          </w:p>
        </w:tc>
        <w:tc>
          <w:tcPr>
            <w:tcW w:w="476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color w:val="auto"/>
              </w:rPr>
              <w:t>Telephone/electronic board meetings   46</w:t>
            </w:r>
          </w:p>
        </w:tc>
      </w:t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100.</w:t>
            </w:r>
          </w:p>
        </w:tc>
        <w:tc>
          <w:tcPr>
            <w:tcW w:w="2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Resolutions without meetings</w:t>
            </w:r>
          </w:p>
        </w:tc>
        <w:tc>
          <w:tcPr>
            <w:tcW w:w="2000" w:type="dxa"/>
            <w:vAlign w:val="bottom"/>
          </w:tcPr>
          <w:p>
            <w:pPr>
              <w:jc w:val="right"/>
              <w:ind w:right="1501"/>
              <w:spacing w:after="0"/>
              <w:rPr>
                <w:sz w:val="20"/>
                <w:szCs w:val="20"/>
                <w:color w:val="auto"/>
              </w:rPr>
            </w:pPr>
            <w:r>
              <w:rPr>
                <w:rFonts w:ascii="Times New Roman" w:cs="Times New Roman" w:eastAsia="Times New Roman" w:hAnsi="Times New Roman"/>
                <w:sz w:val="20"/>
                <w:szCs w:val="20"/>
                <w:color w:val="auto"/>
              </w:rPr>
              <w:t>47</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Validity of acts of directors in spite of formal defect  47</w:t>
            </w:r>
          </w:p>
        </w:tc>
      </w:tr>
    </w:tbl>
    <w:p>
      <w:pPr>
        <w:ind w:left="747" w:hanging="747"/>
        <w:spacing w:after="0"/>
        <w:tabs>
          <w:tab w:leader="none" w:pos="74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Minutes  47</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Secretary 47</w:t>
      </w:r>
    </w:p>
    <w:tbl>
      <w:tblPr>
        <w:tblLayout w:type="fixed"/>
        <w:tblInd w:w="7" w:type="dxa"/>
        <w:tblCellMar>
          <w:top w:w="0" w:type="dxa"/>
          <w:left w:w="0" w:type="dxa"/>
          <w:bottom w:w="0" w:type="dxa"/>
          <w:right w:w="0" w:type="dxa"/>
        </w:tblCellMar>
      </w:tblPr>
      <w:tr>
        <w:trPr>
          <w:trHeight w:val="221"/>
        </w:trPr>
        <w:tc>
          <w:tcPr>
            <w:tcW w:w="2320" w:type="dxa"/>
            <w:vAlign w:val="bottom"/>
            <w:gridSpan w:val="4"/>
          </w:tcPr>
          <w:p>
            <w:pPr>
              <w:spacing w:after="0" w:line="221" w:lineRule="exact"/>
              <w:rPr>
                <w:sz w:val="20"/>
                <w:szCs w:val="20"/>
                <w:color w:val="auto"/>
              </w:rPr>
            </w:pPr>
            <w:r>
              <w:rPr>
                <w:rFonts w:ascii="Times New Roman" w:cs="Times New Roman" w:eastAsia="Times New Roman" w:hAnsi="Times New Roman"/>
                <w:sz w:val="20"/>
                <w:szCs w:val="20"/>
                <w:color w:val="auto"/>
              </w:rPr>
              <w:t>SHARE CERTIFICATES</w:t>
            </w:r>
          </w:p>
        </w:tc>
        <w:tc>
          <w:tcPr>
            <w:tcW w:w="3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48</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Issue of share certificates</w:t>
            </w:r>
          </w:p>
        </w:tc>
        <w:tc>
          <w:tcPr>
            <w:tcW w:w="1180" w:type="dxa"/>
            <w:vAlign w:val="bottom"/>
          </w:tcPr>
          <w:p>
            <w:pPr>
              <w:jc w:val="right"/>
              <w:ind w:right="801"/>
              <w:spacing w:after="0"/>
              <w:rPr>
                <w:sz w:val="20"/>
                <w:szCs w:val="20"/>
                <w:color w:val="auto"/>
              </w:rPr>
            </w:pPr>
            <w:r>
              <w:rPr>
                <w:rFonts w:ascii="Times New Roman" w:cs="Times New Roman" w:eastAsia="Times New Roman" w:hAnsi="Times New Roman"/>
                <w:sz w:val="20"/>
                <w:szCs w:val="20"/>
                <w:color w:val="auto"/>
              </w:rPr>
              <w:t>48</w:t>
            </w:r>
          </w:p>
        </w:tc>
        <w:tc>
          <w:tcPr>
            <w:tcW w:w="1460" w:type="dxa"/>
            <w:vAlign w:val="bottom"/>
          </w:tcPr>
          <w:p>
            <w:pPr>
              <w:spacing w:after="0"/>
              <w:rPr>
                <w:sz w:val="21"/>
                <w:szCs w:val="21"/>
                <w:color w:val="auto"/>
              </w:rPr>
            </w:pPr>
          </w:p>
        </w:tc>
      </w:tr>
      <w:tr>
        <w:trPr>
          <w:trHeight w:val="229"/>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36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Charges for and replacement of certificates</w:t>
            </w:r>
          </w:p>
        </w:tc>
        <w:tc>
          <w:tcPr>
            <w:tcW w:w="1460" w:type="dxa"/>
            <w:vAlign w:val="bottom"/>
          </w:tcPr>
          <w:p>
            <w:pPr>
              <w:jc w:val="right"/>
              <w:ind w:right="1081"/>
              <w:spacing w:after="0"/>
              <w:rPr>
                <w:sz w:val="20"/>
                <w:szCs w:val="20"/>
                <w:color w:val="auto"/>
              </w:rPr>
            </w:pPr>
            <w:r>
              <w:rPr>
                <w:rFonts w:ascii="Times New Roman" w:cs="Times New Roman" w:eastAsia="Times New Roman" w:hAnsi="Times New Roman"/>
                <w:sz w:val="20"/>
                <w:szCs w:val="20"/>
                <w:color w:val="auto"/>
              </w:rPr>
              <w:t>48</w:t>
            </w:r>
          </w:p>
        </w:tc>
      </w:tr>
      <w:tr>
        <w:trPr>
          <w:trHeight w:val="243"/>
        </w:trPr>
        <w:tc>
          <w:tcPr>
            <w:tcW w:w="1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LIEN ON SHARES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49</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Lien on partly paid shares</w:t>
            </w:r>
          </w:p>
        </w:tc>
        <w:tc>
          <w:tcPr>
            <w:tcW w:w="1180" w:type="dxa"/>
            <w:vAlign w:val="bottom"/>
          </w:tcPr>
          <w:p>
            <w:pPr>
              <w:jc w:val="right"/>
              <w:ind w:right="801"/>
              <w:spacing w:after="0"/>
              <w:rPr>
                <w:sz w:val="20"/>
                <w:szCs w:val="20"/>
                <w:color w:val="auto"/>
              </w:rPr>
            </w:pPr>
            <w:r>
              <w:rPr>
                <w:rFonts w:ascii="Times New Roman" w:cs="Times New Roman" w:eastAsia="Times New Roman" w:hAnsi="Times New Roman"/>
                <w:sz w:val="20"/>
                <w:szCs w:val="20"/>
                <w:color w:val="auto"/>
              </w:rPr>
              <w:t>49</w:t>
            </w:r>
          </w:p>
        </w:tc>
        <w:tc>
          <w:tcPr>
            <w:tcW w:w="1460" w:type="dxa"/>
            <w:vAlign w:val="bottom"/>
          </w:tcPr>
          <w:p>
            <w:pPr>
              <w:spacing w:after="0"/>
              <w:rPr>
                <w:sz w:val="19"/>
                <w:szCs w:val="19"/>
                <w:color w:val="auto"/>
              </w:rPr>
            </w:pPr>
          </w:p>
        </w:tc>
      </w:tr>
      <w:tr>
        <w:trPr>
          <w:trHeight w:val="243"/>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Enforcement of lien</w:t>
            </w:r>
          </w:p>
        </w:tc>
        <w:tc>
          <w:tcPr>
            <w:tcW w:w="320" w:type="dxa"/>
            <w:vAlign w:val="bottom"/>
          </w:tcPr>
          <w:p>
            <w:pPr>
              <w:spacing w:after="0"/>
              <w:rPr>
                <w:sz w:val="21"/>
                <w:szCs w:val="21"/>
                <w:color w:val="auto"/>
              </w:rPr>
            </w:pP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1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CALLS ON SHARES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49</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Calls</w:t>
            </w: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Interest on calls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50</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110.</w:t>
            </w:r>
          </w:p>
        </w:tc>
        <w:tc>
          <w:tcPr>
            <w:tcW w:w="20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Sums treated as calls</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111.</w:t>
            </w:r>
          </w:p>
        </w:tc>
        <w:tc>
          <w:tcPr>
            <w:tcW w:w="20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Power to differentiate</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112.</w:t>
            </w: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Payment of calls in advance</w:t>
            </w:r>
          </w:p>
        </w:tc>
        <w:tc>
          <w:tcPr>
            <w:tcW w:w="1180" w:type="dxa"/>
            <w:vAlign w:val="bottom"/>
          </w:tcPr>
          <w:p>
            <w:pPr>
              <w:jc w:val="right"/>
              <w:ind w:right="801"/>
              <w:spacing w:after="0"/>
              <w:rPr>
                <w:sz w:val="20"/>
                <w:szCs w:val="20"/>
                <w:color w:val="auto"/>
              </w:rPr>
            </w:pPr>
            <w:r>
              <w:rPr>
                <w:rFonts w:ascii="Times New Roman" w:cs="Times New Roman" w:eastAsia="Times New Roman" w:hAnsi="Times New Roman"/>
                <w:sz w:val="20"/>
                <w:szCs w:val="20"/>
                <w:color w:val="auto"/>
              </w:rPr>
              <w:t>50</w:t>
            </w:r>
          </w:p>
        </w:tc>
        <w:tc>
          <w:tcPr>
            <w:tcW w:w="1460" w:type="dxa"/>
            <w:vAlign w:val="bottom"/>
          </w:tcPr>
          <w:p>
            <w:pPr>
              <w:spacing w:after="0"/>
              <w:rPr>
                <w:sz w:val="19"/>
                <w:szCs w:val="19"/>
                <w:color w:val="auto"/>
              </w:rPr>
            </w:pPr>
          </w:p>
        </w:tc>
      </w:tr>
      <w:tr>
        <w:trPr>
          <w:trHeight w:val="243"/>
        </w:trPr>
        <w:tc>
          <w:tcPr>
            <w:tcW w:w="26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FORFEITURE OF SHARES 50</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c>
          <w:tcPr>
            <w:tcW w:w="20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Notice of unpaid calls</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c>
          <w:tcPr>
            <w:tcW w:w="36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Forfeiture on non-compliance with notice</w:t>
            </w:r>
          </w:p>
        </w:tc>
        <w:tc>
          <w:tcPr>
            <w:tcW w:w="1460" w:type="dxa"/>
            <w:vAlign w:val="bottom"/>
          </w:tcPr>
          <w:p>
            <w:pPr>
              <w:jc w:val="right"/>
              <w:ind w:right="1081"/>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115.</w:t>
            </w:r>
          </w:p>
        </w:tc>
        <w:tc>
          <w:tcPr>
            <w:tcW w:w="36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Power to annul forfeiture or surrender  51</w:t>
            </w:r>
          </w:p>
        </w:tc>
        <w:tc>
          <w:tcPr>
            <w:tcW w:w="1460" w:type="dxa"/>
            <w:vAlign w:val="bottom"/>
          </w:tcPr>
          <w:p>
            <w:pPr>
              <w:spacing w:after="0"/>
              <w:rPr>
                <w:sz w:val="19"/>
                <w:szCs w:val="19"/>
                <w:color w:val="auto"/>
              </w:rPr>
            </w:pPr>
          </w:p>
        </w:tc>
      </w:tr>
      <w:tr>
        <w:trPr>
          <w:trHeight w:val="243"/>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116.</w:t>
            </w:r>
          </w:p>
        </w:tc>
        <w:tc>
          <w:tcPr>
            <w:tcW w:w="36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Disposal of forfeited or surrendered shares</w:t>
            </w:r>
          </w:p>
        </w:tc>
        <w:tc>
          <w:tcPr>
            <w:tcW w:w="1460" w:type="dxa"/>
            <w:vAlign w:val="bottom"/>
          </w:tcPr>
          <w:p>
            <w:pPr>
              <w:jc w:val="right"/>
              <w:ind w:right="1081"/>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c>
          <w:tcPr>
            <w:tcW w:w="506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Arrears to be paid notwithstanding forfeiture or surrender  52</w:t>
            </w: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SEAL</w:t>
            </w:r>
          </w:p>
        </w:tc>
        <w:tc>
          <w:tcPr>
            <w:tcW w:w="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52</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ind w:left="747" w:hanging="747"/>
        <w:spacing w:after="0"/>
        <w:tabs>
          <w:tab w:leader="none" w:pos="74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Seal 52</w:t>
      </w:r>
    </w:p>
    <w:p>
      <w:pPr>
        <w:spacing w:after="0" w:line="6" w:lineRule="exact"/>
        <w:rPr>
          <w:rFonts w:ascii="Times New Roman" w:cs="Times New Roman" w:eastAsia="Times New Roman" w:hAnsi="Times New Roman"/>
          <w:sz w:val="20"/>
          <w:szCs w:val="20"/>
          <w:color w:val="auto"/>
        </w:rPr>
      </w:pPr>
    </w:p>
    <w:p>
      <w:pPr>
        <w:ind w:left="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52</w:t>
      </w:r>
    </w:p>
    <w:p>
      <w:pPr>
        <w:spacing w:after="0" w:line="6" w:lineRule="exact"/>
        <w:rPr>
          <w:sz w:val="20"/>
          <w:szCs w:val="20"/>
          <w:color w:val="auto"/>
        </w:rPr>
      </w:pPr>
    </w:p>
    <w:p>
      <w:pPr>
        <w:ind w:left="7"/>
        <w:spacing w:after="0"/>
        <w:tabs>
          <w:tab w:leader="none" w:pos="727" w:val="left"/>
          <w:tab w:leader="none" w:pos="4287"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20"/>
          <w:szCs w:val="20"/>
          <w:color w:val="auto"/>
        </w:rPr>
        <w:t>Declaration of dividends by the Company</w:t>
        <w:tab/>
        <w:t>52</w:t>
      </w:r>
    </w:p>
    <w:p>
      <w:pPr>
        <w:spacing w:after="0" w:line="6" w:lineRule="exact"/>
        <w:rPr>
          <w:sz w:val="20"/>
          <w:szCs w:val="20"/>
          <w:color w:val="auto"/>
        </w:rPr>
      </w:pPr>
    </w:p>
    <w:p>
      <w:pPr>
        <w:ind w:left="747" w:hanging="747"/>
        <w:spacing w:after="0"/>
        <w:tabs>
          <w:tab w:leader="none" w:pos="74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Fixed and interim dividends  53</w:t>
      </w:r>
    </w:p>
    <w:p>
      <w:pPr>
        <w:ind w:left="747" w:hanging="747"/>
        <w:spacing w:after="0"/>
        <w:tabs>
          <w:tab w:leader="none" w:pos="74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Calculation and currency of dividends  53</w:t>
      </w:r>
    </w:p>
    <w:p>
      <w:pPr>
        <w:spacing w:after="0" w:line="6" w:lineRule="exact"/>
        <w:rPr>
          <w:sz w:val="20"/>
          <w:szCs w:val="20"/>
          <w:color w:val="auto"/>
        </w:rPr>
      </w:pPr>
    </w:p>
    <w:p>
      <w:pPr>
        <w:ind w:left="7"/>
        <w:spacing w:after="0"/>
        <w:tabs>
          <w:tab w:leader="none" w:pos="727" w:val="left"/>
          <w:tab w:leader="none" w:pos="2707"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color w:val="auto"/>
        </w:rPr>
        <w:t>Method of payment</w:t>
      </w:r>
      <w:r>
        <w:rPr>
          <w:sz w:val="20"/>
          <w:szCs w:val="20"/>
          <w:color w:val="auto"/>
        </w:rPr>
        <w:tab/>
      </w:r>
      <w:r>
        <w:rPr>
          <w:rFonts w:ascii="Times New Roman" w:cs="Times New Roman" w:eastAsia="Times New Roman" w:hAnsi="Times New Roman"/>
          <w:sz w:val="20"/>
          <w:szCs w:val="20"/>
          <w:color w:val="auto"/>
        </w:rPr>
        <w:t>53</w:t>
      </w:r>
    </w:p>
    <w:p>
      <w:pPr>
        <w:spacing w:after="0" w:line="6" w:lineRule="exact"/>
        <w:rPr>
          <w:sz w:val="20"/>
          <w:szCs w:val="20"/>
          <w:color w:val="auto"/>
        </w:rPr>
      </w:pPr>
    </w:p>
    <w:p>
      <w:pPr>
        <w:ind w:left="747" w:hanging="747"/>
        <w:spacing w:after="0"/>
        <w:tabs>
          <w:tab w:leader="none" w:pos="74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not to bear interest 54</w:t>
      </w:r>
    </w:p>
    <w:tbl>
      <w:tblPr>
        <w:tblLayout w:type="fixed"/>
        <w:tblInd w:w="7" w:type="dxa"/>
        <w:tblCellMar>
          <w:top w:w="0" w:type="dxa"/>
          <w:left w:w="0" w:type="dxa"/>
          <w:bottom w:w="0" w:type="dxa"/>
          <w:right w:w="0" w:type="dxa"/>
        </w:tblCellMar>
      </w:tblPr>
      <w:tr>
        <w:trPr>
          <w:trHeight w:val="221"/>
        </w:trPr>
        <w:tc>
          <w:tcPr>
            <w:tcW w:w="5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124.</w:t>
            </w:r>
          </w:p>
        </w:tc>
        <w:tc>
          <w:tcPr>
            <w:tcW w:w="4360" w:type="dxa"/>
            <w:vAlign w:val="bottom"/>
            <w:gridSpan w:val="3"/>
          </w:tcPr>
          <w:p>
            <w:pPr>
              <w:ind w:left="200"/>
              <w:spacing w:after="0" w:line="221" w:lineRule="exact"/>
              <w:rPr>
                <w:sz w:val="20"/>
                <w:szCs w:val="20"/>
                <w:color w:val="auto"/>
              </w:rPr>
            </w:pPr>
            <w:r>
              <w:rPr>
                <w:rFonts w:ascii="Times New Roman" w:cs="Times New Roman" w:eastAsia="Times New Roman" w:hAnsi="Times New Roman"/>
                <w:sz w:val="20"/>
                <w:szCs w:val="20"/>
                <w:color w:val="auto"/>
              </w:rPr>
              <w:t>Calls or debts may be deducted from dividends  54</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125.</w:t>
            </w: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Unclaimed dividends etc.</w:t>
            </w:r>
          </w:p>
        </w:tc>
        <w:tc>
          <w:tcPr>
            <w:tcW w:w="188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55</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126.</w:t>
            </w:r>
          </w:p>
        </w:tc>
        <w:tc>
          <w:tcPr>
            <w:tcW w:w="2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Uncashed dividends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w:t>
            </w:r>
          </w:p>
        </w:tc>
        <w:tc>
          <w:tcPr>
            <w:tcW w:w="1880" w:type="dxa"/>
            <w:vAlign w:val="bottom"/>
          </w:tcPr>
          <w:p>
            <w:pPr>
              <w:spacing w:after="0"/>
              <w:rPr>
                <w:sz w:val="19"/>
                <w:szCs w:val="19"/>
                <w:color w:val="auto"/>
              </w:rPr>
            </w:pP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127.</w:t>
            </w:r>
          </w:p>
        </w:tc>
        <w:tc>
          <w:tcPr>
            <w:tcW w:w="2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Dividends in specie</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w:t>
            </w:r>
          </w:p>
        </w:tc>
        <w:tc>
          <w:tcPr>
            <w:tcW w:w="1880" w:type="dxa"/>
            <w:vAlign w:val="bottom"/>
          </w:tcPr>
          <w:p>
            <w:pPr>
              <w:spacing w:after="0"/>
              <w:rPr>
                <w:sz w:val="22"/>
                <w:szCs w:val="22"/>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128.</w:t>
            </w:r>
          </w:p>
        </w:tc>
        <w:tc>
          <w:tcPr>
            <w:tcW w:w="2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Scrip dividends    56</w:t>
            </w: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43"/>
        </w:trPr>
        <w:tc>
          <w:tcPr>
            <w:tcW w:w="4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CAPITALISATION OF PROFITS AND RESERVES 57</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129.</w:t>
            </w: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Capitalisation of reserves</w:t>
            </w:r>
          </w:p>
        </w:tc>
        <w:tc>
          <w:tcPr>
            <w:tcW w:w="188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960755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6"/>
          </w:cols>
          <w:pgMar w:left="433" w:top="1372" w:right="1440" w:bottom="1440" w:gutter="0" w:footer="0" w:header="0"/>
        </w:sectPr>
      </w:pPr>
    </w:p>
    <w:bookmarkStart w:id="8" w:name="page9"/>
    <w:bookmarkEnd w:id="8"/>
    <w:p>
      <w:pPr>
        <w:ind w:left="7"/>
        <w:spacing w:after="0"/>
        <w:rPr>
          <w:sz w:val="20"/>
          <w:szCs w:val="20"/>
          <w:color w:val="auto"/>
        </w:rPr>
      </w:pPr>
      <w:r>
        <w:rPr>
          <w:rFonts w:ascii="Times New Roman" w:cs="Times New Roman" w:eastAsia="Times New Roman" w:hAnsi="Times New Roman"/>
          <w:sz w:val="20"/>
          <w:szCs w:val="20"/>
          <w:color w:val="auto"/>
        </w:rPr>
        <w:t>RECORD DATES 58</w:t>
      </w:r>
    </w:p>
    <w:p>
      <w:pPr>
        <w:spacing w:after="0" w:line="22" w:lineRule="exact"/>
        <w:rPr>
          <w:sz w:val="20"/>
          <w:szCs w:val="20"/>
          <w:color w:val="auto"/>
        </w:rPr>
      </w:pPr>
    </w:p>
    <w:p>
      <w:pPr>
        <w:ind w:left="7"/>
        <w:spacing w:after="0"/>
        <w:tabs>
          <w:tab w:leader="none" w:pos="727" w:val="left"/>
          <w:tab w:leader="none" w:pos="2707"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20"/>
          <w:szCs w:val="20"/>
          <w:color w:val="auto"/>
        </w:rPr>
        <w:t>Fixing of record dates</w:t>
        <w:tab/>
        <w:t>58</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ACCOUNTS 58</w:t>
      </w:r>
    </w:p>
    <w:p>
      <w:pPr>
        <w:spacing w:after="0" w:line="6" w:lineRule="exact"/>
        <w:rPr>
          <w:sz w:val="20"/>
          <w:szCs w:val="20"/>
          <w:color w:val="auto"/>
        </w:rPr>
      </w:pPr>
    </w:p>
    <w:p>
      <w:pPr>
        <w:ind w:left="7" w:right="7499" w:hanging="7"/>
        <w:spacing w:after="0" w:line="243" w:lineRule="auto"/>
        <w:tabs>
          <w:tab w:leader="none" w:pos="75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records 58 AUDITORS 59</w:t>
      </w:r>
    </w:p>
    <w:p>
      <w:pPr>
        <w:ind w:left="7"/>
        <w:spacing w:after="0"/>
        <w:tabs>
          <w:tab w:leader="none" w:pos="727" w:val="left"/>
          <w:tab w:leader="none" w:pos="3107"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20"/>
          <w:szCs w:val="20"/>
          <w:color w:val="auto"/>
        </w:rPr>
        <w:t>Validity of acts of Auditor</w:t>
        <w:tab/>
        <w:t>59</w:t>
      </w:r>
    </w:p>
    <w:p>
      <w:pPr>
        <w:spacing w:after="0" w:line="6" w:lineRule="exact"/>
        <w:rPr>
          <w:sz w:val="20"/>
          <w:szCs w:val="20"/>
          <w:color w:val="auto"/>
        </w:rPr>
      </w:pPr>
    </w:p>
    <w:p>
      <w:pPr>
        <w:ind w:left="7"/>
        <w:spacing w:after="0"/>
        <w:tabs>
          <w:tab w:leader="none" w:pos="4727" w:val="left"/>
        </w:tabs>
        <w:rPr>
          <w:sz w:val="20"/>
          <w:szCs w:val="20"/>
          <w:color w:val="auto"/>
        </w:rPr>
      </w:pPr>
      <w:r>
        <w:rPr>
          <w:rFonts w:ascii="Times New Roman" w:cs="Times New Roman" w:eastAsia="Times New Roman" w:hAnsi="Times New Roman"/>
          <w:sz w:val="20"/>
          <w:szCs w:val="20"/>
          <w:color w:val="auto"/>
        </w:rPr>
        <w:t>SERVICE OF NOTICES AND OTHER DOCUMENTS</w:t>
        <w:tab/>
        <w:t>59</w:t>
      </w:r>
    </w:p>
    <w:p>
      <w:pPr>
        <w:spacing w:after="0" w:line="6" w:lineRule="exact"/>
        <w:rPr>
          <w:sz w:val="20"/>
          <w:szCs w:val="20"/>
          <w:color w:val="auto"/>
        </w:rPr>
      </w:pPr>
    </w:p>
    <w:p>
      <w:pPr>
        <w:ind w:left="747" w:hanging="747"/>
        <w:spacing w:after="0"/>
        <w:tabs>
          <w:tab w:leader="none" w:pos="74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in writing  59</w:t>
      </w:r>
    </w:p>
    <w:p>
      <w:pPr>
        <w:spacing w:after="0" w:line="6" w:lineRule="exact"/>
        <w:rPr>
          <w:sz w:val="20"/>
          <w:szCs w:val="20"/>
          <w:color w:val="auto"/>
        </w:rPr>
      </w:pPr>
    </w:p>
    <w:p>
      <w:pPr>
        <w:ind w:left="7"/>
        <w:spacing w:after="0"/>
        <w:tabs>
          <w:tab w:leader="none" w:pos="727" w:val="left"/>
          <w:tab w:leader="none" w:pos="3887"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20"/>
          <w:szCs w:val="20"/>
          <w:color w:val="auto"/>
        </w:rPr>
        <w:t>Method of giving notice to members</w:t>
        <w:tab/>
        <w:t>59</w:t>
      </w:r>
    </w:p>
    <w:p>
      <w:pPr>
        <w:spacing w:after="0" w:line="6" w:lineRule="exact"/>
        <w:rPr>
          <w:sz w:val="20"/>
          <w:szCs w:val="20"/>
          <w:color w:val="auto"/>
        </w:rPr>
      </w:pPr>
    </w:p>
    <w:p>
      <w:pPr>
        <w:ind w:left="747" w:hanging="747"/>
        <w:spacing w:after="0"/>
        <w:tabs>
          <w:tab w:leader="none" w:pos="74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by members 61</w:t>
      </w:r>
    </w:p>
    <w:tbl>
      <w:tblPr>
        <w:tblLayout w:type="fixed"/>
        <w:tblInd w:w="7" w:type="dxa"/>
        <w:tblCellMar>
          <w:top w:w="0" w:type="dxa"/>
          <w:left w:w="0" w:type="dxa"/>
          <w:bottom w:w="0" w:type="dxa"/>
          <w:right w:w="0" w:type="dxa"/>
        </w:tblCellMar>
      </w:tblPr>
      <w:tr>
        <w:trPr>
          <w:trHeight w:val="227"/>
        </w:trPr>
        <w:tc>
          <w:tcPr>
            <w:tcW w:w="540" w:type="dxa"/>
            <w:vAlign w:val="bottom"/>
          </w:tcPr>
          <w:p>
            <w:pPr>
              <w:jc w:val="right"/>
              <w:ind w:right="101"/>
              <w:spacing w:after="0" w:line="228" w:lineRule="exact"/>
              <w:rPr>
                <w:sz w:val="20"/>
                <w:szCs w:val="20"/>
                <w:color w:val="auto"/>
              </w:rPr>
            </w:pPr>
            <w:r>
              <w:rPr>
                <w:rFonts w:ascii="Times New Roman" w:cs="Times New Roman" w:eastAsia="Times New Roman" w:hAnsi="Times New Roman"/>
                <w:sz w:val="20"/>
                <w:szCs w:val="20"/>
                <w:color w:val="auto"/>
                <w:w w:val="91"/>
              </w:rPr>
              <w:t>136.</w:t>
            </w:r>
          </w:p>
        </w:tc>
        <w:tc>
          <w:tcPr>
            <w:tcW w:w="396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Notice to joint holders  62</w:t>
            </w:r>
          </w:p>
        </w:tc>
      </w:tr>
      <w:tr>
        <w:trPr>
          <w:trHeight w:val="251"/>
        </w:trPr>
        <w:tc>
          <w:tcPr>
            <w:tcW w:w="5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1"/>
              </w:rPr>
              <w:t>137.</w:t>
            </w:r>
          </w:p>
        </w:tc>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Notice to persons entitled by transmission   62</w:t>
            </w:r>
          </w:p>
        </w:tc>
      </w:tr>
    </w:tbl>
    <w:p>
      <w:pPr>
        <w:ind w:left="747" w:hanging="747"/>
        <w:spacing w:after="0"/>
        <w:tabs>
          <w:tab w:leader="none" w:pos="74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postal services 62</w:t>
      </w:r>
    </w:p>
    <w:tbl>
      <w:tblPr>
        <w:tblLayout w:type="fixed"/>
        <w:tblInd w:w="7" w:type="dxa"/>
        <w:tblCellMar>
          <w:top w:w="0" w:type="dxa"/>
          <w:left w:w="0" w:type="dxa"/>
          <w:bottom w:w="0" w:type="dxa"/>
          <w:right w:w="0" w:type="dxa"/>
        </w:tblCellMar>
      </w:tblPr>
      <w:tr>
        <w:trPr>
          <w:trHeight w:val="221"/>
        </w:trPr>
        <w:tc>
          <w:tcPr>
            <w:tcW w:w="540" w:type="dxa"/>
            <w:vAlign w:val="bottom"/>
          </w:tcPr>
          <w:p>
            <w:pPr>
              <w:jc w:val="right"/>
              <w:ind w:right="101"/>
              <w:spacing w:after="0" w:line="221" w:lineRule="exact"/>
              <w:rPr>
                <w:sz w:val="20"/>
                <w:szCs w:val="20"/>
                <w:color w:val="auto"/>
              </w:rPr>
            </w:pPr>
            <w:r>
              <w:rPr>
                <w:rFonts w:ascii="Times New Roman" w:cs="Times New Roman" w:eastAsia="Times New Roman" w:hAnsi="Times New Roman"/>
                <w:sz w:val="20"/>
                <w:szCs w:val="20"/>
                <w:color w:val="auto"/>
                <w:w w:val="91"/>
              </w:rPr>
              <w:t>139.</w:t>
            </w:r>
          </w:p>
        </w:tc>
        <w:tc>
          <w:tcPr>
            <w:tcW w:w="1580" w:type="dxa"/>
            <w:vAlign w:val="bottom"/>
          </w:tcPr>
          <w:p>
            <w:pPr>
              <w:ind w:left="200"/>
              <w:spacing w:after="0" w:line="221" w:lineRule="exact"/>
              <w:rPr>
                <w:sz w:val="20"/>
                <w:szCs w:val="20"/>
                <w:color w:val="auto"/>
              </w:rPr>
            </w:pPr>
            <w:r>
              <w:rPr>
                <w:rFonts w:ascii="Times New Roman" w:cs="Times New Roman" w:eastAsia="Times New Roman" w:hAnsi="Times New Roman"/>
                <w:sz w:val="20"/>
                <w:szCs w:val="20"/>
                <w:color w:val="auto"/>
              </w:rPr>
              <w:t>Deemed notice</w:t>
            </w:r>
          </w:p>
        </w:tc>
        <w:tc>
          <w:tcPr>
            <w:tcW w:w="1980" w:type="dxa"/>
            <w:vAlign w:val="bottom"/>
          </w:tcPr>
          <w:p>
            <w:pPr>
              <w:jc w:val="right"/>
              <w:ind w:right="1481"/>
              <w:spacing w:after="0" w:line="221" w:lineRule="exact"/>
              <w:rPr>
                <w:sz w:val="20"/>
                <w:szCs w:val="20"/>
                <w:color w:val="auto"/>
              </w:rPr>
            </w:pPr>
            <w:r>
              <w:rPr>
                <w:rFonts w:ascii="Times New Roman" w:cs="Times New Roman" w:eastAsia="Times New Roman" w:hAnsi="Times New Roman"/>
                <w:sz w:val="20"/>
                <w:szCs w:val="20"/>
                <w:color w:val="auto"/>
              </w:rPr>
              <w:t>62</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1"/>
              </w:rPr>
              <w:t>140.</w:t>
            </w:r>
          </w:p>
        </w:tc>
        <w:tc>
          <w:tcPr>
            <w:tcW w:w="43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Successors in title bound by notice to predecessor</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8"/>
        </w:trPr>
        <w:tc>
          <w:tcPr>
            <w:tcW w:w="5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1"/>
              </w:rPr>
              <w:t>141.</w:t>
            </w: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Reference to notices are to notifications</w:t>
            </w: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62</w:t>
            </w:r>
          </w:p>
        </w:tc>
        <w:tc>
          <w:tcPr>
            <w:tcW w:w="420" w:type="dxa"/>
            <w:vAlign w:val="bottom"/>
          </w:tcPr>
          <w:p>
            <w:pPr>
              <w:spacing w:after="0"/>
              <w:rPr>
                <w:sz w:val="22"/>
                <w:szCs w:val="22"/>
                <w:color w:val="auto"/>
              </w:rPr>
            </w:pPr>
          </w:p>
        </w:tc>
      </w:tr>
    </w:tbl>
    <w:p>
      <w:pPr>
        <w:ind w:left="747" w:hanging="747"/>
        <w:spacing w:after="0"/>
        <w:tabs>
          <w:tab w:leader="none" w:pos="74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requirements  63</w:t>
      </w:r>
    </w:p>
    <w:p>
      <w:pPr>
        <w:spacing w:after="0" w:line="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 date for delivery 63</w:t>
      </w:r>
    </w:p>
    <w:p>
      <w:pPr>
        <w:spacing w:after="0" w:line="6" w:lineRule="exact"/>
        <w:rPr>
          <w:sz w:val="20"/>
          <w:szCs w:val="20"/>
          <w:color w:val="auto"/>
        </w:rPr>
      </w:pPr>
    </w:p>
    <w:p>
      <w:pPr>
        <w:ind w:left="7"/>
        <w:spacing w:after="0"/>
        <w:tabs>
          <w:tab w:leader="none" w:pos="1167" w:val="left"/>
        </w:tabs>
        <w:rPr>
          <w:sz w:val="20"/>
          <w:szCs w:val="20"/>
          <w:color w:val="auto"/>
        </w:rPr>
      </w:pPr>
      <w:r>
        <w:rPr>
          <w:rFonts w:ascii="Times New Roman" w:cs="Times New Roman" w:eastAsia="Times New Roman" w:hAnsi="Times New Roman"/>
          <w:sz w:val="20"/>
          <w:szCs w:val="20"/>
          <w:color w:val="auto"/>
        </w:rPr>
        <w:t>REGISTER</w:t>
        <w:tab/>
        <w:t>63</w:t>
      </w:r>
    </w:p>
    <w:p>
      <w:pPr>
        <w:spacing w:after="0" w:line="6" w:lineRule="exact"/>
        <w:rPr>
          <w:sz w:val="20"/>
          <w:szCs w:val="20"/>
          <w:color w:val="auto"/>
        </w:rPr>
      </w:pPr>
    </w:p>
    <w:p>
      <w:pPr>
        <w:ind w:left="747" w:hanging="747"/>
        <w:spacing w:after="0"/>
        <w:tabs>
          <w:tab w:leader="none" w:pos="74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 Requirements  63</w:t>
      </w:r>
    </w:p>
    <w:tbl>
      <w:tblPr>
        <w:tblLayout w:type="fixed"/>
        <w:tblInd w:w="7" w:type="dxa"/>
        <w:tblCellMar>
          <w:top w:w="0" w:type="dxa"/>
          <w:left w:w="0" w:type="dxa"/>
          <w:bottom w:w="0" w:type="dxa"/>
          <w:right w:w="0" w:type="dxa"/>
        </w:tblCellMar>
      </w:tblPr>
      <w:tr>
        <w:trPr>
          <w:trHeight w:val="221"/>
        </w:trPr>
        <w:tc>
          <w:tcPr>
            <w:tcW w:w="304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UNTRACED MEMBERS   63</w:t>
            </w:r>
          </w:p>
        </w:tc>
        <w:tc>
          <w:tcPr>
            <w:tcW w:w="1060" w:type="dxa"/>
            <w:vAlign w:val="bottom"/>
          </w:tcPr>
          <w:p>
            <w:pPr>
              <w:spacing w:after="0"/>
              <w:rPr>
                <w:sz w:val="19"/>
                <w:szCs w:val="19"/>
                <w:color w:val="auto"/>
              </w:rPr>
            </w:pP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145.</w:t>
            </w: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Sale of shares of untraced members    63</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146.</w:t>
            </w: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Application of proceeds of sale   65</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DESTRUCTION OF DOCUMENTS</w:t>
            </w:r>
          </w:p>
        </w:tc>
        <w:tc>
          <w:tcPr>
            <w:tcW w:w="106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147.</w:t>
            </w:r>
          </w:p>
        </w:tc>
        <w:tc>
          <w:tcPr>
            <w:tcW w:w="2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Destruction of documents</w:t>
            </w:r>
          </w:p>
        </w:tc>
        <w:tc>
          <w:tcPr>
            <w:tcW w:w="106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65</w:t>
            </w:r>
          </w:p>
        </w:tc>
      </w:tr>
      <w:tr>
        <w:trPr>
          <w:trHeight w:val="258"/>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WINDING UP66</w:t>
            </w:r>
          </w:p>
        </w:tc>
        <w:tc>
          <w:tcPr>
            <w:tcW w:w="1060" w:type="dxa"/>
            <w:vAlign w:val="bottom"/>
          </w:tcPr>
          <w:p>
            <w:pPr>
              <w:spacing w:after="0"/>
              <w:rPr>
                <w:sz w:val="22"/>
                <w:szCs w:val="22"/>
                <w:color w:val="auto"/>
              </w:rPr>
            </w:pPr>
          </w:p>
        </w:tc>
      </w:tr>
    </w:tbl>
    <w:p>
      <w:pPr>
        <w:ind w:left="747" w:hanging="747"/>
        <w:spacing w:after="0"/>
        <w:tabs>
          <w:tab w:leader="none" w:pos="74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Powers to distribute in specie 66</w:t>
      </w:r>
    </w:p>
    <w:p>
      <w:pPr>
        <w:spacing w:after="0" w:line="214" w:lineRule="exact"/>
        <w:rPr>
          <w:sz w:val="20"/>
          <w:szCs w:val="20"/>
          <w:color w:val="auto"/>
        </w:rPr>
      </w:pPr>
    </w:p>
    <w:p>
      <w:pPr>
        <w:ind w:left="747" w:hanging="747"/>
        <w:spacing w:after="0"/>
        <w:tabs>
          <w:tab w:leader="none" w:pos="74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indemnity, insurance and defence 66</w:t>
      </w:r>
    </w:p>
    <w:p>
      <w:pPr>
        <w:spacing w:after="0" w:line="28" w:lineRule="exact"/>
        <w:rPr>
          <w:rFonts w:ascii="Times New Roman" w:cs="Times New Roman" w:eastAsia="Times New Roman" w:hAnsi="Times New Roman"/>
          <w:sz w:val="20"/>
          <w:szCs w:val="20"/>
          <w:color w:val="auto"/>
        </w:rPr>
      </w:pPr>
    </w:p>
    <w:p>
      <w:pPr>
        <w:ind w:left="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FORUM SELECTION  67</w:t>
      </w:r>
    </w:p>
    <w:p>
      <w:pPr>
        <w:spacing w:after="0" w:line="6" w:lineRule="exact"/>
        <w:rPr>
          <w:sz w:val="20"/>
          <w:szCs w:val="20"/>
          <w:color w:val="auto"/>
        </w:rPr>
      </w:pPr>
    </w:p>
    <w:p>
      <w:pPr>
        <w:ind w:left="7"/>
        <w:spacing w:after="0"/>
        <w:tabs>
          <w:tab w:leader="none" w:pos="727" w:val="left"/>
          <w:tab w:leader="none" w:pos="2307" w:val="left"/>
        </w:tabs>
        <w:rPr>
          <w:sz w:val="20"/>
          <w:szCs w:val="20"/>
          <w:color w:val="auto"/>
        </w:rPr>
      </w:pPr>
      <w:r>
        <w:rPr>
          <w:rFonts w:ascii="Times New Roman" w:cs="Times New Roman" w:eastAsia="Times New Roman" w:hAnsi="Times New Roman"/>
          <w:sz w:val="20"/>
          <w:szCs w:val="20"/>
          <w:color w:val="auto"/>
        </w:rPr>
        <w:t>150.</w:t>
      </w:r>
      <w:r>
        <w:rPr>
          <w:sz w:val="20"/>
          <w:szCs w:val="20"/>
          <w:color w:val="auto"/>
        </w:rPr>
        <w:tab/>
      </w:r>
      <w:r>
        <w:rPr>
          <w:rFonts w:ascii="Times New Roman" w:cs="Times New Roman" w:eastAsia="Times New Roman" w:hAnsi="Times New Roman"/>
          <w:sz w:val="20"/>
          <w:szCs w:val="20"/>
          <w:color w:val="auto"/>
        </w:rPr>
        <w:t>Forum Selection</w:t>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973455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6"/>
          </w:cols>
          <w:pgMar w:left="433" w:top="1372" w:right="1440" w:bottom="1440" w:gutter="0" w:footer="0" w:header="0"/>
        </w:sectPr>
      </w:pPr>
    </w:p>
    <w:bookmarkStart w:id="9" w:name="page10"/>
    <w:bookmarkEnd w:id="9"/>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AMENDED AND RESTATED ARTICLES OF ASSOCIATION OF</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REZOLVE AI PLC</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i w:val="1"/>
          <w:iCs w:val="1"/>
          <w:color w:val="auto"/>
        </w:rPr>
        <w:t>(adopted by special resolution passed on 28 February 2025 and effective from re-</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i w:val="1"/>
          <w:iCs w:val="1"/>
          <w:color w:val="auto"/>
        </w:rPr>
        <w:t>registration as a plc)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PRELIMINARY</w:t>
      </w:r>
    </w:p>
    <w:p>
      <w:pPr>
        <w:spacing w:after="0" w:line="229" w:lineRule="exact"/>
        <w:rPr>
          <w:sz w:val="20"/>
          <w:szCs w:val="20"/>
          <w:color w:val="auto"/>
        </w:rPr>
      </w:pPr>
    </w:p>
    <w:p>
      <w:pPr>
        <w:ind w:left="840" w:hanging="747"/>
        <w:spacing w:after="0"/>
        <w:tabs>
          <w:tab w:leader="none" w:pos="84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Exclusion of default or model articles</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default or model articles or regulations which may apply to companies under the Statutes (including, without limitation, the regulations in Table A in the Companies (Tables A to F) Regulations 1985 (as amended) and the model articles in the Companies (Model Articles) Regulations 2008) shall apply to the Company unless expressly included in these articles.</w:t>
      </w:r>
    </w:p>
    <w:p>
      <w:pPr>
        <w:spacing w:after="0" w:line="17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33" w:lineRule="exact"/>
        <w:rPr>
          <w:rFonts w:ascii="Times New Roman" w:cs="Times New Roman" w:eastAsia="Times New Roman" w:hAnsi="Times New Roman"/>
          <w:sz w:val="20"/>
          <w:szCs w:val="20"/>
          <w:b w:val="1"/>
          <w:bCs w:val="1"/>
          <w:color w:val="auto"/>
        </w:rPr>
      </w:pPr>
    </w:p>
    <w:p>
      <w:pPr>
        <w:ind w:left="1880" w:hanging="754"/>
        <w:spacing w:after="0"/>
        <w:tabs>
          <w:tab w:leader="none" w:pos="18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these articles, unless the contrary intention appears:</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apply:</w:t>
      </w:r>
    </w:p>
    <w:p>
      <w:pPr>
        <w:spacing w:after="0" w:line="225" w:lineRule="exact"/>
        <w:rPr>
          <w:rFonts w:ascii="Times New Roman" w:cs="Times New Roman" w:eastAsia="Times New Roman" w:hAnsi="Times New Roman"/>
          <w:sz w:val="20"/>
          <w:szCs w:val="20"/>
          <w:color w:val="auto"/>
        </w:rPr>
      </w:pPr>
    </w:p>
    <w:p>
      <w:pPr>
        <w:ind w:left="2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2006 Act </w:t>
      </w:r>
      <w:r>
        <w:rPr>
          <w:rFonts w:ascii="Times New Roman" w:cs="Times New Roman" w:eastAsia="Times New Roman" w:hAnsi="Times New Roman"/>
          <w:sz w:val="20"/>
          <w:szCs w:val="20"/>
          <w:color w:val="auto"/>
        </w:rPr>
        <w:t>means the Companies Act 2006;</w:t>
      </w:r>
    </w:p>
    <w:p>
      <w:pPr>
        <w:spacing w:after="0" w:line="215" w:lineRule="exact"/>
        <w:rPr>
          <w:rFonts w:ascii="Times New Roman" w:cs="Times New Roman" w:eastAsia="Times New Roman" w:hAnsi="Times New Roman"/>
          <w:sz w:val="20"/>
          <w:szCs w:val="20"/>
          <w:color w:val="auto"/>
        </w:rPr>
      </w:pPr>
    </w:p>
    <w:p>
      <w:pPr>
        <w:ind w:left="2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these articles </w:t>
      </w:r>
      <w:r>
        <w:rPr>
          <w:rFonts w:ascii="Times New Roman" w:cs="Times New Roman" w:eastAsia="Times New Roman" w:hAnsi="Times New Roman"/>
          <w:sz w:val="20"/>
          <w:szCs w:val="20"/>
          <w:color w:val="auto"/>
        </w:rPr>
        <w:t>means these articles of association, as amended from time to time;</w:t>
      </w:r>
    </w:p>
    <w:p>
      <w:pPr>
        <w:spacing w:after="0" w:line="215" w:lineRule="exact"/>
        <w:rPr>
          <w:rFonts w:ascii="Times New Roman" w:cs="Times New Roman" w:eastAsia="Times New Roman" w:hAnsi="Times New Roman"/>
          <w:sz w:val="20"/>
          <w:szCs w:val="20"/>
          <w:color w:val="auto"/>
        </w:rPr>
      </w:pPr>
    </w:p>
    <w:p>
      <w:pPr>
        <w:jc w:val="both"/>
        <w:ind w:left="23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Affiliate </w:t>
      </w:r>
      <w:r>
        <w:rPr>
          <w:rFonts w:ascii="Times New Roman" w:cs="Times New Roman" w:eastAsia="Times New Roman" w:hAnsi="Times New Roman"/>
          <w:sz w:val="20"/>
          <w:szCs w:val="20"/>
          <w:color w:val="auto"/>
        </w:rPr>
        <w:t>means of any Person means any other Person which (i) directly, or indirectly through one 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intermediaries, controls, or is controlled by, or is under common control with, such Person, and (ii) as to any individual, in addition to any Person in clause (i), (a) any member of the immediate family of an individual, including parents, siblings, spouse and children (including those by adoption), the parents, siblings, spouse, or children (including those by adoption) of such immediate family member, and, in any such case, any trust whose primary beneficiary is such individual or one or more members of such immediate family and/or such individual’s lineal descendants, and (b) the legal representative or guardian of such individual or of any such immediate family member in the event such individual or any such immediate family member becomes mentally incompetent; provided, however, that in no event shall the Company or any of its subsidiaries be deemed an Affiliate of any Relevant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0" w:name="page11"/>
    <w:bookmarkEnd w:id="10"/>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Auditor </w:t>
      </w:r>
      <w:r>
        <w:rPr>
          <w:rFonts w:ascii="Times New Roman" w:cs="Times New Roman" w:eastAsia="Times New Roman" w:hAnsi="Times New Roman"/>
          <w:sz w:val="20"/>
          <w:szCs w:val="20"/>
          <w:color w:val="auto"/>
        </w:rPr>
        <w:t>means the auditor for the time being of the Company;</w:t>
      </w:r>
    </w:p>
    <w:p>
      <w:pPr>
        <w:spacing w:after="0" w:line="229" w:lineRule="exact"/>
        <w:rPr>
          <w:sz w:val="20"/>
          <w:szCs w:val="20"/>
          <w:color w:val="auto"/>
        </w:rPr>
      </w:pPr>
    </w:p>
    <w:p>
      <w:pPr>
        <w:jc w:val="both"/>
        <w:ind w:left="234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Beneficially Own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Beneficial Owner </w:t>
      </w:r>
      <w:r>
        <w:rPr>
          <w:rFonts w:ascii="Times New Roman" w:cs="Times New Roman" w:eastAsia="Times New Roman" w:hAnsi="Times New Roman"/>
          <w:sz w:val="20"/>
          <w:szCs w:val="20"/>
          <w:color w:val="auto"/>
        </w:rPr>
        <w:t>includes without limitation a person who is a Beneficial Owner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the meaning assigned to such term in Rule 13d-3 under the US Securities Exchange Act 1934 (irrespective of whether or not such Rule is actually applicable in such circumstance) or any person who has an interest in any shares held by a Depository including any holder of a certificate of deposit;</w:t>
      </w:r>
    </w:p>
    <w:p>
      <w:pPr>
        <w:spacing w:after="0" w:line="176"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Board </w:t>
      </w:r>
      <w:r>
        <w:rPr>
          <w:rFonts w:ascii="Times New Roman" w:cs="Times New Roman" w:eastAsia="Times New Roman" w:hAnsi="Times New Roman"/>
          <w:sz w:val="20"/>
          <w:szCs w:val="20"/>
          <w:color w:val="auto"/>
        </w:rPr>
        <w:t>means the board of directors for the time being of the Company or the directors present or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present at a duly convened meeting of the directors at which a quorum is present;</w:t>
      </w:r>
    </w:p>
    <w:p>
      <w:pPr>
        <w:spacing w:after="0" w:line="152" w:lineRule="exact"/>
        <w:rPr>
          <w:sz w:val="20"/>
          <w:szCs w:val="20"/>
          <w:color w:val="auto"/>
        </w:rPr>
      </w:pPr>
    </w:p>
    <w:p>
      <w:pPr>
        <w:jc w:val="both"/>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clear days </w:t>
      </w:r>
      <w:r>
        <w:rPr>
          <w:rFonts w:ascii="Times New Roman" w:cs="Times New Roman" w:eastAsia="Times New Roman" w:hAnsi="Times New Roman"/>
          <w:sz w:val="20"/>
          <w:szCs w:val="20"/>
          <w:color w:val="auto"/>
        </w:rPr>
        <w:t>means, in relation to the period of a notice, that period excluding the day when the notice is given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deemed to be given and the day for which it is given or on which it is to take effect;</w:t>
      </w:r>
    </w:p>
    <w:p>
      <w:pPr>
        <w:spacing w:after="0" w:line="13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committee </w:t>
      </w:r>
      <w:r>
        <w:rPr>
          <w:rFonts w:ascii="Times New Roman" w:cs="Times New Roman" w:eastAsia="Times New Roman" w:hAnsi="Times New Roman"/>
          <w:sz w:val="20"/>
          <w:szCs w:val="20"/>
          <w:color w:val="auto"/>
        </w:rPr>
        <w:t>means a committee of the Board;</w:t>
      </w:r>
    </w:p>
    <w:p>
      <w:pPr>
        <w:spacing w:after="0" w:line="2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means Rezolve AI Plc (company no. 14573691);</w:t>
      </w:r>
    </w:p>
    <w:p>
      <w:pPr>
        <w:spacing w:after="0" w:line="216"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Deferred Shares </w:t>
      </w:r>
      <w:r>
        <w:rPr>
          <w:rFonts w:ascii="Times New Roman" w:cs="Times New Roman" w:eastAsia="Times New Roman" w:hAnsi="Times New Roman"/>
          <w:sz w:val="20"/>
          <w:szCs w:val="20"/>
          <w:color w:val="auto"/>
        </w:rPr>
        <w:t>means the redeemable deferred shares in the capital of the Company from time to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referred to in article 4(b) and with the rights set out therein and in these articles generally;</w:t>
      </w:r>
    </w:p>
    <w:p>
      <w:pPr>
        <w:spacing w:after="0" w:line="152" w:lineRule="exact"/>
        <w:rPr>
          <w:sz w:val="20"/>
          <w:szCs w:val="20"/>
          <w:color w:val="auto"/>
        </w:rPr>
      </w:pPr>
    </w:p>
    <w:p>
      <w:pPr>
        <w:jc w:val="both"/>
        <w:ind w:left="234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Depositary </w:t>
      </w:r>
      <w:r>
        <w:rPr>
          <w:rFonts w:ascii="Times New Roman" w:cs="Times New Roman" w:eastAsia="Times New Roman" w:hAnsi="Times New Roman"/>
          <w:sz w:val="20"/>
          <w:szCs w:val="20"/>
          <w:color w:val="auto"/>
        </w:rPr>
        <w:t>means any depositary, clearing agency, custodian, nominee or similar entity authorised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arrangements entered into by the Company, or otherwise approved by the Board that holds legal title to shares in the capital of the Company for the purposes of facilitating beneficial ownership of such shares (or the transfer thereof) by other persons, and may include a person that holds, or is interested directly or indirectly, including through a nominee in shares or rights or interests in respect thereof, and that issues certificates, instruments, securities or other documents of title, or maintains accounts evidencing or recording the entitlement of the holders thereof, or account holders to or to receive such shares, rights or interests (including for the avoidance of doubt DTC and GTU Ops Inc.) ;</w:t>
      </w:r>
    </w:p>
    <w:p>
      <w:pPr>
        <w:spacing w:after="0" w:line="18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director </w:t>
      </w:r>
      <w:r>
        <w:rPr>
          <w:rFonts w:ascii="Times New Roman" w:cs="Times New Roman" w:eastAsia="Times New Roman" w:hAnsi="Times New Roman"/>
          <w:sz w:val="20"/>
          <w:szCs w:val="20"/>
          <w:color w:val="auto"/>
        </w:rPr>
        <w:t>means a director for the time being of the Company;</w:t>
      </w:r>
    </w:p>
    <w:p>
      <w:pPr>
        <w:spacing w:after="0" w:line="216" w:lineRule="exact"/>
        <w:rPr>
          <w:sz w:val="20"/>
          <w:szCs w:val="20"/>
          <w:color w:val="auto"/>
        </w:rPr>
      </w:pPr>
    </w:p>
    <w:p>
      <w:pPr>
        <w:jc w:val="both"/>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DTC </w:t>
      </w:r>
      <w:r>
        <w:rPr>
          <w:rFonts w:ascii="Times New Roman" w:cs="Times New Roman" w:eastAsia="Times New Roman" w:hAnsi="Times New Roman"/>
          <w:sz w:val="20"/>
          <w:szCs w:val="20"/>
          <w:color w:val="auto"/>
        </w:rPr>
        <w:t>means The Depository Trust Company and any affiliate or nominee therefor, including Cede &amp; Co.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successors thereto;</w:t>
      </w:r>
    </w:p>
    <w:p>
      <w:pPr>
        <w:spacing w:after="0" w:line="165" w:lineRule="exact"/>
        <w:rPr>
          <w:sz w:val="20"/>
          <w:szCs w:val="20"/>
          <w:color w:val="auto"/>
        </w:rPr>
      </w:pPr>
    </w:p>
    <w:p>
      <w:pPr>
        <w:jc w:val="both"/>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electronic address </w:t>
      </w:r>
      <w:r>
        <w:rPr>
          <w:rFonts w:ascii="Times New Roman" w:cs="Times New Roman" w:eastAsia="Times New Roman" w:hAnsi="Times New Roman"/>
          <w:sz w:val="20"/>
          <w:szCs w:val="20"/>
          <w:color w:val="auto"/>
        </w:rPr>
        <w:t>means any number or address used for the purposes of sending or receiving 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or information by electronic means;</w:t>
      </w:r>
    </w:p>
    <w:p>
      <w:pPr>
        <w:spacing w:after="0" w:line="152"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electronic form </w:t>
      </w:r>
      <w:r>
        <w:rPr>
          <w:rFonts w:ascii="Times New Roman" w:cs="Times New Roman" w:eastAsia="Times New Roman" w:hAnsi="Times New Roman"/>
          <w:sz w:val="20"/>
          <w:szCs w:val="20"/>
          <w:color w:val="auto"/>
        </w:rPr>
        <w:t>means a document sent or supplied by electronic means (for example, by e-mail or fax,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means while in an electronic form);</w:t>
      </w:r>
    </w:p>
    <w:p>
      <w:pPr>
        <w:spacing w:after="0" w:line="152"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color w:val="auto"/>
        </w:rPr>
        <w:t xml:space="preserve">an </w:t>
      </w:r>
      <w:r>
        <w:rPr>
          <w:rFonts w:ascii="Times New Roman" w:cs="Times New Roman" w:eastAsia="Times New Roman" w:hAnsi="Times New Roman"/>
          <w:sz w:val="20"/>
          <w:szCs w:val="20"/>
          <w:b w:val="1"/>
          <w:bCs w:val="1"/>
          <w:color w:val="auto"/>
        </w:rPr>
        <w:t>electronic general meeting</w:t>
      </w:r>
      <w:r>
        <w:rPr>
          <w:rFonts w:ascii="Times New Roman" w:cs="Times New Roman" w:eastAsia="Times New Roman" w:hAnsi="Times New Roman"/>
          <w:sz w:val="20"/>
          <w:szCs w:val="20"/>
          <w:color w:val="auto"/>
        </w:rPr>
        <w:t xml:space="preserve"> means, subject to the Statutes, a general meeting held or conducted in such a way that allows persons who may not be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11" w:name="page12"/>
    <w:bookmarkEnd w:id="11"/>
    <w:p>
      <w:pPr>
        <w:jc w:val="both"/>
        <w:ind w:left="2340"/>
        <w:spacing w:after="0" w:line="249" w:lineRule="auto"/>
        <w:rPr>
          <w:sz w:val="20"/>
          <w:szCs w:val="20"/>
          <w:color w:val="auto"/>
        </w:rPr>
      </w:pPr>
      <w:r>
        <w:rPr>
          <w:rFonts w:ascii="Times New Roman" w:cs="Times New Roman" w:eastAsia="Times New Roman" w:hAnsi="Times New Roman"/>
          <w:sz w:val="20"/>
          <w:szCs w:val="20"/>
          <w:color w:val="auto"/>
        </w:rPr>
        <w:t>physically present together to participate in the general meeting and communicate with each other any information or opinions they may have on any particular item of business of the meeting, and for the avoidance of doubt, such participation and communication requires that each member participating and communicating at the meeting can both hear any other of them or be heard by any other of them;</w:t>
      </w:r>
    </w:p>
    <w:p>
      <w:pPr>
        <w:spacing w:after="0" w:line="176"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electronic </w:t>
      </w:r>
      <w:r>
        <w:rPr>
          <w:rFonts w:ascii="Times New Roman" w:cs="Times New Roman" w:eastAsia="Times New Roman" w:hAnsi="Times New Roman"/>
          <w:sz w:val="20"/>
          <w:szCs w:val="20"/>
          <w:color w:val="auto"/>
        </w:rPr>
        <w:t>means sent initially and received at its destination by means of electronic equipment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processing (which expression includes digital compression) or storage of data, and entirely transmitted, conveyed and received by wire, by radio, by optical means or by other electromagnetic means;</w:t>
      </w:r>
    </w:p>
    <w:p>
      <w:pPr>
        <w:spacing w:after="0" w:line="169" w:lineRule="exact"/>
        <w:rPr>
          <w:sz w:val="20"/>
          <w:szCs w:val="20"/>
          <w:color w:val="auto"/>
        </w:rPr>
      </w:pPr>
    </w:p>
    <w:p>
      <w:pPr>
        <w:jc w:val="both"/>
        <w:ind w:left="2340" w:right="20"/>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Employee Trustee</w:t>
      </w:r>
      <w:r>
        <w:rPr>
          <w:rFonts w:ascii="Times New Roman" w:cs="Times New Roman" w:eastAsia="Times New Roman" w:hAnsi="Times New Roman"/>
          <w:sz w:val="19"/>
          <w:szCs w:val="19"/>
          <w:color w:val="auto"/>
        </w:rPr>
        <w:t>" means where so approved by the Board the trustee or trustees (acting in their capacity as such) of any employees’ share scheme (including any employee benefit trust) established by the Company.</w:t>
      </w:r>
    </w:p>
    <w:p>
      <w:pPr>
        <w:spacing w:after="0" w:line="129"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Act </w:t>
      </w:r>
      <w:r>
        <w:rPr>
          <w:rFonts w:ascii="Times New Roman" w:cs="Times New Roman" w:eastAsia="Times New Roman" w:hAnsi="Times New Roman"/>
          <w:sz w:val="20"/>
          <w:szCs w:val="20"/>
          <w:color w:val="auto"/>
        </w:rPr>
        <w:t>means the U.S. Securities Exchange Act of 1934, as amended, and the rules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promulgated thereunder, as the same may be amended from time to time;</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Founder</w:t>
      </w:r>
      <w:r>
        <w:rPr>
          <w:rFonts w:ascii="Times New Roman" w:cs="Times New Roman" w:eastAsia="Times New Roman" w:hAnsi="Times New Roman"/>
          <w:sz w:val="20"/>
          <w:szCs w:val="20"/>
          <w:color w:val="auto"/>
        </w:rPr>
        <w:t xml:space="preserve"> means Daniel Wagner;</w:t>
      </w:r>
    </w:p>
    <w:p>
      <w:pPr>
        <w:spacing w:after="0" w:line="229"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Governmental Authority </w:t>
      </w:r>
      <w:r>
        <w:rPr>
          <w:rFonts w:ascii="Times New Roman" w:cs="Times New Roman" w:eastAsia="Times New Roman" w:hAnsi="Times New Roman"/>
          <w:sz w:val="20"/>
          <w:szCs w:val="20"/>
          <w:color w:val="auto"/>
        </w:rPr>
        <w:t>means any federal, state, provincial, municipal, local or foreign government,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authority, regulatory or administrative agency, governmental commission, department, board, bureau, agency or instrumentality, court or tribunal;</w:t>
      </w:r>
    </w:p>
    <w:p>
      <w:pPr>
        <w:spacing w:after="0" w:line="16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hard copy form </w:t>
      </w:r>
      <w:r>
        <w:rPr>
          <w:rFonts w:ascii="Times New Roman" w:cs="Times New Roman" w:eastAsia="Times New Roman" w:hAnsi="Times New Roman"/>
          <w:sz w:val="20"/>
          <w:szCs w:val="20"/>
          <w:color w:val="auto"/>
        </w:rPr>
        <w:t>means a document sent or supplied by paper copy or a similar form capable of being read;</w:t>
      </w:r>
    </w:p>
    <w:p>
      <w:pPr>
        <w:spacing w:after="0" w:line="216" w:lineRule="exact"/>
        <w:rPr>
          <w:sz w:val="20"/>
          <w:szCs w:val="20"/>
          <w:color w:val="auto"/>
        </w:rPr>
      </w:pPr>
    </w:p>
    <w:p>
      <w:pPr>
        <w:jc w:val="both"/>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holder </w:t>
      </w:r>
      <w:r>
        <w:rPr>
          <w:rFonts w:ascii="Times New Roman" w:cs="Times New Roman" w:eastAsia="Times New Roman" w:hAnsi="Times New Roman"/>
          <w:sz w:val="20"/>
          <w:szCs w:val="20"/>
          <w:color w:val="auto"/>
        </w:rPr>
        <w:t>in relation to any share means the member whose name is entered in the register as the holder of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w:t>
      </w:r>
    </w:p>
    <w:p>
      <w:pPr>
        <w:spacing w:after="0" w:line="152" w:lineRule="exact"/>
        <w:rPr>
          <w:sz w:val="20"/>
          <w:szCs w:val="20"/>
          <w:color w:val="auto"/>
        </w:rPr>
      </w:pPr>
    </w:p>
    <w:p>
      <w:pPr>
        <w:jc w:val="both"/>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hybrid meeting </w:t>
      </w:r>
      <w:r>
        <w:rPr>
          <w:rFonts w:ascii="Times New Roman" w:cs="Times New Roman" w:eastAsia="Times New Roman" w:hAnsi="Times New Roman"/>
          <w:sz w:val="20"/>
          <w:szCs w:val="20"/>
          <w:color w:val="auto"/>
        </w:rPr>
        <w:t>means a general meeting hosted on an electronic platform, where that meeting is physically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hosted at a specific location simultaneously;</w:t>
      </w:r>
    </w:p>
    <w:p>
      <w:pPr>
        <w:spacing w:after="0" w:line="152"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Independent Director </w:t>
      </w:r>
      <w:r>
        <w:rPr>
          <w:rFonts w:ascii="Times New Roman" w:cs="Times New Roman" w:eastAsia="Times New Roman" w:hAnsi="Times New Roman"/>
          <w:sz w:val="20"/>
          <w:szCs w:val="20"/>
          <w:color w:val="auto"/>
        </w:rPr>
        <w:t>means a director mutually determined by the nomination committee of the Board,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Sponsor Group, who shall satisfy the independence criteria of NASDAQ or otherwise the applicable national exchange on which the Ordinary Shares are then listed;</w:t>
      </w:r>
    </w:p>
    <w:p>
      <w:pPr>
        <w:spacing w:after="0" w:line="16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Initial Sponsor Director </w:t>
      </w:r>
      <w:r>
        <w:rPr>
          <w:rFonts w:ascii="Times New Roman" w:cs="Times New Roman" w:eastAsia="Times New Roman" w:hAnsi="Times New Roman"/>
          <w:sz w:val="20"/>
          <w:szCs w:val="20"/>
          <w:color w:val="auto"/>
        </w:rPr>
        <w:t>means a maximum of two (2) directors nominated in writing by the Sponsor;</w:t>
      </w:r>
    </w:p>
    <w:p>
      <w:pPr>
        <w:spacing w:after="0" w:line="216" w:lineRule="exact"/>
        <w:rPr>
          <w:sz w:val="20"/>
          <w:szCs w:val="20"/>
          <w:color w:val="auto"/>
        </w:rPr>
      </w:pPr>
    </w:p>
    <w:p>
      <w:pPr>
        <w:jc w:val="both"/>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market nominee </w:t>
      </w:r>
      <w:r>
        <w:rPr>
          <w:rFonts w:ascii="Times New Roman" w:cs="Times New Roman" w:eastAsia="Times New Roman" w:hAnsi="Times New Roman"/>
          <w:sz w:val="20"/>
          <w:szCs w:val="20"/>
          <w:color w:val="auto"/>
        </w:rPr>
        <w:t>means a recognised clearing house or a nominee of a recognised clearing house or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recognised investment exchange within the meaning of section 769(2), 776(3) and 778(1) of the 2006 Act;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2" w:name="page13"/>
    <w:bookmarkEnd w:id="12"/>
    <w:p>
      <w:pPr>
        <w:jc w:val="both"/>
        <w:ind w:left="234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Merger Agreement </w:t>
      </w:r>
      <w:r>
        <w:rPr>
          <w:rFonts w:ascii="Times New Roman" w:cs="Times New Roman" w:eastAsia="Times New Roman" w:hAnsi="Times New Roman"/>
          <w:sz w:val="20"/>
          <w:szCs w:val="20"/>
          <w:color w:val="auto"/>
        </w:rPr>
        <w:t>means the Business Combination Agreement, dated as of December 17 2021,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on November 10 2022 and further amended and restated on 16 June 2023 and further amended on 4 August 2023, by and among Armada Acquisition Corp. I, a Delaware corporation, Rezolve Limited, a private limited company organized under the laws of England and Wales, the Company and Rezolve Merger Sub, Inc., a Delaware corporation;</w:t>
      </w:r>
    </w:p>
    <w:p>
      <w:pPr>
        <w:spacing w:after="0" w:line="18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Month </w:t>
      </w:r>
      <w:r>
        <w:rPr>
          <w:rFonts w:ascii="Times New Roman" w:cs="Times New Roman" w:eastAsia="Times New Roman" w:hAnsi="Times New Roman"/>
          <w:sz w:val="20"/>
          <w:szCs w:val="20"/>
          <w:color w:val="auto"/>
        </w:rPr>
        <w:t>means calendar month;</w:t>
      </w:r>
    </w:p>
    <w:p>
      <w:pPr>
        <w:spacing w:after="0" w:line="2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NASDAQ </w:t>
      </w:r>
      <w:r>
        <w:rPr>
          <w:rFonts w:ascii="Times New Roman" w:cs="Times New Roman" w:eastAsia="Times New Roman" w:hAnsi="Times New Roman"/>
          <w:sz w:val="20"/>
          <w:szCs w:val="20"/>
          <w:color w:val="auto"/>
        </w:rPr>
        <w:t>means the market known as NASDAQ operated by the NASDAQ OMX Group, Inc.;</w:t>
      </w:r>
    </w:p>
    <w:p>
      <w:pPr>
        <w:spacing w:after="0" w:line="21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NASDAQ Rules </w:t>
      </w:r>
      <w:r>
        <w:rPr>
          <w:rFonts w:ascii="Times New Roman" w:cs="Times New Roman" w:eastAsia="Times New Roman" w:hAnsi="Times New Roman"/>
          <w:sz w:val="20"/>
          <w:szCs w:val="20"/>
          <w:color w:val="auto"/>
        </w:rPr>
        <w:t>means the rules of NASDAQ;</w:t>
      </w:r>
    </w:p>
    <w:p>
      <w:pPr>
        <w:spacing w:after="0" w:line="21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office </w:t>
      </w:r>
      <w:r>
        <w:rPr>
          <w:rFonts w:ascii="Times New Roman" w:cs="Times New Roman" w:eastAsia="Times New Roman" w:hAnsi="Times New Roman"/>
          <w:sz w:val="20"/>
          <w:szCs w:val="20"/>
          <w:color w:val="auto"/>
        </w:rPr>
        <w:t>means the registered office for the time being of the Company;</w:t>
      </w:r>
    </w:p>
    <w:p>
      <w:pPr>
        <w:spacing w:after="0" w:line="2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Operator </w:t>
      </w:r>
      <w:r>
        <w:rPr>
          <w:rFonts w:ascii="Times New Roman" w:cs="Times New Roman" w:eastAsia="Times New Roman" w:hAnsi="Times New Roman"/>
          <w:sz w:val="20"/>
          <w:szCs w:val="20"/>
          <w:color w:val="auto"/>
        </w:rPr>
        <w:t>has the meaning given in the Regulations;</w:t>
      </w:r>
    </w:p>
    <w:p>
      <w:pPr>
        <w:spacing w:after="0" w:line="216"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Ordinary Shares </w:t>
      </w:r>
      <w:r>
        <w:rPr>
          <w:rFonts w:ascii="Times New Roman" w:cs="Times New Roman" w:eastAsia="Times New Roman" w:hAnsi="Times New Roman"/>
          <w:sz w:val="20"/>
          <w:szCs w:val="20"/>
          <w:color w:val="auto"/>
        </w:rPr>
        <w:t>means the ordinary shares in the capital of the Company from time to time, identified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article 4(a) and with the rights set out therein and in these articles generally;</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paid up </w:t>
      </w:r>
      <w:r>
        <w:rPr>
          <w:rFonts w:ascii="Times New Roman" w:cs="Times New Roman" w:eastAsia="Times New Roman" w:hAnsi="Times New Roman"/>
          <w:sz w:val="20"/>
          <w:szCs w:val="20"/>
          <w:color w:val="auto"/>
        </w:rPr>
        <w:t>means paid up or credited as paid up;</w:t>
      </w:r>
    </w:p>
    <w:p>
      <w:pPr>
        <w:spacing w:after="0" w:line="216" w:lineRule="exact"/>
        <w:rPr>
          <w:sz w:val="20"/>
          <w:szCs w:val="20"/>
          <w:color w:val="auto"/>
        </w:rPr>
      </w:pPr>
    </w:p>
    <w:p>
      <w:pPr>
        <w:jc w:val="both"/>
        <w:ind w:left="23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Permitted Transferee </w:t>
      </w:r>
      <w:r>
        <w:rPr>
          <w:rFonts w:ascii="Times New Roman" w:cs="Times New Roman" w:eastAsia="Times New Roman" w:hAnsi="Times New Roman"/>
          <w:sz w:val="20"/>
          <w:szCs w:val="20"/>
          <w:color w:val="auto"/>
        </w:rPr>
        <w:t>means, with respect to a Relevant Holder, (a) any of its Affiliates or any related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controlled fund or sub-fund, partnership or investment vehicle or any general partner, managing limited partner or management company who holds or manages any business of, or whose business is held or managed by, that Relevant Holder or any of its Affiliates or</w:t>
      </w:r>
    </w:p>
    <w:p>
      <w:pPr>
        <w:spacing w:after="0" w:line="1" w:lineRule="exact"/>
        <w:rPr>
          <w:sz w:val="20"/>
          <w:szCs w:val="20"/>
          <w:color w:val="auto"/>
        </w:rPr>
      </w:pPr>
    </w:p>
    <w:p>
      <w:pPr>
        <w:jc w:val="both"/>
        <w:ind w:left="2340"/>
        <w:spacing w:after="0"/>
        <w:rPr>
          <w:sz w:val="20"/>
          <w:szCs w:val="20"/>
          <w:color w:val="auto"/>
        </w:rPr>
      </w:pPr>
      <w:r>
        <w:rPr>
          <w:rFonts w:ascii="Times New Roman" w:cs="Times New Roman" w:eastAsia="Times New Roman" w:hAnsi="Times New Roman"/>
          <w:sz w:val="20"/>
          <w:szCs w:val="20"/>
          <w:color w:val="auto"/>
        </w:rPr>
        <w:t>(b)any other person with the prior written consent of the Company (not to be unreasonably withheld, delayed or conditioned). With respect to a Relevant Holder that is an individual, a “Permitted Transferee” shall also include, and for the purposes of Article 7(d)(i) a "Permitted Transferee" shall be, (x) any member of such holder's immediate family, or a trust for the benefit of the holder or any member of the holder's immediate family the sole trustees of which are such holder or any member of such holder's immediate family or (y) a person who becomes entitled to such shares by will, other testamentary document, under the laws of intestacy or by virtue of laws of descent and distribution upon the death of the holder.</w:t>
      </w:r>
    </w:p>
    <w:p>
      <w:pPr>
        <w:spacing w:after="0" w:line="187"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Person </w:t>
      </w:r>
      <w:r>
        <w:rPr>
          <w:rFonts w:ascii="Times New Roman" w:cs="Times New Roman" w:eastAsia="Times New Roman" w:hAnsi="Times New Roman"/>
          <w:sz w:val="20"/>
          <w:szCs w:val="20"/>
          <w:color w:val="auto"/>
        </w:rPr>
        <w:t>means any individual, sole proprietorship, partnership, limited liability company, joint venture, trust,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organization, association, corporation, institution, public benefit corporation, Governmental Authority or any other entity;</w:t>
      </w:r>
    </w:p>
    <w:p>
      <w:pPr>
        <w:spacing w:after="0" w:line="169"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person entitled by transmission </w:t>
      </w:r>
      <w:r>
        <w:rPr>
          <w:rFonts w:ascii="Times New Roman" w:cs="Times New Roman" w:eastAsia="Times New Roman" w:hAnsi="Times New Roman"/>
          <w:sz w:val="20"/>
          <w:szCs w:val="20"/>
          <w:color w:val="auto"/>
        </w:rPr>
        <w:t>means a person whose entitlement to a share in consequence of the death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bankruptcy of a member or of any other event giving rise to its transmission by operation of law has been noted in the register;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13" w:name="page14"/>
    <w:bookmarkEnd w:id="13"/>
    <w:p>
      <w:pPr>
        <w:jc w:val="both"/>
        <w:ind w:left="2340" w:right="20"/>
        <w:spacing w:after="0" w:line="256"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physical general meeting</w:t>
      </w:r>
      <w:r>
        <w:rPr>
          <w:rFonts w:ascii="Times New Roman" w:cs="Times New Roman" w:eastAsia="Times New Roman" w:hAnsi="Times New Roman"/>
          <w:sz w:val="20"/>
          <w:szCs w:val="20"/>
          <w:color w:val="auto"/>
        </w:rPr>
        <w:t xml:space="preserve"> means a general meeting held or conducted at one or more physical venues (at which facilities are not available to allow for persons who are not at such physical venue to attend or participate in the meeting electronically);</w:t>
      </w:r>
    </w:p>
    <w:p>
      <w:pPr>
        <w:spacing w:after="0" w:line="16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principal register </w:t>
      </w:r>
      <w:r>
        <w:rPr>
          <w:rFonts w:ascii="Times New Roman" w:cs="Times New Roman" w:eastAsia="Times New Roman" w:hAnsi="Times New Roman"/>
          <w:sz w:val="20"/>
          <w:szCs w:val="20"/>
          <w:color w:val="auto"/>
        </w:rPr>
        <w:t>means the register maintained in England;</w:t>
      </w:r>
    </w:p>
    <w:p>
      <w:pPr>
        <w:spacing w:after="0" w:line="229" w:lineRule="exact"/>
        <w:rPr>
          <w:sz w:val="20"/>
          <w:szCs w:val="20"/>
          <w:color w:val="auto"/>
        </w:rPr>
      </w:pPr>
    </w:p>
    <w:p>
      <w:pPr>
        <w:jc w:val="both"/>
        <w:ind w:left="2340"/>
        <w:spacing w:after="0" w:line="250"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proxy notification address</w:t>
      </w:r>
      <w:r>
        <w:rPr>
          <w:rFonts w:ascii="Times New Roman" w:cs="Times New Roman" w:eastAsia="Times New Roman" w:hAnsi="Times New Roman"/>
          <w:sz w:val="20"/>
          <w:szCs w:val="20"/>
          <w:color w:val="auto"/>
        </w:rPr>
        <w:t xml:space="preserve"> means the address or addresses (including any electronic address) specified in a notice of a meeting or in any other information issued by the Company in relation to a meeting (or, as the case may be, an adjourned meeting or a poll) for the receipt of proxy notices relating to that meeting (or adjourned meeting or poll) or, if no such address is specified, the office;</w:t>
      </w:r>
    </w:p>
    <w:p>
      <w:pPr>
        <w:spacing w:after="0" w:line="176"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register </w:t>
      </w:r>
      <w:r>
        <w:rPr>
          <w:rFonts w:ascii="Times New Roman" w:cs="Times New Roman" w:eastAsia="Times New Roman" w:hAnsi="Times New Roman"/>
          <w:sz w:val="20"/>
          <w:szCs w:val="20"/>
          <w:color w:val="auto"/>
        </w:rPr>
        <w:t>means the register of members of the Company to be kept and maintained under section 113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2006 Act and regulation 20 of the Regulations;</w:t>
      </w:r>
    </w:p>
    <w:p>
      <w:pPr>
        <w:spacing w:after="0" w:line="152"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Regulations </w:t>
      </w:r>
      <w:r>
        <w:rPr>
          <w:rFonts w:ascii="Times New Roman" w:cs="Times New Roman" w:eastAsia="Times New Roman" w:hAnsi="Times New Roman"/>
          <w:sz w:val="20"/>
          <w:szCs w:val="20"/>
          <w:color w:val="auto"/>
        </w:rPr>
        <w:t>means the Uncertificated Securities Regulations 2001 (SI 2001 no. 3755) including any rules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thereunder or any regulations made in substitution for them for the time being in force;</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Relevant Holder </w:t>
      </w:r>
      <w:r>
        <w:rPr>
          <w:rFonts w:ascii="Times New Roman" w:cs="Times New Roman" w:eastAsia="Times New Roman" w:hAnsi="Times New Roman"/>
          <w:sz w:val="20"/>
          <w:szCs w:val="20"/>
          <w:color w:val="auto"/>
        </w:rPr>
        <w:t>means any holder of shares in the capital of the Company;</w:t>
      </w:r>
    </w:p>
    <w:p>
      <w:pPr>
        <w:spacing w:after="0" w:line="229"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relevant system </w:t>
      </w:r>
      <w:r>
        <w:rPr>
          <w:rFonts w:ascii="Times New Roman" w:cs="Times New Roman" w:eastAsia="Times New Roman" w:hAnsi="Times New Roman"/>
          <w:sz w:val="20"/>
          <w:szCs w:val="20"/>
          <w:color w:val="auto"/>
        </w:rPr>
        <w:t>means a computer-based system, and procedures, which enable title to units of a security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evidenced and transferred without a written instrument;</w:t>
      </w:r>
    </w:p>
    <w:p>
      <w:pPr>
        <w:spacing w:after="0" w:line="152" w:lineRule="exact"/>
        <w:rPr>
          <w:sz w:val="20"/>
          <w:szCs w:val="20"/>
          <w:color w:val="auto"/>
        </w:rPr>
      </w:pPr>
    </w:p>
    <w:p>
      <w:pPr>
        <w:jc w:val="both"/>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seal </w:t>
      </w:r>
      <w:r>
        <w:rPr>
          <w:rFonts w:ascii="Times New Roman" w:cs="Times New Roman" w:eastAsia="Times New Roman" w:hAnsi="Times New Roman"/>
          <w:sz w:val="20"/>
          <w:szCs w:val="20"/>
          <w:color w:val="auto"/>
        </w:rPr>
        <w:t>means any common seal of the Company (if any) or any official seal or securities seal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have or be permitted to have under the Statutes;</w:t>
      </w:r>
    </w:p>
    <w:p>
      <w:pPr>
        <w:spacing w:after="0" w:line="152"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secretary </w:t>
      </w:r>
      <w:r>
        <w:rPr>
          <w:rFonts w:ascii="Times New Roman" w:cs="Times New Roman" w:eastAsia="Times New Roman" w:hAnsi="Times New Roman"/>
          <w:sz w:val="20"/>
          <w:szCs w:val="20"/>
          <w:color w:val="auto"/>
        </w:rPr>
        <w:t>means the secretary of the Company or, if there are joint secretaries, any of the joint secretaries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an assistant or deputy secretary and any person appointed by the Board to perform any of the duties of the secretary of the Company;</w:t>
      </w:r>
    </w:p>
    <w:p>
      <w:pPr>
        <w:spacing w:after="0" w:line="15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 xml:space="preserve">Sponsor </w:t>
      </w:r>
      <w:r>
        <w:rPr>
          <w:rFonts w:ascii="Times New Roman" w:cs="Times New Roman" w:eastAsia="Times New Roman" w:hAnsi="Times New Roman"/>
          <w:sz w:val="20"/>
          <w:szCs w:val="20"/>
          <w:color w:val="auto"/>
        </w:rPr>
        <w:t>means Armada Sponsor LLC;</w:t>
      </w:r>
    </w:p>
    <w:p>
      <w:pPr>
        <w:spacing w:after="0" w:line="229"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Sponsor Group </w:t>
      </w:r>
      <w:r>
        <w:rPr>
          <w:rFonts w:ascii="Times New Roman" w:cs="Times New Roman" w:eastAsia="Times New Roman" w:hAnsi="Times New Roman"/>
          <w:sz w:val="20"/>
          <w:szCs w:val="20"/>
          <w:color w:val="auto"/>
        </w:rPr>
        <w:t>means the Sponsor, any of its Permitted Transferees or any other Relevant Holder that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registrable securities (as agreed with the Company) from the Sponsor or any of its Permitted Transferees;</w:t>
      </w:r>
    </w:p>
    <w:p>
      <w:pPr>
        <w:spacing w:after="0" w:line="169"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Statutes </w:t>
      </w:r>
      <w:r>
        <w:rPr>
          <w:rFonts w:ascii="Times New Roman" w:cs="Times New Roman" w:eastAsia="Times New Roman" w:hAnsi="Times New Roman"/>
          <w:sz w:val="20"/>
          <w:szCs w:val="20"/>
          <w:color w:val="auto"/>
        </w:rPr>
        <w:t>means the 2006 Act, the Uncertificated Securities Regulations and every other act, statute, statutory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instrument, regulation or order for the time being in force concerning companies in so far as they concern the Company;</w:t>
      </w:r>
    </w:p>
    <w:p>
      <w:pPr>
        <w:spacing w:after="0" w:line="182" w:lineRule="exact"/>
        <w:rPr>
          <w:sz w:val="20"/>
          <w:szCs w:val="20"/>
          <w:color w:val="auto"/>
        </w:rPr>
      </w:pPr>
    </w:p>
    <w:p>
      <w:pPr>
        <w:jc w:val="both"/>
        <w:ind w:left="2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transfer office </w:t>
      </w:r>
      <w:r>
        <w:rPr>
          <w:rFonts w:ascii="Times New Roman" w:cs="Times New Roman" w:eastAsia="Times New Roman" w:hAnsi="Times New Roman"/>
          <w:sz w:val="20"/>
          <w:szCs w:val="20"/>
          <w:color w:val="auto"/>
        </w:rPr>
        <w:t>means: (i) in relation to the principal register, the location in England where the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 is kept and maintained; and (ii) where the Company keeps an overseas branch register in respect of any country, territory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14" w:name="page15"/>
    <w:bookmarkEnd w:id="14"/>
    <w:p>
      <w:pPr>
        <w:ind w:left="2340"/>
        <w:spacing w:after="0" w:line="269" w:lineRule="auto"/>
        <w:rPr>
          <w:sz w:val="20"/>
          <w:szCs w:val="20"/>
          <w:color w:val="auto"/>
        </w:rPr>
      </w:pPr>
      <w:r>
        <w:rPr>
          <w:rFonts w:ascii="Times New Roman" w:cs="Times New Roman" w:eastAsia="Times New Roman" w:hAnsi="Times New Roman"/>
          <w:sz w:val="20"/>
          <w:szCs w:val="20"/>
          <w:color w:val="auto"/>
        </w:rPr>
        <w:t>or place outside of the United Kingdom the location in that country, territory or place where that overseas branch register is kept and maintained;</w:t>
      </w:r>
    </w:p>
    <w:p>
      <w:pPr>
        <w:spacing w:after="0" w:line="155" w:lineRule="exact"/>
        <w:rPr>
          <w:sz w:val="20"/>
          <w:szCs w:val="20"/>
          <w:color w:val="auto"/>
        </w:rPr>
      </w:pPr>
    </w:p>
    <w:p>
      <w:pPr>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transmission event </w:t>
      </w:r>
      <w:r>
        <w:rPr>
          <w:rFonts w:ascii="Times New Roman" w:cs="Times New Roman" w:eastAsia="Times New Roman" w:hAnsi="Times New Roman"/>
          <w:sz w:val="20"/>
          <w:szCs w:val="20"/>
          <w:color w:val="auto"/>
        </w:rPr>
        <w:t>means death, bankruptcy or any other event giving rise to the transmission of a person’s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entitlement to a share by operation of law;</w:t>
      </w:r>
    </w:p>
    <w:p>
      <w:pPr>
        <w:spacing w:after="0" w:line="165" w:lineRule="exact"/>
        <w:rPr>
          <w:sz w:val="20"/>
          <w:szCs w:val="20"/>
          <w:color w:val="auto"/>
        </w:rPr>
      </w:pPr>
    </w:p>
    <w:p>
      <w:pPr>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treasury shares </w:t>
      </w:r>
      <w:r>
        <w:rPr>
          <w:rFonts w:ascii="Times New Roman" w:cs="Times New Roman" w:eastAsia="Times New Roman" w:hAnsi="Times New Roman"/>
          <w:sz w:val="20"/>
          <w:szCs w:val="20"/>
          <w:color w:val="auto"/>
        </w:rPr>
        <w:t>means those shares held by the Company in treasury in accordance with section 724(1)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2006 Act;</w:t>
      </w:r>
    </w:p>
    <w:p>
      <w:pPr>
        <w:spacing w:after="0" w:line="152" w:lineRule="exact"/>
        <w:rPr>
          <w:sz w:val="20"/>
          <w:szCs w:val="20"/>
          <w:color w:val="auto"/>
        </w:rPr>
      </w:pPr>
    </w:p>
    <w:p>
      <w:pPr>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Uncertificated Securities Regulations </w:t>
      </w:r>
      <w:r>
        <w:rPr>
          <w:rFonts w:ascii="Times New Roman" w:cs="Times New Roman" w:eastAsia="Times New Roman" w:hAnsi="Times New Roman"/>
          <w:sz w:val="20"/>
          <w:szCs w:val="20"/>
          <w:color w:val="auto"/>
        </w:rPr>
        <w:t>means the Uncertificated Securities Regulations 2001 as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and any Statutes which supplement or replace such Regulations;</w:t>
      </w:r>
    </w:p>
    <w:p>
      <w:pPr>
        <w:spacing w:after="0" w:line="138" w:lineRule="exact"/>
        <w:rPr>
          <w:sz w:val="20"/>
          <w:szCs w:val="20"/>
          <w:color w:val="auto"/>
        </w:rPr>
      </w:pPr>
    </w:p>
    <w:p>
      <w:pPr>
        <w:ind w:left="2340" w:right="2720"/>
        <w:spacing w:after="0" w:line="479" w:lineRule="auto"/>
        <w:rPr>
          <w:sz w:val="20"/>
          <w:szCs w:val="20"/>
          <w:color w:val="auto"/>
        </w:rPr>
      </w:pPr>
      <w:r>
        <w:rPr>
          <w:rFonts w:ascii="Times New Roman" w:cs="Times New Roman" w:eastAsia="Times New Roman" w:hAnsi="Times New Roman"/>
          <w:sz w:val="20"/>
          <w:szCs w:val="20"/>
          <w:b w:val="1"/>
          <w:bCs w:val="1"/>
          <w:color w:val="auto"/>
        </w:rPr>
        <w:t xml:space="preserve">undertaking </w:t>
      </w:r>
      <w:r>
        <w:rPr>
          <w:rFonts w:ascii="Times New Roman" w:cs="Times New Roman" w:eastAsia="Times New Roman" w:hAnsi="Times New Roman"/>
          <w:sz w:val="20"/>
          <w:szCs w:val="20"/>
          <w:color w:val="auto"/>
        </w:rPr>
        <w:t>means undertaking as defined in section 1161 of the 2006 Act;</w:t>
      </w:r>
      <w:r>
        <w:rPr>
          <w:rFonts w:ascii="Times New Roman" w:cs="Times New Roman" w:eastAsia="Times New Roman" w:hAnsi="Times New Roman"/>
          <w:sz w:val="20"/>
          <w:szCs w:val="20"/>
          <w:b w:val="1"/>
          <w:bCs w:val="1"/>
          <w:color w:val="auto"/>
        </w:rPr>
        <w:t xml:space="preserve"> the United Kingdom </w:t>
      </w:r>
      <w:r>
        <w:rPr>
          <w:rFonts w:ascii="Times New Roman" w:cs="Times New Roman" w:eastAsia="Times New Roman" w:hAnsi="Times New Roman"/>
          <w:sz w:val="20"/>
          <w:szCs w:val="20"/>
          <w:color w:val="auto"/>
        </w:rPr>
        <w:t>means Great Britain and Northern Ireland;</w:t>
      </w:r>
    </w:p>
    <w:p>
      <w:pPr>
        <w:ind w:left="234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United States of America </w:t>
      </w:r>
      <w:r>
        <w:rPr>
          <w:rFonts w:ascii="Times New Roman" w:cs="Times New Roman" w:eastAsia="Times New Roman" w:hAnsi="Times New Roman"/>
          <w:sz w:val="20"/>
          <w:szCs w:val="20"/>
          <w:color w:val="auto"/>
        </w:rPr>
        <w:t>means the United States of America and its territories and possessions,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District of Columbia;</w:t>
      </w:r>
    </w:p>
    <w:p>
      <w:pPr>
        <w:spacing w:after="0" w:line="152" w:lineRule="exact"/>
        <w:rPr>
          <w:sz w:val="20"/>
          <w:szCs w:val="20"/>
          <w:color w:val="auto"/>
        </w:rPr>
      </w:pPr>
    </w:p>
    <w:p>
      <w:pPr>
        <w:ind w:left="2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US branch register </w:t>
      </w:r>
      <w:r>
        <w:rPr>
          <w:rFonts w:ascii="Times New Roman" w:cs="Times New Roman" w:eastAsia="Times New Roman" w:hAnsi="Times New Roman"/>
          <w:sz w:val="20"/>
          <w:szCs w:val="20"/>
          <w:color w:val="auto"/>
        </w:rPr>
        <w:t>means the overseas branch register of the Company, if any, maintained in the United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States of America;</w:t>
      </w:r>
    </w:p>
    <w:p>
      <w:pPr>
        <w:spacing w:after="0" w:line="152" w:lineRule="exact"/>
        <w:rPr>
          <w:sz w:val="20"/>
          <w:szCs w:val="20"/>
          <w:color w:val="auto"/>
        </w:rPr>
      </w:pPr>
    </w:p>
    <w:p>
      <w:pPr>
        <w:ind w:left="2340" w:right="2320"/>
        <w:spacing w:after="0" w:line="467" w:lineRule="auto"/>
        <w:rPr>
          <w:sz w:val="20"/>
          <w:szCs w:val="20"/>
          <w:color w:val="auto"/>
        </w:rPr>
      </w:pPr>
      <w:r>
        <w:rPr>
          <w:rFonts w:ascii="Times New Roman" w:cs="Times New Roman" w:eastAsia="Times New Roman" w:hAnsi="Times New Roman"/>
          <w:sz w:val="20"/>
          <w:szCs w:val="20"/>
          <w:b w:val="1"/>
          <w:bCs w:val="1"/>
          <w:color w:val="auto"/>
        </w:rPr>
        <w:t xml:space="preserve">working day </w:t>
      </w:r>
      <w:r>
        <w:rPr>
          <w:rFonts w:ascii="Times New Roman" w:cs="Times New Roman" w:eastAsia="Times New Roman" w:hAnsi="Times New Roman"/>
          <w:sz w:val="20"/>
          <w:szCs w:val="20"/>
          <w:color w:val="auto"/>
        </w:rPr>
        <w:t>means working day as defined in section 1173 of the 2006 Act; and</w:t>
      </w:r>
      <w:r>
        <w:rPr>
          <w:rFonts w:ascii="Times New Roman" w:cs="Times New Roman" w:eastAsia="Times New Roman" w:hAnsi="Times New Roman"/>
          <w:sz w:val="20"/>
          <w:szCs w:val="20"/>
          <w:b w:val="1"/>
          <w:bCs w:val="1"/>
          <w:color w:val="auto"/>
        </w:rPr>
        <w:t xml:space="preserve"> year </w:t>
      </w:r>
      <w:r>
        <w:rPr>
          <w:rFonts w:ascii="Times New Roman" w:cs="Times New Roman" w:eastAsia="Times New Roman" w:hAnsi="Times New Roman"/>
          <w:sz w:val="20"/>
          <w:szCs w:val="20"/>
          <w:color w:val="auto"/>
        </w:rPr>
        <w:t>means calendar year;</w:t>
      </w:r>
    </w:p>
    <w:p>
      <w:pPr>
        <w:jc w:val="both"/>
        <w:ind w:left="2340" w:hanging="750"/>
        <w:spacing w:after="0" w:line="252" w:lineRule="auto"/>
        <w:tabs>
          <w:tab w:leader="none" w:pos="23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 to an uncertificated share, or to a share being held in uncertificated form, </w:t>
      </w:r>
      <w:r>
        <w:rPr>
          <w:rFonts w:ascii="Times New Roman" w:cs="Times New Roman" w:eastAsia="Times New Roman" w:hAnsi="Times New Roman"/>
          <w:sz w:val="18"/>
          <w:szCs w:val="18"/>
          <w:color w:val="auto"/>
        </w:rPr>
        <w:t>shall (subject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regulation 42(11)(a) of the Uncertificated Securities Regulations) mean a share in the capital of the Company which is for the time being recorded on the Operator Register of Members (as defined in regulation 20(1) of the Uncertificated Securities Regulations)</w:t>
      </w:r>
      <w:r>
        <w:rPr>
          <w:rFonts w:ascii="Times New Roman" w:cs="Times New Roman" w:eastAsia="Times New Roman" w:hAnsi="Times New Roman"/>
          <w:sz w:val="19"/>
          <w:szCs w:val="19"/>
          <w:color w:val="auto"/>
        </w:rPr>
        <w:t>, and any reference to a certificated share means any share other than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uncertificated share;</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jc w:val="both"/>
        <w:ind w:left="2340" w:hanging="750"/>
        <w:spacing w:after="0" w:line="256" w:lineRule="auto"/>
        <w:tabs>
          <w:tab w:leader="none" w:pos="23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expression </w:t>
      </w:r>
      <w:r>
        <w:rPr>
          <w:rFonts w:ascii="Times New Roman" w:cs="Times New Roman" w:eastAsia="Times New Roman" w:hAnsi="Times New Roman"/>
          <w:sz w:val="20"/>
          <w:szCs w:val="20"/>
          <w:b w:val="1"/>
          <w:bCs w:val="1"/>
          <w:color w:val="auto"/>
        </w:rPr>
        <w:t>member present in person</w:t>
      </w:r>
      <w:r>
        <w:rPr>
          <w:rFonts w:ascii="Times New Roman" w:cs="Times New Roman" w:eastAsia="Times New Roman" w:hAnsi="Times New Roman"/>
          <w:sz w:val="20"/>
          <w:szCs w:val="20"/>
          <w:color w:val="auto"/>
        </w:rPr>
        <w:t xml:space="preserve"> shall be deemed to include a member present by proxy or, in the case of a corporate member, by a duly authorised representative and cognate expressions shall be construed accordingly;</w:t>
      </w:r>
    </w:p>
    <w:p>
      <w:pPr>
        <w:spacing w:after="0" w:line="15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 to </w:t>
      </w:r>
      <w:r>
        <w:rPr>
          <w:rFonts w:ascii="Times New Roman" w:cs="Times New Roman" w:eastAsia="Times New Roman" w:hAnsi="Times New Roman"/>
          <w:sz w:val="20"/>
          <w:szCs w:val="20"/>
          <w:b w:val="1"/>
          <w:bCs w:val="1"/>
          <w:color w:val="auto"/>
        </w:rPr>
        <w:t>days</w:t>
      </w:r>
      <w:r>
        <w:rPr>
          <w:rFonts w:ascii="Times New Roman" w:cs="Times New Roman" w:eastAsia="Times New Roman" w:hAnsi="Times New Roman"/>
          <w:sz w:val="20"/>
          <w:szCs w:val="20"/>
          <w:color w:val="auto"/>
        </w:rPr>
        <w:t xml:space="preserve"> of notice shall be construed as meaning clear days;</w:t>
      </w:r>
    </w:p>
    <w:p>
      <w:pPr>
        <w:spacing w:after="0" w:line="233" w:lineRule="exact"/>
        <w:rPr>
          <w:rFonts w:ascii="Times New Roman" w:cs="Times New Roman" w:eastAsia="Times New Roman" w:hAnsi="Times New Roman"/>
          <w:sz w:val="20"/>
          <w:szCs w:val="20"/>
          <w:color w:val="auto"/>
        </w:rPr>
      </w:pPr>
    </w:p>
    <w:p>
      <w:pPr>
        <w:jc w:val="both"/>
        <w:ind w:left="2340" w:hanging="750"/>
        <w:spacing w:after="0" w:line="249" w:lineRule="auto"/>
        <w:tabs>
          <w:tab w:leader="none" w:pos="23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words or expressions defined in the 2006 Act or the Uncertificated Securities Regulations or, if not defined in that Act or those Regulations, in any other of the Statutes (in each case as in force on the date these articles take effect) have the same meaning in these articles or that part (as the case may be) except that the word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includes any body corporate;</w:t>
      </w:r>
    </w:p>
    <w:p>
      <w:pPr>
        <w:spacing w:after="0" w:line="179"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these articles to any statute or statutory provision includes a reference to any modification or re-enactment of it for the time being in force;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5" w:name="page16"/>
    <w:bookmarkEnd w:id="15"/>
    <w:p>
      <w:pPr>
        <w:jc w:val="both"/>
        <w:ind w:left="2340" w:hanging="750"/>
        <w:spacing w:after="0" w:line="254" w:lineRule="auto"/>
        <w:tabs>
          <w:tab w:leader="none" w:pos="2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importing the singular number include the plural number and vice versa, words importing one gender include the other gender and words importing persons include bodies corporate and unincorporated associations;</w:t>
      </w:r>
    </w:p>
    <w:p>
      <w:pPr>
        <w:spacing w:after="0" w:line="174"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writing includes a reference to any method of reproducing words in a legible form;</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w:t>
      </w:r>
    </w:p>
    <w:p>
      <w:pPr>
        <w:spacing w:after="0" w:line="211" w:lineRule="exact"/>
        <w:rPr>
          <w:rFonts w:ascii="Times New Roman" w:cs="Times New Roman" w:eastAsia="Times New Roman" w:hAnsi="Times New Roman"/>
          <w:sz w:val="20"/>
          <w:szCs w:val="20"/>
          <w:color w:val="auto"/>
        </w:rPr>
      </w:pPr>
    </w:p>
    <w:p>
      <w:pPr>
        <w:ind w:left="3140" w:hanging="802"/>
        <w:spacing w:after="0"/>
        <w:tabs>
          <w:tab w:leader="none" w:pos="314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document</w:t>
      </w:r>
      <w:r>
        <w:rPr>
          <w:rFonts w:ascii="Times New Roman" w:cs="Times New Roman" w:eastAsia="Times New Roman" w:hAnsi="Times New Roman"/>
          <w:sz w:val="20"/>
          <w:szCs w:val="20"/>
          <w:color w:val="auto"/>
        </w:rPr>
        <w:t xml:space="preserve"> includes reference to an electronic communication;</w:t>
      </w:r>
    </w:p>
    <w:p>
      <w:pPr>
        <w:spacing w:after="0" w:line="233" w:lineRule="exact"/>
        <w:rPr>
          <w:rFonts w:ascii="Times New Roman" w:cs="Times New Roman" w:eastAsia="Times New Roman" w:hAnsi="Times New Roman"/>
          <w:sz w:val="20"/>
          <w:szCs w:val="20"/>
          <w:color w:val="auto"/>
        </w:rPr>
      </w:pPr>
    </w:p>
    <w:p>
      <w:pPr>
        <w:jc w:val="both"/>
        <w:ind w:left="3080" w:hanging="741"/>
        <w:spacing w:after="0" w:line="254" w:lineRule="auto"/>
        <w:tabs>
          <w:tab w:leader="none" w:pos="30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document being sealed or executed under seal or under the common seal of any body corporate (including the Company) or any similar expression includes a reference to its being executed in any other manner which has the same effect as if it were executed under seal;</w:t>
      </w:r>
    </w:p>
    <w:p>
      <w:pPr>
        <w:spacing w:after="0" w:line="170" w:lineRule="exact"/>
        <w:rPr>
          <w:rFonts w:ascii="Times New Roman" w:cs="Times New Roman" w:eastAsia="Times New Roman" w:hAnsi="Times New Roman"/>
          <w:sz w:val="20"/>
          <w:szCs w:val="20"/>
          <w:color w:val="auto"/>
        </w:rPr>
      </w:pPr>
    </w:p>
    <w:p>
      <w:pPr>
        <w:ind w:left="3080" w:right="20" w:hanging="741"/>
        <w:spacing w:after="0" w:line="273" w:lineRule="auto"/>
        <w:tabs>
          <w:tab w:leader="none" w:pos="30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xml:space="preserve"> means a written document having tangible form (e.g. on paper) and not comprised in an electronic communication;</w:t>
      </w:r>
    </w:p>
    <w:p>
      <w:pPr>
        <w:spacing w:after="0" w:line="155" w:lineRule="exact"/>
        <w:rPr>
          <w:rFonts w:ascii="Times New Roman" w:cs="Times New Roman" w:eastAsia="Times New Roman" w:hAnsi="Times New Roman"/>
          <w:sz w:val="20"/>
          <w:szCs w:val="20"/>
          <w:color w:val="auto"/>
        </w:rPr>
      </w:pPr>
    </w:p>
    <w:p>
      <w:pPr>
        <w:jc w:val="both"/>
        <w:ind w:left="3080" w:hanging="741"/>
        <w:spacing w:after="0" w:line="263" w:lineRule="auto"/>
        <w:tabs>
          <w:tab w:leader="none" w:pos="30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means the representation or reproduction of words, numbers or symbols in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legible and non-transitory form by any method or combination of methods whether comprised in an electronic communication or otherwise and including (without limitation) by e-mail;</w:t>
      </w:r>
    </w:p>
    <w:p>
      <w:pPr>
        <w:spacing w:after="0" w:line="154" w:lineRule="exact"/>
        <w:rPr>
          <w:rFonts w:ascii="Times New Roman" w:cs="Times New Roman" w:eastAsia="Times New Roman" w:hAnsi="Times New Roman"/>
          <w:sz w:val="20"/>
          <w:szCs w:val="20"/>
          <w:color w:val="auto"/>
        </w:rPr>
      </w:pPr>
    </w:p>
    <w:p>
      <w:pPr>
        <w:jc w:val="both"/>
        <w:ind w:left="3080" w:hanging="741"/>
        <w:spacing w:after="0" w:line="265" w:lineRule="auto"/>
        <w:tabs>
          <w:tab w:leader="none" w:pos="30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address </w:t>
      </w:r>
      <w:r>
        <w:rPr>
          <w:rFonts w:ascii="Times New Roman" w:cs="Times New Roman" w:eastAsia="Times New Roman" w:hAnsi="Times New Roman"/>
          <w:sz w:val="18"/>
          <w:szCs w:val="18"/>
          <w:color w:val="auto"/>
        </w:rPr>
        <w:t>in relation to electronic communications, includes any number or address (including, in the case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8"/>
          <w:szCs w:val="18"/>
          <w:color w:val="auto"/>
        </w:rPr>
        <w:t>of any Uncertificated Proxy Instruction permitted by article 57, an identification number or a participant in the relevant system concerned) used for the purposes of such communications;</w:t>
      </w:r>
    </w:p>
    <w:p>
      <w:pPr>
        <w:spacing w:after="0" w:line="152" w:lineRule="exact"/>
        <w:rPr>
          <w:rFonts w:ascii="Times New Roman" w:cs="Times New Roman" w:eastAsia="Times New Roman" w:hAnsi="Times New Roman"/>
          <w:sz w:val="20"/>
          <w:szCs w:val="20"/>
          <w:color w:val="auto"/>
        </w:rPr>
      </w:pPr>
    </w:p>
    <w:p>
      <w:pPr>
        <w:jc w:val="both"/>
        <w:ind w:left="3080" w:hanging="741"/>
        <w:spacing w:after="0" w:line="253" w:lineRule="auto"/>
        <w:tabs>
          <w:tab w:leader="none" w:pos="30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present </w:t>
      </w:r>
      <w:r>
        <w:rPr>
          <w:rFonts w:ascii="Times New Roman" w:cs="Times New Roman" w:eastAsia="Times New Roman" w:hAnsi="Times New Roman"/>
          <w:sz w:val="18"/>
          <w:szCs w:val="18"/>
          <w:color w:val="auto"/>
        </w:rPr>
        <w:t>means, for the purposes of physical general meetings, present in person, or, for the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8"/>
          <w:szCs w:val="18"/>
          <w:color w:val="auto"/>
        </w:rPr>
        <w:t xml:space="preserve">electronic general meetings, present by electronic means (and references to persons attending </w:t>
      </w: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electronic means </w:t>
      </w:r>
      <w:r>
        <w:rPr>
          <w:rFonts w:ascii="Times New Roman" w:cs="Times New Roman" w:eastAsia="Times New Roman" w:hAnsi="Times New Roman"/>
          <w:sz w:val="18"/>
          <w:szCs w:val="18"/>
          <w:color w:val="auto"/>
        </w:rPr>
        <w:t>is defined as attendance at electronic general meetings via the electronic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in the notice of such meeting)</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meeting shall not be taken as requiring more than one person to be present in person if any quorum requirement can be satisfied by one person;</w:t>
      </w:r>
    </w:p>
    <w:p>
      <w:pPr>
        <w:spacing w:after="0" w:line="159"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show of hands includes such other method of casting votes as the Board may from time to time approve;</w:t>
      </w:r>
    </w:p>
    <w:p>
      <w:pPr>
        <w:spacing w:after="0" w:line="172" w:lineRule="exact"/>
        <w:rPr>
          <w:rFonts w:ascii="Times New Roman" w:cs="Times New Roman" w:eastAsia="Times New Roman" w:hAnsi="Times New Roman"/>
          <w:sz w:val="20"/>
          <w:szCs w:val="20"/>
          <w:color w:val="auto"/>
        </w:rPr>
      </w:pPr>
    </w:p>
    <w:p>
      <w:pPr>
        <w:jc w:val="both"/>
        <w:ind w:left="2340" w:hanging="750"/>
        <w:spacing w:after="0" w:line="246" w:lineRule="auto"/>
        <w:tabs>
          <w:tab w:leader="none" w:pos="2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person who is attending or participating in a meeting electronically is a reference to a person whose attendance or participation at that meeting is enabled by a facility or facilities (whether electronic or otherwise), other than physical presence at a general meeting, which allows persons who may not be physically present together to communicate with each other any information or opinions they may have on any particular item of</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6" w:name="page17"/>
    <w:bookmarkEnd w:id="16"/>
    <w:p>
      <w:pPr>
        <w:ind w:left="2340"/>
        <w:spacing w:after="0"/>
        <w:rPr>
          <w:sz w:val="20"/>
          <w:szCs w:val="20"/>
          <w:color w:val="auto"/>
        </w:rPr>
      </w:pPr>
      <w:r>
        <w:rPr>
          <w:rFonts w:ascii="Times New Roman" w:cs="Times New Roman" w:eastAsia="Times New Roman" w:hAnsi="Times New Roman"/>
          <w:sz w:val="20"/>
          <w:szCs w:val="20"/>
          <w:color w:val="auto"/>
        </w:rPr>
        <w:t>business of the meeting; electronic attendance and participation shall be construed accordingly;</w:t>
      </w:r>
    </w:p>
    <w:p>
      <w:pPr>
        <w:spacing w:after="0" w:line="216" w:lineRule="exact"/>
        <w:rPr>
          <w:sz w:val="20"/>
          <w:szCs w:val="20"/>
          <w:color w:val="auto"/>
        </w:rPr>
      </w:pPr>
    </w:p>
    <w:p>
      <w:pPr>
        <w:jc w:val="both"/>
        <w:ind w:left="2340" w:hanging="750"/>
        <w:spacing w:after="0" w:line="246" w:lineRule="auto"/>
        <w:tabs>
          <w:tab w:leader="none" w:pos="2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Company has a power of sale or other right of disposal in relation to any share, any reference to the power of the Company or the Board to authorise a person to transfer that share to or as directed by the person to whom the share has been sold or disposed of shall, in the case of an uncertificated share, be deemed to include a reference to such other action as may be necessary to enable that share to be registered in the name of that person or as directed by that person; and</w:t>
      </w:r>
    </w:p>
    <w:p>
      <w:pPr>
        <w:spacing w:after="0" w:line="184"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w:t>
      </w:r>
    </w:p>
    <w:p>
      <w:pPr>
        <w:spacing w:after="0" w:line="229"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attaching to any share;</w:t>
      </w:r>
    </w:p>
    <w:p>
      <w:pPr>
        <w:spacing w:after="0" w:line="215"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having a right to attend and vote at general meetings of the Company;</w:t>
      </w:r>
    </w:p>
    <w:p>
      <w:pPr>
        <w:spacing w:after="0" w:line="215"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being paid, or any other distribution of the Company's assets being made, to members; or</w:t>
      </w:r>
    </w:p>
    <w:p>
      <w:pPr>
        <w:spacing w:after="0" w:line="215" w:lineRule="exact"/>
        <w:rPr>
          <w:rFonts w:ascii="Times New Roman" w:cs="Times New Roman" w:eastAsia="Times New Roman" w:hAnsi="Times New Roman"/>
          <w:sz w:val="20"/>
          <w:szCs w:val="20"/>
          <w:color w:val="auto"/>
        </w:rPr>
      </w:pPr>
    </w:p>
    <w:p>
      <w:pPr>
        <w:ind w:left="3080" w:right="620" w:hanging="741"/>
        <w:spacing w:after="0" w:line="269" w:lineRule="auto"/>
        <w:tabs>
          <w:tab w:leader="none" w:pos="30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interests in a certain proportion or percentage of the issued share capital, or any class of share capital,</w:t>
      </w:r>
    </w:p>
    <w:p>
      <w:pPr>
        <w:spacing w:after="0" w:line="173" w:lineRule="exact"/>
        <w:rPr>
          <w:sz w:val="20"/>
          <w:szCs w:val="20"/>
          <w:color w:val="auto"/>
        </w:rPr>
      </w:pPr>
    </w:p>
    <w:p>
      <w:pPr>
        <w:ind w:left="2340" w:right="100"/>
        <w:spacing w:after="0" w:line="269" w:lineRule="auto"/>
        <w:rPr>
          <w:sz w:val="20"/>
          <w:szCs w:val="20"/>
          <w:color w:val="auto"/>
        </w:rPr>
      </w:pPr>
      <w:r>
        <w:rPr>
          <w:rFonts w:ascii="Times New Roman" w:cs="Times New Roman" w:eastAsia="Times New Roman" w:hAnsi="Times New Roman"/>
          <w:sz w:val="20"/>
          <w:szCs w:val="20"/>
          <w:color w:val="auto"/>
        </w:rPr>
        <w:t>shall, unless otherwise expressly provided by the Statutes, be construed as though any treasury shares held by the Company had been cancelled.</w:t>
      </w:r>
    </w:p>
    <w:p>
      <w:pPr>
        <w:spacing w:after="0" w:line="159" w:lineRule="exact"/>
        <w:rPr>
          <w:sz w:val="20"/>
          <w:szCs w:val="20"/>
          <w:color w:val="auto"/>
        </w:rPr>
      </w:pPr>
    </w:p>
    <w:p>
      <w:pPr>
        <w:ind w:left="1860" w:right="20" w:hanging="734"/>
        <w:spacing w:after="0" w:line="269" w:lineRule="auto"/>
        <w:tabs>
          <w:tab w:leader="none" w:pos="18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a special resolution shall be effective for any purpose for which an ordinary resolution is expressed to be required under these articles.</w:t>
      </w:r>
    </w:p>
    <w:p>
      <w:pPr>
        <w:spacing w:after="0" w:line="159"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to these articles are inserted for convenience only and shall not affect construction.</w:t>
      </w:r>
    </w:p>
    <w:p>
      <w:pPr>
        <w:spacing w:after="0" w:line="21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Limited liability</w:t>
      </w:r>
    </w:p>
    <w:p>
      <w:pPr>
        <w:spacing w:after="0" w:line="219"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liability of the members is limited to the amount, if any, unpaid on the shares in the Company respectively held by them.</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SHARE CAPITAL</w:t>
      </w:r>
    </w:p>
    <w:p>
      <w:pPr>
        <w:spacing w:after="0" w:line="216" w:lineRule="exact"/>
        <w:rPr>
          <w:sz w:val="20"/>
          <w:szCs w:val="20"/>
          <w:color w:val="auto"/>
        </w:rPr>
      </w:pPr>
    </w:p>
    <w:p>
      <w:pPr>
        <w:ind w:left="840" w:hanging="747"/>
        <w:spacing w:after="0"/>
        <w:tabs>
          <w:tab w:leader="none" w:pos="84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capital and rights attached to shares</w:t>
      </w:r>
    </w:p>
    <w:p>
      <w:pPr>
        <w:spacing w:after="0" w:line="233"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issue the following shares in the capital of the Company with rights attaching to them as follows:</w:t>
      </w:r>
    </w:p>
    <w:p>
      <w:pPr>
        <w:spacing w:after="0" w:line="198" w:lineRule="exact"/>
        <w:rPr>
          <w:rFonts w:ascii="Times New Roman" w:cs="Times New Roman" w:eastAsia="Times New Roman" w:hAnsi="Times New Roman"/>
          <w:sz w:val="20"/>
          <w:szCs w:val="20"/>
          <w:b w:val="1"/>
          <w:bCs w:val="1"/>
          <w:color w:val="auto"/>
        </w:rPr>
      </w:pPr>
    </w:p>
    <w:p>
      <w:pPr>
        <w:jc w:val="both"/>
        <w:ind w:left="1860" w:hanging="734"/>
        <w:spacing w:after="0" w:line="256" w:lineRule="auto"/>
        <w:tabs>
          <w:tab w:leader="none" w:pos="18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Each Ordinary Share shall be non-redeemable and shall have one vote attaching to it for voting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(but subject as provided in article 5(b) in respect of those shares held by the Founder and/or in which he is interested or of which he is Beneficial Owner).</w:t>
      </w:r>
    </w:p>
    <w:p>
      <w:pPr>
        <w:spacing w:after="0" w:line="20"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Deferred Shares</w:t>
      </w:r>
      <w:r>
        <w:rPr>
          <w:rFonts w:ascii="Times New Roman" w:cs="Times New Roman" w:eastAsia="Times New Roman" w:hAnsi="Times New Roman"/>
          <w:sz w:val="20"/>
          <w:szCs w:val="20"/>
          <w:color w:val="auto"/>
        </w:rPr>
        <w:t>: Each Deferred Share shall be redeemable at the option of the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7" w:name="page18"/>
    <w:bookmarkEnd w:id="17"/>
    <w:p>
      <w:pPr>
        <w:jc w:val="right"/>
        <w:ind w:right="859"/>
        <w:spacing w:after="0"/>
        <w:rPr>
          <w:sz w:val="20"/>
          <w:szCs w:val="20"/>
          <w:color w:val="auto"/>
        </w:rPr>
      </w:pPr>
      <w:r>
        <w:rPr>
          <w:rFonts w:ascii="Times New Roman" w:cs="Times New Roman" w:eastAsia="Times New Roman" w:hAnsi="Times New Roman"/>
          <w:sz w:val="20"/>
          <w:szCs w:val="20"/>
          <w:color w:val="auto"/>
        </w:rPr>
        <w:t>Company and shall have the rights and be subject to the restrictions set out in article 6 below.</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13" w:right="1440" w:bottom="1440" w:gutter="0" w:footer="0" w:header="0"/>
        </w:sectPr>
      </w:pPr>
    </w:p>
    <w:bookmarkStart w:id="18" w:name="page19"/>
    <w:bookmarkEnd w:id="18"/>
    <w:p>
      <w:pPr>
        <w:spacing w:after="0" w:line="135"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20"/>
          <w:szCs w:val="20"/>
          <w:color w:val="auto"/>
        </w:rPr>
        <w:t>The Ordinary Shares shall form a single class in the capital of the Company in all respects including as to rights: (i) to receive a dividend or other distribution; (ii) upon a liquidation, dissolution or winding up of the Company; or (iii) upon a direct or indirect change of control of the Company. For the avoidance of doubt, the Deferred Shares shall have the rights and be subject to the restrictions set out in article 6 below only and shall be treated in all respects as a distinct and separate class of shares in the capital of the Company to those of the Ordinary Shares.</w:t>
      </w:r>
    </w:p>
    <w:p>
      <w:pPr>
        <w:spacing w:after="0" w:line="181" w:lineRule="exact"/>
        <w:rPr>
          <w:sz w:val="20"/>
          <w:szCs w:val="20"/>
          <w:color w:val="auto"/>
        </w:rPr>
      </w:pPr>
    </w:p>
    <w:p>
      <w:pPr>
        <w:ind w:left="840" w:hanging="747"/>
        <w:spacing w:after="0"/>
        <w:tabs>
          <w:tab w:leader="none" w:pos="84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attaching to Founder's Shares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requirements of this article 5, any rights attaching to the Ordinary Shares may only be varied in accordance with the provisions of article 18.</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these articles, the aggregate number of votes attaching to all the issued shares held by the Founder and/or in which he is interested or of which he is Beneficial Owner shall be equal to the higher of:</w:t>
      </w:r>
    </w:p>
    <w:p>
      <w:pPr>
        <w:spacing w:after="0" w:line="174"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 of the votes attaching to all shares in the capital of the Company; and</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number of votes that would have been conferred on the Founder if this article 5, did not apply.</w:t>
      </w:r>
    </w:p>
    <w:p>
      <w:pPr>
        <w:spacing w:after="0" w:line="21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attaching to the Deferred Shares</w:t>
      </w:r>
    </w:p>
    <w:p>
      <w:pPr>
        <w:spacing w:after="0" w:line="233"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Deferred Share shall confer upon the holder such rights, and be subject to restrictions, as follows:</w:t>
      </w:r>
    </w:p>
    <w:p>
      <w:pPr>
        <w:spacing w:after="0" w:line="202" w:lineRule="exact"/>
        <w:rPr>
          <w:rFonts w:ascii="Times New Roman" w:cs="Times New Roman" w:eastAsia="Times New Roman" w:hAnsi="Times New Roman"/>
          <w:sz w:val="20"/>
          <w:szCs w:val="20"/>
          <w:b w:val="1"/>
          <w:bCs w:val="1"/>
          <w:color w:val="auto"/>
        </w:rPr>
      </w:pPr>
    </w:p>
    <w:p>
      <w:pPr>
        <w:ind w:left="1880" w:hanging="754"/>
        <w:spacing w:after="0"/>
        <w:tabs>
          <w:tab w:leader="none" w:pos="188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these articles, a Deferred Share:</w:t>
      </w:r>
    </w:p>
    <w:p>
      <w:pPr>
        <w:spacing w:after="0" w:line="22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entitle its holder to receive any dividend or distribution declared, made or paid or any return of capital and does not entitle its holder to any further or other right of participation in the assets of the Company;</w:t>
      </w:r>
    </w:p>
    <w:p>
      <w:pPr>
        <w:spacing w:after="0" w:line="174"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entitle its holder to participate on a return of assets on a winding up of the Company beyond $1 for all Deferred Shares in issue;</w:t>
      </w:r>
    </w:p>
    <w:p>
      <w:pPr>
        <w:spacing w:after="0" w:line="172"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entitle its holder to receive a share certificate in respect of his or her shareholding, save as required by the Statutes;</w:t>
      </w:r>
    </w:p>
    <w:p>
      <w:pPr>
        <w:spacing w:after="0" w:line="159"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entitle its holder to receive notice of, attend, speak or vote at, any general meeting of the Company; and</w:t>
      </w:r>
    </w:p>
    <w:p>
      <w:pPr>
        <w:spacing w:after="0" w:line="159" w:lineRule="exact"/>
        <w:rPr>
          <w:rFonts w:ascii="Times New Roman" w:cs="Times New Roman" w:eastAsia="Times New Roman" w:hAnsi="Times New Roman"/>
          <w:sz w:val="20"/>
          <w:szCs w:val="20"/>
          <w:color w:val="auto"/>
        </w:rPr>
      </w:pPr>
    </w:p>
    <w:p>
      <w:pPr>
        <w:ind w:left="2320" w:hanging="730"/>
        <w:spacing w:after="0"/>
        <w:tabs>
          <w:tab w:leader="none" w:pos="232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transferable at any time other than with the prior written consent of the Board;</w:t>
      </w:r>
    </w:p>
    <w:p>
      <w:pPr>
        <w:spacing w:after="0" w:line="215"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part of the Deferred Shares from time to time shall be redeemable at the option of the Company (but not any member) for US$ 1.00 in aggregate for all such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9" w:name="page20"/>
    <w:bookmarkEnd w:id="19"/>
    <w:p>
      <w:pPr>
        <w:ind w:left="1880"/>
        <w:spacing w:after="0" w:line="269" w:lineRule="auto"/>
        <w:rPr>
          <w:sz w:val="20"/>
          <w:szCs w:val="20"/>
          <w:color w:val="auto"/>
        </w:rPr>
      </w:pPr>
      <w:r>
        <w:rPr>
          <w:rFonts w:ascii="Times New Roman" w:cs="Times New Roman" w:eastAsia="Times New Roman" w:hAnsi="Times New Roman"/>
          <w:sz w:val="20"/>
          <w:szCs w:val="20"/>
          <w:color w:val="auto"/>
        </w:rPr>
        <w:t>Deferred Shares being redeemed or such higher amount as may be determined by the Board and, as the case may be, specified in any agreement with the member holding such Deferred Shares;</w:t>
      </w:r>
    </w:p>
    <w:p>
      <w:pPr>
        <w:spacing w:after="0" w:line="159" w:lineRule="exact"/>
        <w:rPr>
          <w:sz w:val="20"/>
          <w:szCs w:val="20"/>
          <w:color w:val="auto"/>
        </w:rPr>
      </w:pPr>
    </w:p>
    <w:p>
      <w:pPr>
        <w:ind w:left="1860" w:hanging="734"/>
        <w:spacing w:after="0" w:line="269" w:lineRule="auto"/>
        <w:tabs>
          <w:tab w:leader="none" w:pos="18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and where required pursuant to the terms of the Merger Agreement (but subject always to any applicable law) the Board shall:</w:t>
      </w:r>
    </w:p>
    <w:p>
      <w:pPr>
        <w:spacing w:after="0" w:line="172" w:lineRule="exact"/>
        <w:rPr>
          <w:rFonts w:ascii="Times New Roman" w:cs="Times New Roman" w:eastAsia="Times New Roman" w:hAnsi="Times New Roman"/>
          <w:sz w:val="20"/>
          <w:szCs w:val="20"/>
          <w:color w:val="auto"/>
        </w:rPr>
      </w:pPr>
    </w:p>
    <w:p>
      <w:pPr>
        <w:jc w:val="both"/>
        <w:ind w:left="2340" w:right="20" w:hanging="750"/>
        <w:spacing w:after="0" w:line="254" w:lineRule="auto"/>
        <w:tabs>
          <w:tab w:leader="none" w:pos="2340"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such actions as are required to redeem any or all of the Deferred Shares in issue from time to time (subject to the requirements of the Statutes) and without any requirement to obtain the consent or sanction of the holders thereof; and</w:t>
      </w:r>
    </w:p>
    <w:p>
      <w:pPr>
        <w:spacing w:after="0" w:line="160"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nominate any person to execute and do all such deeds, documents, acts and things as may be necessary to give effect to the actions contemplated by this article 6; and</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attached to the Deferred Shares shall not be deemed to be varied or abrogated by the creation or issue of any new shares ranking in priority to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subsequent to such shares, any amendment or variation of the rights of any other class of shares of the Company, the Company reducing its share capital or surrender or purchase of any share, whether a Deferred Share or otherwise.</w:t>
      </w:r>
    </w:p>
    <w:p>
      <w:pPr>
        <w:spacing w:after="0" w:line="17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Conversion to Deferred Shares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agree with any member terms and conditions upon which all or any part of the Ordinary Shares held by such member from time to time shall be automatically and irrevocably converted into Deferred Shares without any requirement to obtain the further consent or sanction of such member and may deal with any such Deferred Shares in accordance with article 6.</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other provisions of these articles (including but not limited to article 7(a) or article 10(c) (iii)), the Board may, pursuant to any agreement with a member granting the Company an express right to do so, convert any Ordinary Shares to Deferred Shares without any requirement to obtain the further consent or sanction of that member and may deal with any such Deferred Shares in accordance with article 6.</w:t>
      </w:r>
    </w:p>
    <w:p>
      <w:pPr>
        <w:spacing w:after="0" w:line="166"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director of the Company (or any affiliate of any such director) is a holder of Ordinary Shares that are subject to conversion to Deferred Shares as envisaged by articles 7(a) and 7(b) above, such director shall be prohibited from counting in the quorum or voting in respect of any resolutions proposed to be passed by the Board in connection with the conversion and/or subsequent redemption of such shares.</w:t>
      </w:r>
    </w:p>
    <w:p>
      <w:pPr>
        <w:spacing w:after="0" w:line="179"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w:t>
      </w:r>
    </w:p>
    <w:p>
      <w:pPr>
        <w:spacing w:after="0" w:line="22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an employee or consultant (other than the Founder) ceases to be an employee or consultant of or to the Company or any subsidiary (such that he is neither an employee or consultant of or to the Company or any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20" w:name="page21"/>
    <w:bookmarkEnd w:id="20"/>
    <w:p>
      <w:pPr>
        <w:spacing w:after="0" w:line="149"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20"/>
          <w:szCs w:val="20"/>
          <w:color w:val="auto"/>
        </w:rPr>
        <w:t>subsidiary), then unless the Board resolves otherwise with the written consent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1" w:name="page22"/>
    <w:bookmarkEnd w:id="21"/>
    <w:p>
      <w:pPr>
        <w:jc w:val="both"/>
        <w:ind w:left="2340"/>
        <w:spacing w:after="0" w:line="249" w:lineRule="auto"/>
        <w:rPr>
          <w:sz w:val="20"/>
          <w:szCs w:val="20"/>
          <w:color w:val="auto"/>
        </w:rPr>
      </w:pPr>
      <w:r>
        <w:rPr>
          <w:rFonts w:ascii="Times New Roman" w:cs="Times New Roman" w:eastAsia="Times New Roman" w:hAnsi="Times New Roman"/>
          <w:sz w:val="20"/>
          <w:szCs w:val="20"/>
          <w:color w:val="auto"/>
        </w:rPr>
        <w:t>of the Founder all the Shares held by (or in which an interest is held by or of which the beneficial owner is) such employee or consultant and/or his Permitted Transferees (the "</w:t>
      </w:r>
      <w:r>
        <w:rPr>
          <w:rFonts w:ascii="Times New Roman" w:cs="Times New Roman" w:eastAsia="Times New Roman" w:hAnsi="Times New Roman"/>
          <w:sz w:val="20"/>
          <w:szCs w:val="20"/>
          <w:b w:val="1"/>
          <w:bCs w:val="1"/>
          <w:color w:val="auto"/>
        </w:rPr>
        <w:t>Departing Employee Shares</w:t>
      </w:r>
      <w:r>
        <w:rPr>
          <w:rFonts w:ascii="Times New Roman" w:cs="Times New Roman" w:eastAsia="Times New Roman" w:hAnsi="Times New Roman"/>
          <w:sz w:val="20"/>
          <w:szCs w:val="20"/>
          <w:color w:val="auto"/>
        </w:rPr>
        <w:t>") shall automatically convert into Deferred Shares (on the basis of one Deferred Share for each Share held) on the date of such cessation (the "Cessation Date") (rounded down to the nearest whole share).</w:t>
      </w:r>
    </w:p>
    <w:p>
      <w:pPr>
        <w:spacing w:after="0" w:line="180" w:lineRule="exact"/>
        <w:rPr>
          <w:sz w:val="20"/>
          <w:szCs w:val="20"/>
          <w:color w:val="auto"/>
        </w:rPr>
      </w:pPr>
    </w:p>
    <w:p>
      <w:pPr>
        <w:jc w:val="both"/>
        <w:ind w:left="2340" w:hanging="750"/>
        <w:spacing w:after="0" w:line="244" w:lineRule="auto"/>
        <w:tabs>
          <w:tab w:leader="none" w:pos="234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conversion into Deferred Shares, the Company shall be entitled to enter the holder of the Deferred Shares on the register of members of the Company as the holder of the appropriate number of Deferred Shares as from the Cessation Date. Upon the Cessation Date, the holder of the Departing Employee Shares shall deliver to the Company at its registered office the share certificate(s) (to the extent not already in the possession of the Company) (or an indemnity for lost certificate in a form acceptable to the Board) for the Shares so converting and upon such delivery there shall be issued to him (or his Permitted Transferee(s)) share certificate(s) for the number of Deferred Shares resulting from the relevant conversion.</w:t>
      </w:r>
    </w:p>
    <w:p>
      <w:pPr>
        <w:spacing w:after="0" w:line="18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Authority to allot shares and grant rights</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Statutes, these articles and any resolution of the Company, the Board may offer, allot (with or without conferring a right of renunciation), grant options over, grant rights to subscribe for or to convert any security into or otherwise deal with or dispose of any unissued shares in the Company to such persons, at such times and generally on such terms as the Board may decide.</w:t>
      </w:r>
    </w:p>
    <w:p>
      <w:pPr>
        <w:spacing w:after="0" w:line="17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pay commission</w:t>
      </w:r>
    </w:p>
    <w:p>
      <w:pPr>
        <w:spacing w:after="0" w:line="233"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pay commissions or brokerage fees in respect of shares on such terms as the directors may think proper.</w:t>
      </w:r>
    </w:p>
    <w:p>
      <w:pPr>
        <w:spacing w:after="0" w:line="211"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alter share capital</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the Company may exercise the powers conferred by the Statutes to:</w:t>
      </w:r>
    </w:p>
    <w:p>
      <w:pPr>
        <w:spacing w:after="0" w:line="229"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its share capital by creating new shares of such amount and in such currency or currencies as it thinks expedient;</w:t>
      </w:r>
    </w:p>
    <w:p>
      <w:pPr>
        <w:spacing w:after="0" w:line="159" w:lineRule="exact"/>
        <w:rPr>
          <w:sz w:val="20"/>
          <w:szCs w:val="20"/>
          <w:color w:val="auto"/>
        </w:rPr>
      </w:pPr>
    </w:p>
    <w:p>
      <w:pPr>
        <w:ind w:left="2340" w:hanging="750"/>
        <w:spacing w:after="0"/>
        <w:tabs>
          <w:tab w:leader="none" w:pos="23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its share capital;</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sub-divide or consolidate and divide all or any of its share capital;</w:t>
      </w:r>
    </w:p>
    <w:p>
      <w:pPr>
        <w:spacing w:after="0" w:line="229"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redenominate all or any of its shares and cancel some of its shares in connection with such a redenomination; and</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its share capital in any other manner permitted by the 2006 Act.</w:t>
      </w:r>
    </w:p>
    <w:p>
      <w:pPr>
        <w:spacing w:after="0" w:line="215" w:lineRule="exact"/>
        <w:rPr>
          <w:rFonts w:ascii="Times New Roman" w:cs="Times New Roman" w:eastAsia="Times New Roman" w:hAnsi="Times New Roman"/>
          <w:sz w:val="20"/>
          <w:szCs w:val="20"/>
          <w:color w:val="auto"/>
        </w:rPr>
      </w:pPr>
    </w:p>
    <w:p>
      <w:pPr>
        <w:ind w:left="1860" w:right="240" w:hanging="734"/>
        <w:spacing w:after="0" w:line="269" w:lineRule="auto"/>
        <w:tabs>
          <w:tab w:leader="none" w:pos="18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resolution by which any share is sub-divided may determine that, as between the holders of the shares resulting from the sub-division, one or more of the shares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22" w:name="page23"/>
    <w:bookmarkEnd w:id="22"/>
    <w:p>
      <w:pPr>
        <w:spacing w:after="0" w:line="149" w:lineRule="exact"/>
        <w:rPr>
          <w:sz w:val="20"/>
          <w:szCs w:val="20"/>
          <w:color w:val="auto"/>
        </w:rPr>
      </w:pPr>
    </w:p>
    <w:p>
      <w:pPr>
        <w:jc w:val="right"/>
        <w:ind w:right="7919"/>
        <w:spacing w:after="0"/>
        <w:rPr>
          <w:sz w:val="20"/>
          <w:szCs w:val="20"/>
          <w:color w:val="auto"/>
        </w:rPr>
      </w:pPr>
      <w:r>
        <w:rPr>
          <w:rFonts w:ascii="Times New Roman" w:cs="Times New Roman" w:eastAsia="Times New Roman" w:hAnsi="Times New Roman"/>
          <w:sz w:val="20"/>
          <w:szCs w:val="20"/>
          <w:color w:val="auto"/>
        </w:rPr>
        <w:t>may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3" w:name="page24"/>
    <w:bookmarkEnd w:id="23"/>
    <w:p>
      <w:pPr>
        <w:ind w:left="1880" w:right="20"/>
        <w:spacing w:after="0" w:line="269" w:lineRule="auto"/>
        <w:rPr>
          <w:sz w:val="20"/>
          <w:szCs w:val="20"/>
          <w:color w:val="auto"/>
        </w:rPr>
      </w:pPr>
      <w:r>
        <w:rPr>
          <w:rFonts w:ascii="Times New Roman" w:cs="Times New Roman" w:eastAsia="Times New Roman" w:hAnsi="Times New Roman"/>
          <w:sz w:val="20"/>
          <w:szCs w:val="20"/>
          <w:color w:val="auto"/>
        </w:rPr>
        <w:t>have such preferred or other special rights or may have such qualified or deferred rights or be subject to such restrictions, as compared with the other or others, as the Company has power to attach to new shares.</w:t>
      </w:r>
    </w:p>
    <w:p>
      <w:pPr>
        <w:spacing w:after="0" w:line="159" w:lineRule="exact"/>
        <w:rPr>
          <w:sz w:val="20"/>
          <w:szCs w:val="20"/>
          <w:color w:val="auto"/>
        </w:rPr>
      </w:pPr>
    </w:p>
    <w:p>
      <w:pPr>
        <w:ind w:left="1860" w:hanging="734"/>
        <w:spacing w:after="0" w:line="269" w:lineRule="auto"/>
        <w:tabs>
          <w:tab w:leader="none" w:pos="186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any consolidation and division or sub-division of shares any members would become entitled to fractions of a share, the Board may deal with the fractions as it thinks fit. In particular, the Board may:</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45" w:lineRule="auto"/>
        <w:tabs>
          <w:tab w:leader="none" w:pos="234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behalf of those members) aggregate and sell the shares representing the fractions to any person (including, subject to the Statutes, the Company) and distribute the net proceeds of sale in due proportion among those members (except that any proceeds in respect of any holding less than a sum fixed by the Board may be retained for the benefit of the Company) and the directors may authorise some person to execute an instrument of transfer of shares and/or any relevant buyback instrument (if applicable) to, or in accordance with the directions of, the purchaser; or</w:t>
      </w:r>
    </w:p>
    <w:p>
      <w:pPr>
        <w:spacing w:after="0" w:line="184"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first, allot to a member credited as fully paid by way of capitalisation of any reserve account of the Company such number of shares as rounds up the member's holding to a number which, following consolidation and division or sub-division, leaves a whole number of shares; or</w:t>
      </w:r>
    </w:p>
    <w:p>
      <w:pPr>
        <w:spacing w:after="0" w:line="174"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 any such fractional entitlements into Deferred Shares.</w:t>
      </w:r>
    </w:p>
    <w:p>
      <w:pPr>
        <w:spacing w:after="0" w:line="215"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a sale under paragraph (c)(i) above, the Board may authorise a person to transfer the shares to, or as directed by, the purchaser, who shall not be bound to see to the application of the purchase money and the title of the new holder to the shares shall not be affected by any irregularity in or invalidity of the proceedings relating to the sale.</w:t>
      </w:r>
    </w:p>
    <w:p>
      <w:pPr>
        <w:spacing w:after="0" w:line="175" w:lineRule="exact"/>
        <w:rPr>
          <w:rFonts w:ascii="Times New Roman" w:cs="Times New Roman" w:eastAsia="Times New Roman" w:hAnsi="Times New Roman"/>
          <w:sz w:val="20"/>
          <w:szCs w:val="20"/>
          <w:color w:val="auto"/>
        </w:rPr>
      </w:pPr>
    </w:p>
    <w:p>
      <w:pPr>
        <w:ind w:left="840" w:right="3200" w:hanging="747"/>
        <w:spacing w:after="0" w:line="474" w:lineRule="auto"/>
        <w:tabs>
          <w:tab w:leader="none" w:pos="842"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Power to issue redeemable shares and conversion of existing non-redeemable shares </w:t>
      </w:r>
      <w:r>
        <w:rPr>
          <w:rFonts w:ascii="Times New Roman" w:cs="Times New Roman" w:eastAsia="Times New Roman" w:hAnsi="Times New Roman"/>
          <w:sz w:val="20"/>
          <w:szCs w:val="20"/>
          <w:color w:val="auto"/>
        </w:rPr>
        <w:t>Subject to the Statutes:</w:t>
      </w:r>
    </w:p>
    <w:p>
      <w:pPr>
        <w:jc w:val="both"/>
        <w:ind w:left="1860" w:hanging="734"/>
        <w:spacing w:after="0" w:line="249" w:lineRule="auto"/>
        <w:tabs>
          <w:tab w:leader="none" w:pos="18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share may be issued on terms that it is to be redeemed or is liable to be redeemed at the option of the Company or the holder and the terms, conditions and manner of redemption of such shares shall be determined by the Board before the shares are allotted (and such terms and conditions shall apply as if the same were set out in these articles); and</w:t>
      </w:r>
    </w:p>
    <w:p>
      <w:pPr>
        <w:spacing w:after="0" w:line="179" w:lineRule="exact"/>
        <w:rPr>
          <w:rFonts w:ascii="Times New Roman" w:cs="Times New Roman" w:eastAsia="Times New Roman" w:hAnsi="Times New Roman"/>
          <w:sz w:val="20"/>
          <w:szCs w:val="20"/>
          <w:color w:val="auto"/>
        </w:rPr>
      </w:pPr>
    </w:p>
    <w:p>
      <w:pPr>
        <w:jc w:val="both"/>
        <w:ind w:left="1860" w:right="20" w:hanging="734"/>
        <w:spacing w:after="0" w:line="274" w:lineRule="auto"/>
        <w:tabs>
          <w:tab w:leader="none" w:pos="186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existing non-redeemable shares (whether issued or not) may, where permitted by these articles and determined by the Board, be converted into shares that are to be redeemed or are liable to be redeemed in accordance with their terms, which may include provision for redemption at the option of either or both of the Company or holder thereof.</w:t>
      </w:r>
    </w:p>
    <w:p>
      <w:pPr>
        <w:spacing w:after="0" w:line="152" w:lineRule="exact"/>
        <w:rPr>
          <w:rFonts w:ascii="Times New Roman" w:cs="Times New Roman" w:eastAsia="Times New Roman" w:hAnsi="Times New Roman"/>
          <w:sz w:val="19"/>
          <w:szCs w:val="19"/>
          <w:color w:val="auto"/>
        </w:rPr>
      </w:pPr>
    </w:p>
    <w:p>
      <w:pPr>
        <w:ind w:left="840" w:hanging="747"/>
        <w:spacing w:after="0"/>
        <w:tabs>
          <w:tab w:leader="none" w:pos="84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purchase own shares</w:t>
      </w:r>
    </w:p>
    <w:p>
      <w:pPr>
        <w:spacing w:after="0" w:line="219" w:lineRule="exact"/>
        <w:rPr>
          <w:rFonts w:ascii="Times New Roman" w:cs="Times New Roman" w:eastAsia="Times New Roman" w:hAnsi="Times New Roman"/>
          <w:sz w:val="20"/>
          <w:szCs w:val="20"/>
          <w:b w:val="1"/>
          <w:bCs w:val="1"/>
          <w:color w:val="auto"/>
        </w:rPr>
      </w:pPr>
    </w:p>
    <w:p>
      <w:pPr>
        <w:ind w:left="840" w:right="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Statutes, and to any rights conferred on the holders of any class of shares, the Company may purchase all or any of its shares of any class, including any redeemable shares.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24" w:name="page25"/>
    <w:bookmarkEnd w:id="24"/>
    <w:p>
      <w:pPr>
        <w:ind w:left="840"/>
        <w:spacing w:after="0"/>
        <w:rPr>
          <w:sz w:val="20"/>
          <w:szCs w:val="20"/>
          <w:color w:val="auto"/>
        </w:rPr>
      </w:pPr>
      <w:r>
        <w:rPr>
          <w:rFonts w:ascii="Times New Roman" w:cs="Times New Roman" w:eastAsia="Times New Roman" w:hAnsi="Times New Roman"/>
          <w:sz w:val="20"/>
          <w:szCs w:val="20"/>
          <w:color w:val="auto"/>
        </w:rPr>
        <w:t>Subject to the Statutes, the Company may hold as treasury shares any shares purchased or redeemed by it.</w:t>
      </w:r>
    </w:p>
    <w:p>
      <w:pPr>
        <w:spacing w:after="0" w:line="212" w:lineRule="exact"/>
        <w:rPr>
          <w:sz w:val="20"/>
          <w:szCs w:val="20"/>
          <w:color w:val="auto"/>
        </w:rPr>
      </w:pPr>
    </w:p>
    <w:p>
      <w:pPr>
        <w:ind w:left="840" w:hanging="747"/>
        <w:spacing w:after="0"/>
        <w:tabs>
          <w:tab w:leader="none" w:pos="8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reduce capital</w:t>
      </w:r>
    </w:p>
    <w:p>
      <w:pPr>
        <w:spacing w:after="0" w:line="233" w:lineRule="exact"/>
        <w:rPr>
          <w:rFonts w:ascii="Times New Roman" w:cs="Times New Roman" w:eastAsia="Times New Roman" w:hAnsi="Times New Roman"/>
          <w:sz w:val="20"/>
          <w:szCs w:val="20"/>
          <w:b w:val="1"/>
          <w:bCs w:val="1"/>
          <w:color w:val="auto"/>
        </w:rPr>
      </w:pPr>
    </w:p>
    <w:p>
      <w:pPr>
        <w:ind w:left="8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Statutes and to any rights conferred on the holders of any class of shares, the Company may by ordinary resolution reduce its share capital, any capital redemption reserves and any share premium account in any way.</w:t>
      </w:r>
    </w:p>
    <w:p>
      <w:pPr>
        <w:spacing w:after="0" w:line="15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Trusts not recognised</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required by law, a court of competent jurisdiction or these articles, no person shall be recognised by the Company as holding any share upon any trust and the Company shall not be bound by or required to recognise (even when having notice of it) any equitable, contingent, future, partial or other claim to or interest in or in respect of any share, except the holder's absolute right to the entirety of the share.</w:t>
      </w:r>
    </w:p>
    <w:p>
      <w:pPr>
        <w:spacing w:after="0" w:line="17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Redemption, Purchase and Surrender</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 that the Company redeems, purchases, accepts by way of surrender or otherwise acquires pursuant to these articles may:</w:t>
      </w:r>
    </w:p>
    <w:p>
      <w:pPr>
        <w:spacing w:after="0" w:line="215" w:lineRule="exact"/>
        <w:rPr>
          <w:rFonts w:ascii="Times New Roman" w:cs="Times New Roman" w:eastAsia="Times New Roman" w:hAnsi="Times New Roman"/>
          <w:sz w:val="20"/>
          <w:szCs w:val="20"/>
          <w:b w:val="1"/>
          <w:bCs w:val="1"/>
          <w:color w:val="auto"/>
        </w:rPr>
      </w:pPr>
    </w:p>
    <w:p>
      <w:pPr>
        <w:ind w:left="1880" w:hanging="754"/>
        <w:spacing w:after="0"/>
        <w:tabs>
          <w:tab w:leader="none" w:pos="18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cancelled; or</w:t>
      </w:r>
    </w:p>
    <w:p>
      <w:pPr>
        <w:spacing w:after="0" w:line="229"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held as Treasury Shares on such terms and in such manner as the Directors determine prior to such acquisition.</w:t>
      </w:r>
    </w:p>
    <w:p>
      <w:pPr>
        <w:spacing w:after="0" w:line="21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Treasury shares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left="8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rights and obligations attaching to a treasury share are suspended and shall not be exercised by the Company while it holds the share as a treasury share, other than as set out in this article. The Company may:</w:t>
      </w:r>
    </w:p>
    <w:p>
      <w:pPr>
        <w:spacing w:after="0" w:line="159"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the treasury shares on such terms and in such a manner as the directors may determine; and</w:t>
      </w:r>
    </w:p>
    <w:p>
      <w:pPr>
        <w:spacing w:after="0" w:line="215"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the treasury shares in accordance with these articles.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UNCERTIFICATED SHARES – GENERAL POWERS</w:t>
      </w:r>
    </w:p>
    <w:p>
      <w:pPr>
        <w:spacing w:after="0" w:line="229" w:lineRule="exact"/>
        <w:rPr>
          <w:sz w:val="20"/>
          <w:szCs w:val="20"/>
          <w:color w:val="auto"/>
        </w:rPr>
      </w:pPr>
    </w:p>
    <w:p>
      <w:pPr>
        <w:ind w:left="840" w:hanging="747"/>
        <w:spacing w:after="0"/>
        <w:tabs>
          <w:tab w:leader="none" w:pos="84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Uncertificated shares – general powers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the Board may permit any class of shares to be held in uncertificated form and to be transferred by means of a relevant system and may revoke any such permission.</w:t>
      </w:r>
    </w:p>
    <w:p>
      <w:pPr>
        <w:spacing w:after="0" w:line="159"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share which is for the time being held in uncertificated form:</w:t>
      </w:r>
    </w:p>
    <w:p>
      <w:pPr>
        <w:spacing w:after="0" w:line="53"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utilise the relevant system in which it is held to the fullest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25" w:name="page26"/>
    <w:bookmarkEnd w:id="25"/>
    <w:p>
      <w:pPr>
        <w:jc w:val="both"/>
        <w:ind w:left="2340"/>
        <w:spacing w:after="0" w:line="254" w:lineRule="auto"/>
        <w:rPr>
          <w:sz w:val="20"/>
          <w:szCs w:val="20"/>
          <w:color w:val="auto"/>
        </w:rPr>
      </w:pPr>
      <w:r>
        <w:rPr>
          <w:rFonts w:ascii="Times New Roman" w:cs="Times New Roman" w:eastAsia="Times New Roman" w:hAnsi="Times New Roman"/>
          <w:sz w:val="20"/>
          <w:szCs w:val="20"/>
          <w:color w:val="auto"/>
        </w:rPr>
        <w:t>extent available from time to time in the exercise of any of its powers or functions under the Statutes or these articles or otherwise in effecting any actions and the Board may from time to time determine the manner in which such powers, functions and actions shall be so exercised or effected;</w:t>
      </w:r>
    </w:p>
    <w:p>
      <w:pPr>
        <w:spacing w:after="0" w:line="174" w:lineRule="exact"/>
        <w:rPr>
          <w:sz w:val="20"/>
          <w:szCs w:val="20"/>
          <w:color w:val="auto"/>
        </w:rPr>
      </w:pPr>
    </w:p>
    <w:p>
      <w:pPr>
        <w:ind w:left="2340" w:hanging="750"/>
        <w:spacing w:after="0"/>
        <w:tabs>
          <w:tab w:leader="none" w:pos="23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in these articles which is inconsistent with:</w:t>
      </w:r>
    </w:p>
    <w:p>
      <w:pPr>
        <w:spacing w:after="0" w:line="229"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holding or transfer of that share in the manner prescribed or permitted by the Statutes;</w:t>
      </w:r>
    </w:p>
    <w:p>
      <w:pPr>
        <w:spacing w:after="0" w:line="215"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provision of the Statutes relating to shares held in uncertificated form;</w:t>
      </w:r>
    </w:p>
    <w:p>
      <w:pPr>
        <w:spacing w:after="0" w:line="215" w:lineRule="exact"/>
        <w:rPr>
          <w:rFonts w:ascii="Times New Roman" w:cs="Times New Roman" w:eastAsia="Times New Roman" w:hAnsi="Times New Roman"/>
          <w:sz w:val="20"/>
          <w:szCs w:val="20"/>
          <w:color w:val="auto"/>
        </w:rPr>
      </w:pPr>
    </w:p>
    <w:p>
      <w:pPr>
        <w:ind w:left="3080" w:right="20" w:hanging="741"/>
        <w:spacing w:after="0" w:line="269" w:lineRule="auto"/>
        <w:tabs>
          <w:tab w:leader="none" w:pos="30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any powers or functions by the Company or the effecting by the Company of any actions by means of a relevant system; or</w:t>
      </w:r>
    </w:p>
    <w:p>
      <w:pPr>
        <w:spacing w:after="0" w:line="159"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provisions of the Statutes relating to the shares held in uncertificated form,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26" w:name="page27"/>
    <w:bookmarkEnd w:id="26"/>
    <w:p>
      <w:pPr>
        <w:spacing w:after="0" w:line="13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shall not apply;</w:t>
      </w:r>
    </w:p>
    <w:p>
      <w:pPr>
        <w:spacing w:after="0" w:line="229" w:lineRule="exact"/>
        <w:rPr>
          <w:sz w:val="20"/>
          <w:szCs w:val="20"/>
          <w:color w:val="auto"/>
        </w:rPr>
      </w:pPr>
    </w:p>
    <w:p>
      <w:pPr>
        <w:ind w:left="2340" w:hanging="750"/>
        <w:spacing w:after="0" w:line="269" w:lineRule="auto"/>
        <w:tabs>
          <w:tab w:leader="none" w:pos="23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notice to the holder of that share, require the holder to change the form of such share to certificated form within such period as may be specified in the notice;</w:t>
      </w:r>
    </w:p>
    <w:p>
      <w:pPr>
        <w:spacing w:after="0" w:line="145"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require that share to be converted into certificated form in accordance with the Statutes; and</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issue a certificate.</w:t>
      </w:r>
    </w:p>
    <w:p>
      <w:pPr>
        <w:spacing w:after="0" w:line="22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notice to the holder of any share in certificated form, direct that the form of such share may not be changed to uncertificated form for a period specified in such notice.</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effecting any action by the Company, the Board may determine that shares held by a person in uncertificated form shall be treated as a separate holding from shares held by that person in certificated form but shares of a class held by a person in uncertificated form shall not be treated as a separate class from shares of that class held by that person in certificated form.</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VARIATION OF RIGHTS</w:t>
      </w:r>
    </w:p>
    <w:p>
      <w:pPr>
        <w:spacing w:after="0" w:line="216" w:lineRule="exact"/>
        <w:rPr>
          <w:sz w:val="20"/>
          <w:szCs w:val="20"/>
          <w:color w:val="auto"/>
        </w:rPr>
      </w:pPr>
    </w:p>
    <w:p>
      <w:pPr>
        <w:ind w:left="840" w:hanging="747"/>
        <w:spacing w:after="0"/>
        <w:tabs>
          <w:tab w:leader="none" w:pos="84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Variation of rights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share capital of the Company is divided into different classes of shares, all or any of the rights for the time being attached to any class of shares in issue may from time to time (subject to the Statutes and whether or not the Company is being wound up) be varied in such manner as those rights may provide or (if no such provision is made) either with the consent in writing of the holders entitled to</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7" w:name="page28"/>
    <w:bookmarkEnd w:id="27"/>
    <w:p>
      <w:pPr>
        <w:jc w:val="both"/>
        <w:ind w:left="1880"/>
        <w:spacing w:after="0" w:line="245" w:lineRule="auto"/>
        <w:rPr>
          <w:sz w:val="20"/>
          <w:szCs w:val="20"/>
          <w:color w:val="auto"/>
        </w:rPr>
      </w:pPr>
      <w:r>
        <w:rPr>
          <w:rFonts w:ascii="Times New Roman" w:cs="Times New Roman" w:eastAsia="Times New Roman" w:hAnsi="Times New Roman"/>
          <w:sz w:val="20"/>
          <w:szCs w:val="20"/>
          <w:color w:val="auto"/>
        </w:rPr>
        <w:t>exercise 75% of the votes attaching to the issued shares of that class or with the authority of a special resolution passed at a separate general meeting of the holders of those shares and for this purpose the Founder shall be deemed to have not less than 75% of the voting rights attaching to the Ordinary Shares in which he has an interest or of which he is Beneficial Owner or such greater percentage as is determined pursuant to article 5(b). To every such separate general meeting all the provisions of these articles relating to general meetings of the Company and to the proceedings at such general meetings shall with necessary modifications apply, except that:</w:t>
      </w:r>
    </w:p>
    <w:p>
      <w:pPr>
        <w:spacing w:after="0" w:line="184" w:lineRule="exact"/>
        <w:rPr>
          <w:sz w:val="20"/>
          <w:szCs w:val="20"/>
          <w:color w:val="auto"/>
        </w:rPr>
      </w:pPr>
    </w:p>
    <w:p>
      <w:pPr>
        <w:jc w:val="both"/>
        <w:ind w:left="2340" w:hanging="750"/>
        <w:spacing w:after="0" w:line="246" w:lineRule="auto"/>
        <w:tabs>
          <w:tab w:leader="none" w:pos="234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necessary quorum shall be two persons holding or being a proxy in respect of issued shares of the class (and including the Founder in respect of a class meeting for shares in which he is interested or of some of which he is Beneficial Owner) (but so that if at any adjourned meeting a quorum as defined above is not present, any one such person holding or being a proxy in respect of issued shares of the class shall be a quorum); and</w:t>
      </w:r>
    </w:p>
    <w:p>
      <w:pPr>
        <w:spacing w:after="0" w:line="184"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holder of shares of the class present in person or by proxy may demand a poll and every such holder shall on a poll have one vote for every share of the class held by him.</w:t>
      </w:r>
    </w:p>
    <w:p>
      <w:pPr>
        <w:spacing w:after="0" w:line="159" w:lineRule="exact"/>
        <w:rPr>
          <w:rFonts w:ascii="Times New Roman" w:cs="Times New Roman" w:eastAsia="Times New Roman" w:hAnsi="Times New Roman"/>
          <w:sz w:val="20"/>
          <w:szCs w:val="20"/>
          <w:color w:val="auto"/>
        </w:rPr>
      </w:pPr>
    </w:p>
    <w:p>
      <w:pPr>
        <w:ind w:left="1860" w:right="60" w:hanging="734"/>
        <w:spacing w:after="0" w:line="269" w:lineRule="auto"/>
        <w:tabs>
          <w:tab w:leader="none" w:pos="18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provided by the rights attached to any class of shares those rights shall not be deemed to be varied:</w:t>
      </w:r>
    </w:p>
    <w:p>
      <w:pPr>
        <w:spacing w:after="0" w:line="155" w:lineRule="exact"/>
        <w:rPr>
          <w:rFonts w:ascii="Times New Roman" w:cs="Times New Roman" w:eastAsia="Times New Roman" w:hAnsi="Times New Roman"/>
          <w:sz w:val="20"/>
          <w:szCs w:val="20"/>
          <w:color w:val="auto"/>
        </w:rPr>
      </w:pPr>
    </w:p>
    <w:p>
      <w:pPr>
        <w:ind w:left="2340" w:hanging="750"/>
        <w:spacing w:after="0" w:line="273" w:lineRule="auto"/>
        <w:tabs>
          <w:tab w:leader="none" w:pos="234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creation, allotment or issue of further shares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them but in no respect in priority to such shares;</w:t>
      </w:r>
    </w:p>
    <w:p>
      <w:pPr>
        <w:spacing w:after="0" w:line="155"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purchase or redemption by the Company of any of its own shares (and the holding of any such shares as treasury shares); or</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Operator of the relevant system permitting such class of shares to be, a participating security.</w:t>
      </w:r>
    </w:p>
    <w:p>
      <w:pPr>
        <w:spacing w:after="0" w:line="211" w:lineRule="exact"/>
        <w:rPr>
          <w:rFonts w:ascii="Times New Roman" w:cs="Times New Roman" w:eastAsia="Times New Roman" w:hAnsi="Times New Roman"/>
          <w:sz w:val="20"/>
          <w:szCs w:val="20"/>
          <w:color w:val="auto"/>
        </w:rPr>
      </w:pPr>
    </w:p>
    <w:p>
      <w:pPr>
        <w:ind w:left="4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TRANSFERS OF SHARES</w:t>
      </w:r>
    </w:p>
    <w:p>
      <w:pPr>
        <w:spacing w:after="0" w:line="229"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to transfer shares</w:t>
      </w:r>
    </w:p>
    <w:p>
      <w:pPr>
        <w:spacing w:after="0" w:line="219"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restrictions in these articles, a member may transfer all or any of the member's shares in any manner which is permitted by the Statutes, save that no Deferred Shares may be transferred without the consent of the Board.</w:t>
      </w:r>
    </w:p>
    <w:p>
      <w:pPr>
        <w:spacing w:after="0" w:line="15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Transfers of uncertificated shares</w:t>
      </w:r>
    </w:p>
    <w:p>
      <w:pPr>
        <w:spacing w:after="0" w:line="233"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shall maintain a record of uncertificated shares in accordance with the Statutes.</w:t>
      </w:r>
    </w:p>
    <w:p>
      <w:pPr>
        <w:spacing w:after="0" w:line="211"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Transfers of certificated shares</w:t>
      </w:r>
    </w:p>
    <w:p>
      <w:pPr>
        <w:spacing w:after="0" w:line="219" w:lineRule="exact"/>
        <w:rPr>
          <w:rFonts w:ascii="Times New Roman" w:cs="Times New Roman" w:eastAsia="Times New Roman" w:hAnsi="Times New Roman"/>
          <w:sz w:val="20"/>
          <w:szCs w:val="20"/>
          <w:b w:val="1"/>
          <w:bCs w:val="1"/>
          <w:color w:val="auto"/>
        </w:rPr>
      </w:pPr>
    </w:p>
    <w:p>
      <w:pPr>
        <w:ind w:left="1860" w:right="20" w:hanging="734"/>
        <w:spacing w:after="0" w:line="269" w:lineRule="auto"/>
        <w:tabs>
          <w:tab w:leader="none" w:pos="18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instrument of transfer of a certificated share may be in any usual form or in any other form which the Board may approve and shall be signed by or on behalf of the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28" w:name="page29"/>
    <w:bookmarkEnd w:id="28"/>
    <w:p>
      <w:pPr>
        <w:ind w:left="1880"/>
        <w:spacing w:after="0"/>
        <w:rPr>
          <w:sz w:val="20"/>
          <w:szCs w:val="20"/>
          <w:color w:val="auto"/>
        </w:rPr>
      </w:pPr>
      <w:r>
        <w:rPr>
          <w:rFonts w:ascii="Times New Roman" w:cs="Times New Roman" w:eastAsia="Times New Roman" w:hAnsi="Times New Roman"/>
          <w:sz w:val="20"/>
          <w:szCs w:val="20"/>
          <w:color w:val="auto"/>
        </w:rPr>
        <w:t>transferor and (except in the case of a fully paid share) by or on behalf of the transferee.</w:t>
      </w:r>
    </w:p>
    <w:p>
      <w:pPr>
        <w:spacing w:after="0" w:line="216" w:lineRule="exact"/>
        <w:rPr>
          <w:sz w:val="20"/>
          <w:szCs w:val="20"/>
          <w:color w:val="auto"/>
        </w:rPr>
      </w:pPr>
    </w:p>
    <w:p>
      <w:pPr>
        <w:ind w:left="1860" w:hanging="734"/>
        <w:spacing w:after="0" w:line="269" w:lineRule="auto"/>
        <w:tabs>
          <w:tab w:leader="none" w:pos="18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21(c), the Board may in its absolute discretion refuse to register any instrument of transfer of a certificated share unless it is:</w:t>
      </w:r>
    </w:p>
    <w:p>
      <w:pPr>
        <w:spacing w:after="0" w:line="172" w:lineRule="exact"/>
        <w:rPr>
          <w:rFonts w:ascii="Times New Roman" w:cs="Times New Roman" w:eastAsia="Times New Roman" w:hAnsi="Times New Roman"/>
          <w:sz w:val="20"/>
          <w:szCs w:val="20"/>
          <w:color w:val="auto"/>
        </w:rPr>
      </w:pPr>
    </w:p>
    <w:p>
      <w:pPr>
        <w:ind w:left="2320" w:hanging="730"/>
        <w:spacing w:after="0"/>
        <w:tabs>
          <w:tab w:leader="none" w:pos="232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left at the office, the transfer office, or at such other place as the Board may decide, for registration;</w:t>
      </w:r>
    </w:p>
    <w:p>
      <w:pPr>
        <w:spacing w:after="0" w:line="215"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accompanied by the certificate for the shares to be transferred and such other evidence (if any) as the Board may reasonably require to prove the title of the intending transferor or the intending transferor's right to transfer the shares; and</w:t>
      </w:r>
    </w:p>
    <w:p>
      <w:pPr>
        <w:spacing w:after="0" w:line="160"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only one class of shares.</w:t>
      </w:r>
    </w:p>
    <w:p>
      <w:pPr>
        <w:spacing w:after="0" w:line="229"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in its absolute discretion also refuse to register:</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a certificated share which is not a fully paid share; and</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a certificated and/or uncertificated share on which the Company has a lien,</w:t>
      </w:r>
    </w:p>
    <w:p>
      <w:pPr>
        <w:spacing w:after="0" w:line="216" w:lineRule="exact"/>
        <w:rPr>
          <w:sz w:val="20"/>
          <w:szCs w:val="20"/>
          <w:color w:val="auto"/>
        </w:rPr>
      </w:pPr>
    </w:p>
    <w:p>
      <w:pPr>
        <w:ind w:left="1580" w:right="20"/>
        <w:spacing w:after="0" w:line="269" w:lineRule="auto"/>
        <w:rPr>
          <w:sz w:val="20"/>
          <w:szCs w:val="20"/>
          <w:color w:val="auto"/>
        </w:rPr>
      </w:pPr>
      <w:r>
        <w:rPr>
          <w:rFonts w:ascii="Times New Roman" w:cs="Times New Roman" w:eastAsia="Times New Roman" w:hAnsi="Times New Roman"/>
          <w:sz w:val="20"/>
          <w:szCs w:val="20"/>
          <w:color w:val="auto"/>
        </w:rPr>
        <w:t>provided that in the case of any class of shares which is admitted to trading on NASDAQ, the refusal does not prevent dealings in those shares from taking place on an open and proper basis.</w:t>
      </w:r>
    </w:p>
    <w:p>
      <w:pPr>
        <w:spacing w:after="0" w:line="159" w:lineRule="exact"/>
        <w:rPr>
          <w:sz w:val="20"/>
          <w:szCs w:val="20"/>
          <w:color w:val="auto"/>
        </w:rPr>
      </w:pPr>
    </w:p>
    <w:p>
      <w:pPr>
        <w:ind w:left="1860" w:right="20" w:hanging="734"/>
        <w:spacing w:after="0" w:line="269" w:lineRule="auto"/>
        <w:tabs>
          <w:tab w:leader="none" w:pos="18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not refuse to register a transfer of a certificated share to or from Cede &amp; Co. unless the registration of such transfer would be contrary to the provisions of these articles or applicable legislation.</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instruments of transfer which are registered may be retained by the Company, but any instrument of transfer which the Board refuses to register shall (except in any case where fraud or any other crime involving dishonesty is suspected in relation to such transfer) be returned to the person presenting it.</w:t>
      </w:r>
    </w:p>
    <w:p>
      <w:pPr>
        <w:spacing w:after="0" w:line="156"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provisions relating to transfers</w:t>
      </w:r>
    </w:p>
    <w:p>
      <w:pPr>
        <w:spacing w:after="0" w:line="233"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fee shall be charged for registration of a transfer or other document or instruction relating to or affecting the title to any share.</w:t>
      </w:r>
    </w:p>
    <w:p>
      <w:pPr>
        <w:spacing w:after="0" w:line="159"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transferor shall be deemed to remain the holder of the share until the name of the transferee is entered in the register in respect of the share.</w:t>
      </w:r>
    </w:p>
    <w:p>
      <w:pPr>
        <w:spacing w:after="0" w:line="159"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these articles shall preclude the Board from recognising a renunciation of the allotment of any share by the allottee in favour of some other person.</w:t>
      </w:r>
    </w:p>
    <w:p>
      <w:pPr>
        <w:spacing w:after="0" w:line="15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21(c), unless otherwise agreed by the Board in any particular case, the maximum number of persons who may be entered on the register as joint holders of a share is four.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29" w:name="page30"/>
    <w:bookmarkEnd w:id="29"/>
    <w:p>
      <w:pPr>
        <w:ind w:left="840" w:hanging="747"/>
        <w:spacing w:after="0"/>
        <w:tabs>
          <w:tab w:leader="none" w:pos="840"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Notice of refusal</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09" w:right="1440" w:bottom="1440" w:gutter="0" w:footer="0" w:header="0"/>
        </w:sectPr>
      </w:pPr>
    </w:p>
    <w:bookmarkStart w:id="30" w:name="page31"/>
    <w:bookmarkEnd w:id="30"/>
    <w:p>
      <w:pPr>
        <w:spacing w:after="0" w:line="149" w:lineRule="exact"/>
        <w:rPr>
          <w:sz w:val="20"/>
          <w:szCs w:val="20"/>
          <w:color w:val="auto"/>
        </w:rPr>
      </w:pPr>
    </w:p>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If the Board refuses to register a transfer of a certificated share it shall, as soon as practicable and in any event within two months after the date on which the instrument of transfer was lodged, give to the transferor and the transferee notice of the refusal together with its reasons for refusal. The Board shall provide the transferor and/or the transferee with such further information about the reasons for the refusal as the transferor and/or the transferee may reasonably request.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TRANSMISSION OF SHARES</w:t>
      </w:r>
    </w:p>
    <w:p>
      <w:pPr>
        <w:spacing w:after="0" w:line="229" w:lineRule="exact"/>
        <w:rPr>
          <w:sz w:val="20"/>
          <w:szCs w:val="20"/>
          <w:color w:val="auto"/>
        </w:rPr>
      </w:pPr>
    </w:p>
    <w:p>
      <w:pPr>
        <w:ind w:left="840" w:hanging="747"/>
        <w:spacing w:after="0"/>
        <w:tabs>
          <w:tab w:leader="none" w:pos="8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Transmission on death</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member dies, the survivor, where the deceased was a joint holder, and the member's personal representatives where the member was a sole or the only surviving holder, shall be the only person or persons recognised by the Company as having any title to the member's shares; but nothing in these articles shall release the estate of a deceased holder from any liability in respect of any share held by the member solely or jointly.</w:t>
      </w:r>
    </w:p>
    <w:p>
      <w:pPr>
        <w:spacing w:after="0" w:line="17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of person entitled by transmission</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becoming entitled to a share in consequence of the death or bankruptcy of a member or of any other event giving rise to a transmission by operation of law may, on producing such evidence as the Board may require and subject as provided in this article, elect either to be registered personally as the holder of the share or to nominate some other person to be registered as the holder of the share.</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elects to be registered personally, the person shall give notice to the Company to that effect. If the person elects to have another person registered, the first person shall execute a transfer of the share to that other person or shall execute such other document or take such other action as the Board may require to enable that other person to be registered.</w:t>
      </w:r>
    </w:p>
    <w:p>
      <w:pPr>
        <w:spacing w:after="0" w:line="166"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these articles relating to the transfer of shares shall apply to the notice or instrument of transfer or other document or action as if it were a transfer effected by the person from whom the title by transmission is derived and the event giving rise to such transmission had not occurred.</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of person entitled by transmission</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becoming entitled to a share in consequence of a death or bankruptcy or of any other event giving rise to a transmission by operation of law shall (upon supplying to the Company such evidence as the Board may reasonably require to show his title to the share) have the right to receive and give a discharge for any dividends or other moneys payable in respect of the share and shall have the same rights in relation to the share as the person would have if the person were the holder except that, until the person becomes the holder, the person shall not be entitled to attend or vote at any general meeting of the Company.</w:t>
      </w:r>
    </w:p>
    <w:p>
      <w:pPr>
        <w:spacing w:after="0" w:line="22"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at any time give notice requiring any such person to elect either to be registered personally or to transfer the share and, if after 90 days the notice has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1" w:name="page32"/>
    <w:bookmarkEnd w:id="31"/>
    <w:p>
      <w:pPr>
        <w:ind w:left="1860"/>
        <w:spacing w:after="0" w:line="269" w:lineRule="auto"/>
        <w:rPr>
          <w:sz w:val="20"/>
          <w:szCs w:val="20"/>
          <w:color w:val="auto"/>
        </w:rPr>
      </w:pPr>
      <w:r>
        <w:rPr>
          <w:rFonts w:ascii="Times New Roman" w:cs="Times New Roman" w:eastAsia="Times New Roman" w:hAnsi="Times New Roman"/>
          <w:sz w:val="20"/>
          <w:szCs w:val="20"/>
          <w:color w:val="auto"/>
        </w:rPr>
        <w:t>not been complied with, the Board may withhold payment of all dividends or other moneys payable in respect of the share until the requirements of the notice have been complied 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13" w:right="479" w:bottom="1440" w:gutter="0" w:footer="0" w:header="0"/>
        </w:sectPr>
      </w:pPr>
    </w:p>
    <w:bookmarkStart w:id="32" w:name="page33"/>
    <w:bookmarkEnd w:id="32"/>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DISCLOSURE OF INTERESTS IN SHARES</w:t>
      </w:r>
    </w:p>
    <w:p>
      <w:pPr>
        <w:spacing w:after="0" w:line="216" w:lineRule="exact"/>
        <w:rPr>
          <w:sz w:val="20"/>
          <w:szCs w:val="20"/>
          <w:color w:val="auto"/>
        </w:rPr>
      </w:pPr>
    </w:p>
    <w:p>
      <w:pPr>
        <w:ind w:left="840" w:hanging="747"/>
        <w:spacing w:after="0"/>
        <w:tabs>
          <w:tab w:leader="none" w:pos="8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Disenfranchisement</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6" w:lineRule="auto"/>
        <w:tabs>
          <w:tab w:leader="none" w:pos="186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or any other person appearing to be interested in, any share has been given notice under section 793 of the 2006 Act (a </w:t>
      </w:r>
      <w:r>
        <w:rPr>
          <w:rFonts w:ascii="Times New Roman" w:cs="Times New Roman" w:eastAsia="Times New Roman" w:hAnsi="Times New Roman"/>
          <w:sz w:val="20"/>
          <w:szCs w:val="20"/>
          <w:b w:val="1"/>
          <w:bCs w:val="1"/>
          <w:color w:val="auto"/>
        </w:rPr>
        <w:t>section 793 notice</w:t>
      </w:r>
      <w:r>
        <w:rPr>
          <w:rFonts w:ascii="Times New Roman" w:cs="Times New Roman" w:eastAsia="Times New Roman" w:hAnsi="Times New Roman"/>
          <w:sz w:val="20"/>
          <w:szCs w:val="20"/>
          <w:color w:val="auto"/>
        </w:rPr>
        <w:t xml:space="preserve">) and has failed in relation to that share (the </w:t>
      </w:r>
      <w:r>
        <w:rPr>
          <w:rFonts w:ascii="Times New Roman" w:cs="Times New Roman" w:eastAsia="Times New Roman" w:hAnsi="Times New Roman"/>
          <w:sz w:val="20"/>
          <w:szCs w:val="20"/>
          <w:b w:val="1"/>
          <w:bCs w:val="1"/>
          <w:color w:val="auto"/>
        </w:rPr>
        <w:t>default share</w:t>
      </w:r>
      <w:r>
        <w:rPr>
          <w:rFonts w:ascii="Times New Roman" w:cs="Times New Roman" w:eastAsia="Times New Roman" w:hAnsi="Times New Roman"/>
          <w:sz w:val="20"/>
          <w:szCs w:val="20"/>
          <w:color w:val="auto"/>
        </w:rPr>
        <w:t>) to give the Company the information required by that notice within the prescribed period from the date of service of the notice, the restrictions referred to below shall apply (provided that the Board may waive those restrictions in whole or in part at any time).</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while any of the restrictions referred to below apply to a share, another share is allotted in right of it (or in right of any share to which this article applies), the same restrictions shall apply to that other share as if it were a default share.</w:t>
      </w:r>
    </w:p>
    <w:p>
      <w:pPr>
        <w:spacing w:after="0" w:line="174"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referred to above are as follows:</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referred to above are as follows:</w:t>
      </w:r>
    </w:p>
    <w:p>
      <w:pPr>
        <w:spacing w:after="0" w:line="229" w:lineRule="exact"/>
        <w:rPr>
          <w:rFonts w:ascii="Times New Roman" w:cs="Times New Roman" w:eastAsia="Times New Roman" w:hAnsi="Times New Roman"/>
          <w:sz w:val="20"/>
          <w:szCs w:val="20"/>
          <w:color w:val="auto"/>
        </w:rPr>
      </w:pPr>
    </w:p>
    <w:p>
      <w:pPr>
        <w:ind w:left="3080" w:right="20" w:hanging="741"/>
        <w:spacing w:after="0" w:line="269" w:lineRule="auto"/>
        <w:tabs>
          <w:tab w:leader="none" w:pos="3080" w:val="left"/>
        </w:tabs>
        <w:numPr>
          <w:ilvl w:val="3"/>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the default shares shall not be entitled in respect of those shares to attend or vote at any general meeting or any separate meeting of the holders on that class of shares or on a poll;</w:t>
      </w:r>
    </w:p>
    <w:p>
      <w:pPr>
        <w:spacing w:after="0" w:line="145" w:lineRule="exact"/>
        <w:rPr>
          <w:rFonts w:ascii="Times New Roman" w:cs="Times New Roman" w:eastAsia="Times New Roman" w:hAnsi="Times New Roman"/>
          <w:sz w:val="20"/>
          <w:szCs w:val="20"/>
          <w:color w:val="auto"/>
        </w:rPr>
      </w:pPr>
    </w:p>
    <w:p>
      <w:pPr>
        <w:jc w:val="both"/>
        <w:ind w:left="3080" w:hanging="741"/>
        <w:spacing w:after="0" w:line="254" w:lineRule="auto"/>
        <w:tabs>
          <w:tab w:leader="none" w:pos="3080" w:val="left"/>
        </w:tabs>
        <w:numPr>
          <w:ilvl w:val="3"/>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where the default shares in which any one person is interested or appears to the Company to be interested represent 0.25 per cent or more in nominal value of the issued shares of their class:</w:t>
      </w:r>
    </w:p>
    <w:p>
      <w:pPr>
        <w:spacing w:after="0" w:line="174" w:lineRule="exact"/>
        <w:rPr>
          <w:sz w:val="20"/>
          <w:szCs w:val="20"/>
          <w:color w:val="auto"/>
        </w:rPr>
      </w:pPr>
    </w:p>
    <w:p>
      <w:pPr>
        <w:jc w:val="both"/>
        <w:ind w:left="3820" w:hanging="732"/>
        <w:spacing w:after="0" w:line="249" w:lineRule="auto"/>
        <w:tabs>
          <w:tab w:leader="none" w:pos="38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dividend or other money which would otherwise be payable in respect of the default shares shall be retained by the Company without any liability to pay interest on it when such dividend or other money is finally paid to the member and the member shall not be entitled to receive shares in lieu of any dividend; and</w:t>
      </w:r>
    </w:p>
    <w:p>
      <w:pPr>
        <w:spacing w:after="0" w:line="180" w:lineRule="exact"/>
        <w:rPr>
          <w:sz w:val="20"/>
          <w:szCs w:val="20"/>
          <w:color w:val="auto"/>
        </w:rPr>
      </w:pPr>
    </w:p>
    <w:p>
      <w:pPr>
        <w:jc w:val="both"/>
        <w:ind w:left="3820" w:hanging="732"/>
        <w:spacing w:after="0" w:line="245" w:lineRule="auto"/>
        <w:tabs>
          <w:tab w:leader="none" w:pos="382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 of any shares held by the member shall be registered unless: (a) the holder is not himself in default as regards supplying the information required and the holder provides evidence to the satisfaction of the Board that no person in default as regards supplying such information is interested in any of the shares which are the subject of the transfer, or (b) the transfer is an approved transfer, or (c) registration of the transfer is required by the Uncertificated Securities Regulations.</w:t>
      </w:r>
    </w:p>
    <w:p>
      <w:pPr>
        <w:spacing w:after="0" w:line="45"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For the purposes of this article: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3" w:name="page34"/>
    <w:bookmarkEnd w:id="33"/>
    <w:p>
      <w:pPr>
        <w:spacing w:after="0" w:line="135" w:lineRule="exact"/>
        <w:rPr>
          <w:sz w:val="20"/>
          <w:szCs w:val="20"/>
          <w:color w:val="auto"/>
        </w:rPr>
      </w:pPr>
    </w:p>
    <w:p>
      <w:pPr>
        <w:jc w:val="both"/>
        <w:ind w:left="2340" w:hanging="750"/>
        <w:spacing w:after="0" w:line="249" w:lineRule="auto"/>
        <w:tabs>
          <w:tab w:leader="none" w:pos="234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under any section 793 notice and any other relevant information) knows or has reasonable cause to believe that the person is, or may be, so interested;</w:t>
      </w:r>
    </w:p>
    <w:p>
      <w:pPr>
        <w:spacing w:after="0" w:line="17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approved transfer in relation to any shares is a transfer under:</w:t>
      </w:r>
    </w:p>
    <w:p>
      <w:pPr>
        <w:spacing w:after="0" w:line="229"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3"/>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takeover offer (within the meaning of section 974 of the 2006 Act) which relates to the share; or</w:t>
      </w:r>
    </w:p>
    <w:p>
      <w:pPr>
        <w:spacing w:after="0" w:line="215" w:lineRule="exact"/>
        <w:rPr>
          <w:rFonts w:ascii="Times New Roman" w:cs="Times New Roman" w:eastAsia="Times New Roman" w:hAnsi="Times New Roman"/>
          <w:sz w:val="20"/>
          <w:szCs w:val="20"/>
          <w:color w:val="auto"/>
        </w:rPr>
      </w:pPr>
    </w:p>
    <w:p>
      <w:pPr>
        <w:jc w:val="both"/>
        <w:ind w:left="3080" w:hanging="741"/>
        <w:spacing w:after="0" w:line="254" w:lineRule="auto"/>
        <w:tabs>
          <w:tab w:leader="none" w:pos="3080" w:val="left"/>
        </w:tabs>
        <w:numPr>
          <w:ilvl w:val="3"/>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made through a recognised investment exchange (as defined in section 285 of the Financial Services and Markets Act 2000) or any other stock exchange or market outside the United Kingdom on which shares of that class are normally traded; or</w:t>
      </w:r>
    </w:p>
    <w:p>
      <w:pPr>
        <w:spacing w:after="0" w:line="174" w:lineRule="exact"/>
        <w:rPr>
          <w:rFonts w:ascii="Times New Roman" w:cs="Times New Roman" w:eastAsia="Times New Roman" w:hAnsi="Times New Roman"/>
          <w:sz w:val="20"/>
          <w:szCs w:val="20"/>
          <w:color w:val="auto"/>
        </w:rPr>
      </w:pPr>
    </w:p>
    <w:p>
      <w:pPr>
        <w:jc w:val="both"/>
        <w:ind w:left="3080" w:hanging="741"/>
        <w:spacing w:after="0" w:line="254" w:lineRule="auto"/>
        <w:tabs>
          <w:tab w:leader="none" w:pos="3080" w:val="left"/>
        </w:tabs>
        <w:numPr>
          <w:ilvl w:val="3"/>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bona fide sale of the whole of the beneficial interest in the shares to a person whom the Board is satisfied is unconnected with the member or with any other person appearing to be interested in the share; and</w:t>
      </w:r>
    </w:p>
    <w:p>
      <w:pPr>
        <w:spacing w:after="0" w:line="174"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of issued shares of a class represented by a particular holding shall be calculated by reference to the shares in issue at the time that the section 793 notice is served.</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Services of notices on non-members and Depositaries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section 793 notice is given by the Company to a person appearing to be interested in any share, a copy of the notice shall be given to the holder at the same time, but the failure or omission to do so, or the non-receipt by that person of the copy, shall not prejudice the operation of this article.</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default shares in which a person appears to be interested are held by a Depositary or Employee Trustee, the provisions of articles 27 and 28 shall be treated as applying only to those shares held by the Depositary or Employee Trustee in which such person appears to be interested and not (insofar as such person’s apparent interest is concerned) to any other shares held by the Depositary or Employee Trustee and references to default share or default shares shall be construed accordingly.</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member on whom a section 793 notice has been served is a Depositary or Employee Trustee, the obligations of the Depositary or Employee Trustee (acting solely in the Depositary's or Employee Trustee's capacity as such) shall be limited to disclosing to the Company such information relating to any person appearing to be interested in the shares held by it as has been recorded by the Depositary or Employee Trustee and the provision of such information shall be at the Company's cost.</w:t>
      </w:r>
    </w:p>
    <w:p>
      <w:pPr>
        <w:spacing w:after="0" w:line="18"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Cessation of disenfranchisement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4" w:name="page35"/>
    <w:bookmarkEnd w:id="34"/>
    <w:p>
      <w:pPr>
        <w:spacing w:after="0" w:line="149" w:lineRule="exact"/>
        <w:rPr>
          <w:sz w:val="20"/>
          <w:szCs w:val="20"/>
          <w:color w:val="auto"/>
        </w:rPr>
      </w:pPr>
    </w:p>
    <w:p>
      <w:pPr>
        <w:ind w:left="820"/>
        <w:spacing w:after="0" w:line="269" w:lineRule="auto"/>
        <w:rPr>
          <w:sz w:val="20"/>
          <w:szCs w:val="20"/>
          <w:color w:val="auto"/>
        </w:rPr>
      </w:pPr>
      <w:r>
        <w:rPr>
          <w:rFonts w:ascii="Times New Roman" w:cs="Times New Roman" w:eastAsia="Times New Roman" w:hAnsi="Times New Roman"/>
          <w:sz w:val="20"/>
          <w:szCs w:val="20"/>
          <w:color w:val="auto"/>
        </w:rPr>
        <w:t>The sanctions under article 27 shall have effect for the period determined by the Board being not more than seven days after the earlier of:</w:t>
      </w:r>
    </w:p>
    <w:p>
      <w:pPr>
        <w:spacing w:after="0" w:line="159" w:lineRule="exact"/>
        <w:rPr>
          <w:sz w:val="20"/>
          <w:szCs w:val="20"/>
          <w:color w:val="auto"/>
        </w:rPr>
      </w:pPr>
    </w:p>
    <w:p>
      <w:pPr>
        <w:ind w:left="1860" w:right="20" w:hanging="734"/>
        <w:spacing w:after="0" w:line="269" w:lineRule="auto"/>
        <w:tabs>
          <w:tab w:leader="none" w:pos="186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being notified that the default shares have been transferred under an approved transfer or otherwise in accordance with article 27(c)(i)(B)II; or</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required by the section 793 notice has been received in writing by the Company to the satisfaction of the Board at the address supplied by the Company in the section 793 notice or otherwise expressly supplied by the Company for the purpose of receiving such information.</w:t>
      </w:r>
    </w:p>
    <w:p>
      <w:pPr>
        <w:spacing w:after="0" w:line="174"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dividend or other distribution is withheld under article 27(c)(i)(B)I above, the member shall be entitled to receive it as soon as practicable after the sanction ceases to apply.</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Conversion of uncertificated shares</w:t>
      </w:r>
    </w:p>
    <w:p>
      <w:pPr>
        <w:spacing w:after="0" w:line="219"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exercise any of its powers under article 17in respect of any default share that is held in uncertificated form.</w:t>
      </w:r>
    </w:p>
    <w:p>
      <w:pPr>
        <w:spacing w:after="0" w:line="211"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794 and 795 of the 2006 Act</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of articles 22 to 25 are without prejudice to the provisions of section 794 and 795 of the 2006 Act, and in particular the Company may apply to the Court under section 794(1) of the 2006 Act whether or not these provisions apply or have been applied.</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GENERAL MEETINGS</w:t>
      </w:r>
    </w:p>
    <w:p>
      <w:pPr>
        <w:spacing w:after="0" w:line="229" w:lineRule="exact"/>
        <w:rPr>
          <w:sz w:val="20"/>
          <w:szCs w:val="20"/>
          <w:color w:val="auto"/>
        </w:rPr>
      </w:pPr>
    </w:p>
    <w:p>
      <w:pPr>
        <w:ind w:left="840" w:hanging="747"/>
        <w:spacing w:after="0"/>
        <w:tabs>
          <w:tab w:leader="none" w:pos="8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meetings</w:t>
      </w:r>
    </w:p>
    <w:p>
      <w:pPr>
        <w:spacing w:after="0" w:line="219" w:lineRule="exact"/>
        <w:rPr>
          <w:rFonts w:ascii="Times New Roman" w:cs="Times New Roman" w:eastAsia="Times New Roman" w:hAnsi="Times New Roman"/>
          <w:sz w:val="20"/>
          <w:szCs w:val="20"/>
          <w:b w:val="1"/>
          <w:bCs w:val="1"/>
          <w:color w:val="auto"/>
        </w:rPr>
      </w:pPr>
    </w:p>
    <w:p>
      <w:pPr>
        <w:ind w:left="1880" w:hanging="754"/>
        <w:spacing w:after="0"/>
        <w:tabs>
          <w:tab w:leader="none" w:pos="18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determine whether any general meeting is to be held as:</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physical general meeting; or</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electronic general meeting; or</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hybrid general meeting.</w:t>
      </w:r>
    </w:p>
    <w:p>
      <w:pPr>
        <w:spacing w:after="0" w:line="215"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make whatever arrangements it considers fit to allow those entitled to do so to participate in any general meeting. In the case of an electronic general meeting, the Board need only make arrangements for those entitled to do so to participate electronically (and need not make any provision for attendance at any physical venue).</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in the notice of meeting; decided by the Board in accordance with article 33(a)(ii); or determined by the chair of the meeting either pursuant to article 33(a)(iii) or otherwise, a general meeting is deemed to take place at the place where the chair of the meeting is at the time of the meeting.</w:t>
      </w:r>
    </w:p>
    <w:p>
      <w:pPr>
        <w:spacing w:after="0" w:line="12"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or more persons who may not be in the same place as each other attend 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5" w:name="page36"/>
    <w:bookmarkEnd w:id="35"/>
    <w:p>
      <w:pPr>
        <w:ind w:left="1860" w:right="20"/>
        <w:spacing w:after="0" w:line="269" w:lineRule="auto"/>
        <w:rPr>
          <w:sz w:val="20"/>
          <w:szCs w:val="20"/>
          <w:color w:val="auto"/>
        </w:rPr>
      </w:pPr>
      <w:r>
        <w:rPr>
          <w:rFonts w:ascii="Times New Roman" w:cs="Times New Roman" w:eastAsia="Times New Roman" w:hAnsi="Times New Roman"/>
          <w:sz w:val="20"/>
          <w:szCs w:val="20"/>
          <w:color w:val="auto"/>
        </w:rPr>
        <w:t>general meeting if their circumstances are such that if they have rights to speak and vote at that meeting, they are able to exercise them, and are able to hear the other attendees.</w:t>
      </w:r>
    </w:p>
    <w:p>
      <w:pPr>
        <w:spacing w:after="0" w:line="159" w:lineRule="exact"/>
        <w:rPr>
          <w:sz w:val="20"/>
          <w:szCs w:val="20"/>
          <w:color w:val="auto"/>
        </w:rPr>
      </w:pPr>
    </w:p>
    <w:p>
      <w:pPr>
        <w:ind w:left="1860" w:hanging="734"/>
        <w:spacing w:after="0"/>
        <w:tabs>
          <w:tab w:leader="none" w:pos="18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is present at a general meeting if the person attends it in accordance with the provisions of these articles.</w:t>
      </w:r>
    </w:p>
    <w:p>
      <w:pPr>
        <w:spacing w:after="0" w:line="215"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is able to participate in a meeting if the person's circumstances are such that if the person has rights in relation to the meeting, the person is able to exercise them.</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whether persons are attending or participating in a meeting, other than a physical general meeting, it is immaterial where any of them are or how they are able to communicate with each other, provided they can hear each other speak.</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is able to exercise the right to speak at a general meeting when the chair of the meeting is satisfied that arrangements are in place so as to enable that person to communicate by speaking to all those attending the meeting, during the meeting, any information or opinions which that person has on the business of the meeting.</w:t>
      </w:r>
    </w:p>
    <w:p>
      <w:pPr>
        <w:spacing w:after="0" w:line="174"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is able to exercise the right to vote at a general meeting when:</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person is able to vote, during the meeting, on resolutions put to the vote at the meeting; and</w:t>
      </w:r>
    </w:p>
    <w:p>
      <w:pPr>
        <w:spacing w:after="0" w:line="229"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person's vote can be taken into account in determining whether or not such resolutions are passed at the same time as the votes of all the other persons attending the meeting.</w:t>
      </w:r>
    </w:p>
    <w:p>
      <w:pPr>
        <w:spacing w:after="0" w:line="14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Meeting at more than one place or in more than one format</w:t>
      </w:r>
    </w:p>
    <w:p>
      <w:pPr>
        <w:spacing w:after="0" w:line="233"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general meeting may be held at more than one place, or may be participated in in more than one way, if:</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convening the meeting so specifies; or</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resolves, after the notice convening the meeting has been given, that:</w:t>
      </w:r>
    </w:p>
    <w:p>
      <w:pPr>
        <w:spacing w:after="0" w:line="215" w:lineRule="exact"/>
        <w:rPr>
          <w:rFonts w:ascii="Times New Roman" w:cs="Times New Roman" w:eastAsia="Times New Roman" w:hAnsi="Times New Roman"/>
          <w:sz w:val="20"/>
          <w:szCs w:val="20"/>
          <w:color w:val="auto"/>
        </w:rPr>
      </w:pPr>
    </w:p>
    <w:p>
      <w:pPr>
        <w:ind w:left="3080" w:right="20" w:hanging="741"/>
        <w:spacing w:after="0" w:line="269" w:lineRule="auto"/>
        <w:tabs>
          <w:tab w:leader="none" w:pos="3080" w:val="left"/>
        </w:tabs>
        <w:numPr>
          <w:ilvl w:val="3"/>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meeting shall be held at one or more than one place in addition to any place or places specified in the notice; or</w:t>
      </w:r>
    </w:p>
    <w:p>
      <w:pPr>
        <w:spacing w:after="0" w:line="159"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3"/>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arrangements will also be made for attendance and participation electronically; or</w:t>
      </w:r>
    </w:p>
    <w:p>
      <w:pPr>
        <w:spacing w:after="0" w:line="215"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appears to the chair of the meeting that the place of the meeting specified in the notice convening the meeting is inadequate to accommodate all persons entitled and wishing to attend at that place.</w:t>
      </w:r>
    </w:p>
    <w:p>
      <w:pPr>
        <w:spacing w:after="0" w:line="159"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general meeting held at more than one place or participated in in more than one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36" w:name="page37"/>
    <w:bookmarkEnd w:id="36"/>
    <w:p>
      <w:pPr>
        <w:spacing w:after="0" w:line="135"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20"/>
          <w:szCs w:val="20"/>
          <w:color w:val="auto"/>
        </w:rPr>
        <w:t>way in accordance with paragraph (a) above, is duly constituted and its proceedings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7" w:name="page38"/>
    <w:bookmarkEnd w:id="37"/>
    <w:p>
      <w:pPr>
        <w:jc w:val="both"/>
        <w:ind w:left="1880"/>
        <w:spacing w:after="0" w:line="274" w:lineRule="auto"/>
        <w:rPr>
          <w:sz w:val="20"/>
          <w:szCs w:val="20"/>
          <w:color w:val="auto"/>
        </w:rPr>
      </w:pPr>
      <w:r>
        <w:rPr>
          <w:rFonts w:ascii="Times New Roman" w:cs="Times New Roman" w:eastAsia="Times New Roman" w:hAnsi="Times New Roman"/>
          <w:sz w:val="19"/>
          <w:szCs w:val="19"/>
          <w:color w:val="auto"/>
        </w:rPr>
        <w:t>are valid if (in addition to the other provisions of these articles relating to general meetings being satisfied) the chair of the meeting is satisfied that facilities (whether electronic or otherwise) are available to enable each person present at each place and/or attending or participating in it electronically to participate in the business of the meeting.</w:t>
      </w:r>
    </w:p>
    <w:p>
      <w:pPr>
        <w:spacing w:after="0" w:line="156" w:lineRule="exact"/>
        <w:rPr>
          <w:sz w:val="20"/>
          <w:szCs w:val="20"/>
          <w:color w:val="auto"/>
        </w:rPr>
      </w:pPr>
    </w:p>
    <w:p>
      <w:pPr>
        <w:jc w:val="both"/>
        <w:ind w:left="1860" w:hanging="734"/>
        <w:spacing w:after="0" w:line="254" w:lineRule="auto"/>
        <w:tabs>
          <w:tab w:leader="none" w:pos="186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who is present at any place of the meeting or who is attending it electronically, and who would be entitled to count towards the quorum in accordance with the provisions of article 40 shall be counted in the quorum for, and shall be entitled to vote at, the meeting.</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Hybrid meetings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at article 33, the directors may decide to enable persons entitled to attend a meeting to do so by either electronic means or physical attendance at the hybrid meeting. Members or their proxies present shall be counted in the quorum for, and entitled to vote at, the general meeting in question, and that meeting shall be duly constituted and its proceedings valid if the chair of the meeting is satisfied that adequate facilities are available throughout the hybrid meeting to ensure that members or their proxies attending the hybrid meeting who are not present together at the same place may:</w:t>
      </w:r>
    </w:p>
    <w:p>
      <w:pPr>
        <w:spacing w:after="0" w:line="170"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participate in the business for which the meeting has been convened;</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hear all persons who speak at the meeting; and</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heard by all other persons present at the meeting.</w:t>
      </w:r>
    </w:p>
    <w:p>
      <w:pPr>
        <w:spacing w:after="0" w:line="22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appears to the chair of the meeting that the electronic platform(s), facilities or security at the hybrid meeting have become inadequate for the purposes referred to in article 34(a), then the chair may, without the consent of the meeting, interrupt or adjourn the general meeting. All business conducted at that general meeting up to the time of that adjournment shall be valid and the relevant provisions of these articles shall apply to that adjournment.</w:t>
      </w:r>
    </w:p>
    <w:p>
      <w:pPr>
        <w:spacing w:after="0" w:line="162"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general meetings</w:t>
      </w:r>
    </w:p>
    <w:p>
      <w:pPr>
        <w:spacing w:after="0" w:line="233"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shall convene and the Company shall hold annual general meetings in accordance with the Statutes.</w:t>
      </w:r>
    </w:p>
    <w:p>
      <w:pPr>
        <w:spacing w:after="0" w:line="211"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Convening of general meetings other than annual general meetings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convene a general meeting other than an annual general meeting whenever it thinks fit.</w:t>
      </w:r>
    </w:p>
    <w:p>
      <w:pPr>
        <w:spacing w:after="0" w:line="215"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general meeting may also be convened in accordance with article 79.</w:t>
      </w:r>
    </w:p>
    <w:p>
      <w:pPr>
        <w:spacing w:after="0" w:line="22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general meeting shall also be convened by the Board on the requisition of members under the Statutes or, in default, may be convened by such requisitionists, as provided by the Statutes.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38" w:name="page39"/>
    <w:bookmarkEnd w:id="38"/>
    <w:p>
      <w:pPr>
        <w:jc w:val="both"/>
        <w:ind w:left="1860" w:hanging="734"/>
        <w:spacing w:after="0" w:line="254" w:lineRule="auto"/>
        <w:tabs>
          <w:tab w:leader="none" w:pos="186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comply with the Statutes regarding the giving and the circulation, on the requisition of members, of notices of resolutions and of statements with respect to matters relating to any resolution to be proposed or business to be dealt with at any general meeting of the Company.</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Separate general meetings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39" w:name="page40"/>
    <w:bookmarkEnd w:id="39"/>
    <w:p>
      <w:pPr>
        <w:spacing w:after="0" w:line="149" w:lineRule="exact"/>
        <w:rPr>
          <w:sz w:val="20"/>
          <w:szCs w:val="20"/>
          <w:color w:val="auto"/>
        </w:rPr>
      </w:pPr>
    </w:p>
    <w:p>
      <w:pPr>
        <w:jc w:val="both"/>
        <w:ind w:left="840"/>
        <w:spacing w:after="0" w:line="246" w:lineRule="auto"/>
        <w:rPr>
          <w:sz w:val="20"/>
          <w:szCs w:val="20"/>
          <w:color w:val="auto"/>
        </w:rPr>
      </w:pPr>
      <w:r>
        <w:rPr>
          <w:rFonts w:ascii="Times New Roman" w:cs="Times New Roman" w:eastAsia="Times New Roman" w:hAnsi="Times New Roman"/>
          <w:sz w:val="20"/>
          <w:szCs w:val="20"/>
          <w:color w:val="auto"/>
        </w:rPr>
        <w:t xml:space="preserve">Subject to these articles and to any rights for the time being attached to any class of shares in the Company, the provisions of these articles relating to general meetings of the Company (including, for the avoidance of doubt, provisions relating to the proceedings at general meetings or to the rights of any person to attend or vote or be represented at general meetings or to any restrictions on these rights)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in relation to every separate general meeting of the holders of any class of shares in the Company.</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NOTICE OF GENERAL MEETINGS</w:t>
      </w:r>
    </w:p>
    <w:p>
      <w:pPr>
        <w:spacing w:after="0" w:line="216" w:lineRule="exact"/>
        <w:rPr>
          <w:sz w:val="20"/>
          <w:szCs w:val="20"/>
          <w:color w:val="auto"/>
        </w:rPr>
      </w:pPr>
    </w:p>
    <w:p>
      <w:pPr>
        <w:ind w:left="840" w:hanging="747"/>
        <w:spacing w:after="0"/>
        <w:tabs>
          <w:tab w:leader="none" w:pos="8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Length, form and content of notice</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an annual general meeting shall be called by not less than 21 clear days' notice and all other general meetings shall be called by not less than 14 clear days' notice or by not less than such minimum notice period as is permitted by the Statutes.</w:t>
      </w:r>
    </w:p>
    <w:p>
      <w:pPr>
        <w:spacing w:after="0" w:line="174" w:lineRule="exact"/>
        <w:rPr>
          <w:rFonts w:ascii="Times New Roman" w:cs="Times New Roman" w:eastAsia="Times New Roman" w:hAnsi="Times New Roman"/>
          <w:sz w:val="20"/>
          <w:szCs w:val="20"/>
          <w:color w:val="auto"/>
        </w:rPr>
      </w:pPr>
    </w:p>
    <w:p>
      <w:pPr>
        <w:jc w:val="both"/>
        <w:ind w:left="1860" w:right="20" w:hanging="734"/>
        <w:spacing w:after="0" w:line="254" w:lineRule="auto"/>
        <w:tabs>
          <w:tab w:leader="none" w:pos="186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every general meeting shall be given to all members other than any who, under these articles or the terms of issue of the shares they hold, are not entitled to receive such notices from the Company, and also to the auditors (or, if more than one, each of them) and to each director.</w:t>
      </w:r>
    </w:p>
    <w:p>
      <w:pPr>
        <w:spacing w:after="0" w:line="174"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(including any notice given by means of a website) shall comply with all applicable requirements in the Statutes and shall specify whether the meeting will be an annual general meeting.</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provisions of article 33(a), if it is anticipated that a meeting will be conducted as an electronic general meeting, the notice of meeting shall state how it is proposed that persons attending or participating in the meeting electronically should communicate with the meeting.</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Omission or non-receipt of notice</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accidental omission to give notice of a general meeting or to send an instrument of proxy (where this is intended to be sent out with the notice) to, or the non-receipt of the notice or instrument of proxy (as applicable) by, any person entitled to receive the same shall not invalidate the proceedings of that meeting.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PROCEEDINGS AT GENERAL MEETINGS</w:t>
      </w:r>
    </w:p>
    <w:p>
      <w:pPr>
        <w:spacing w:after="0" w:line="229" w:lineRule="exact"/>
        <w:rPr>
          <w:sz w:val="20"/>
          <w:szCs w:val="20"/>
          <w:color w:val="auto"/>
        </w:rPr>
      </w:pPr>
    </w:p>
    <w:p>
      <w:pPr>
        <w:ind w:left="840" w:hanging="747"/>
        <w:spacing w:after="0"/>
        <w:tabs>
          <w:tab w:leader="none" w:pos="84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Quorum</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business (other than the appointment of a chair) shall be transacted at any general meeting unless the requisite quorum is present when the meeting proceeds to business.</w:t>
      </w:r>
    </w:p>
    <w:p>
      <w:pPr>
        <w:spacing w:after="0" w:line="172" w:lineRule="exact"/>
        <w:rPr>
          <w:rFonts w:ascii="Times New Roman" w:cs="Times New Roman" w:eastAsia="Times New Roman" w:hAnsi="Times New Roman"/>
          <w:sz w:val="20"/>
          <w:szCs w:val="20"/>
          <w:color w:val="auto"/>
        </w:rPr>
      </w:pPr>
    </w:p>
    <w:p>
      <w:pPr>
        <w:jc w:val="both"/>
        <w:ind w:left="1860" w:hanging="734"/>
        <w:spacing w:after="0" w:line="243" w:lineRule="auto"/>
        <w:tabs>
          <w:tab w:leader="none" w:pos="18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persons entitled to vote upon the business to be transacted, each being a member, the proxy of a member (and for this purpose if more than one proxy is present for a Depository or other member each such proxy shall count as a separate person present) or a duly authorised representative of a corporation which is a member, shall be a quorum (provided that, for so longer as the Founder is the holder, directly or indirectly or Beneficial Owner of or beneficially interested in Ordinary Shares and is entitled to exercise (whether pursuant to Article 5 or otherwise) not less than 10% of the votes attaching to all shares in the capital of the Company immediately prior to the beginning of the general meeting, he must be present (for which presence as a proxy would suffice) for a general meeting to be quorate).</w:t>
      </w:r>
    </w:p>
    <w:p>
      <w:pPr>
        <w:spacing w:after="0" w:line="17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subject to the Statutes, make any physical or electronic security arrangements which it considers appropriate relating to the holding of a general meeting of the Company including, without limitation, arranging for any person attending a meeting physically to be searched and for items of personal property which may be taken into a meeting to be restricted. A director or the secretary may:</w:t>
      </w:r>
    </w:p>
    <w:p>
      <w:pPr>
        <w:spacing w:after="0" w:line="179" w:lineRule="exact"/>
        <w:rPr>
          <w:rFonts w:ascii="Times New Roman" w:cs="Times New Roman" w:eastAsia="Times New Roman" w:hAnsi="Times New Roman"/>
          <w:sz w:val="20"/>
          <w:szCs w:val="20"/>
          <w:color w:val="auto"/>
        </w:rPr>
      </w:pPr>
    </w:p>
    <w:p>
      <w:pPr>
        <w:ind w:left="2340" w:right="120" w:hanging="750"/>
        <w:spacing w:after="0" w:line="269" w:lineRule="auto"/>
        <w:tabs>
          <w:tab w:leader="none" w:pos="234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physical or electronic entry to a meeting to any person (other than the Founder) who refuses to comply with any such arrangements; and</w:t>
      </w:r>
    </w:p>
    <w:p>
      <w:pPr>
        <w:spacing w:after="0" w:line="159" w:lineRule="exact"/>
        <w:rPr>
          <w:rFonts w:ascii="Times New Roman" w:cs="Times New Roman" w:eastAsia="Times New Roman" w:hAnsi="Times New Roman"/>
          <w:sz w:val="20"/>
          <w:szCs w:val="20"/>
          <w:color w:val="auto"/>
        </w:rPr>
      </w:pPr>
    </w:p>
    <w:p>
      <w:pPr>
        <w:ind w:left="2340" w:right="800" w:hanging="750"/>
        <w:spacing w:after="0" w:line="269" w:lineRule="auto"/>
        <w:tabs>
          <w:tab w:leader="none" w:pos="234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physically or electronically eject from a meeting any person (other than the Founder) who causes the proceedings to become disorderly.</w:t>
      </w:r>
    </w:p>
    <w:p>
      <w:pPr>
        <w:spacing w:after="0" w:line="159"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electronic and/or hybrid meetings, the directors may make any arrangement and impose any requirement or restriction as is:</w:t>
      </w:r>
    </w:p>
    <w:p>
      <w:pPr>
        <w:spacing w:after="0" w:line="159" w:lineRule="exact"/>
        <w:rPr>
          <w:rFonts w:ascii="Times New Roman" w:cs="Times New Roman" w:eastAsia="Times New Roman" w:hAnsi="Times New Roman"/>
          <w:sz w:val="20"/>
          <w:szCs w:val="20"/>
          <w:color w:val="auto"/>
        </w:rPr>
      </w:pPr>
    </w:p>
    <w:p>
      <w:pPr>
        <w:ind w:left="2340" w:right="100" w:hanging="750"/>
        <w:spacing w:after="0" w:line="269" w:lineRule="auto"/>
        <w:tabs>
          <w:tab w:leader="none" w:pos="234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necessary to ensure the identification of those taking part by way of an electronic platform(s) and the security of any electronic communication; and</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proportionate to those objectives.</w:t>
      </w:r>
    </w:p>
    <w:p>
      <w:pPr>
        <w:spacing w:after="0" w:line="229" w:lineRule="exact"/>
        <w:rPr>
          <w:sz w:val="20"/>
          <w:szCs w:val="20"/>
          <w:color w:val="auto"/>
        </w:rPr>
      </w:pPr>
    </w:p>
    <w:p>
      <w:pPr>
        <w:ind w:left="1580" w:right="200"/>
        <w:spacing w:after="0" w:line="269" w:lineRule="auto"/>
        <w:rPr>
          <w:sz w:val="20"/>
          <w:szCs w:val="20"/>
          <w:color w:val="auto"/>
        </w:rPr>
      </w:pPr>
      <w:r>
        <w:rPr>
          <w:rFonts w:ascii="Times New Roman" w:cs="Times New Roman" w:eastAsia="Times New Roman" w:hAnsi="Times New Roman"/>
          <w:sz w:val="20"/>
          <w:szCs w:val="20"/>
          <w:color w:val="auto"/>
        </w:rPr>
        <w:t>In this respect, the directors may authorise any voting application, system or facility for electronic meetings or hybrid meetings as they see fit.</w:t>
      </w:r>
    </w:p>
    <w:p>
      <w:pPr>
        <w:spacing w:after="0" w:line="155" w:lineRule="exact"/>
        <w:rPr>
          <w:sz w:val="20"/>
          <w:szCs w:val="20"/>
          <w:color w:val="auto"/>
        </w:rPr>
      </w:pPr>
    </w:p>
    <w:p>
      <w:pPr>
        <w:ind w:left="840" w:hanging="747"/>
        <w:spacing w:after="0"/>
        <w:tabs>
          <w:tab w:leader="none" w:pos="84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Chair</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general meeting, the chair of the Board (if any) or, if the chair is absent or unwilling, the deputy chair (if any) of the Board or (if more than one deputy chair is present and willing) the deputy chair who has been longest in such office, shall preside as chair of the meeting. If neither the chair nor deputy chair is present and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41" w:name="page42"/>
    <w:bookmarkEnd w:id="41"/>
    <w:p>
      <w:pPr>
        <w:jc w:val="both"/>
        <w:ind w:left="1880"/>
        <w:spacing w:after="0" w:line="266" w:lineRule="auto"/>
        <w:rPr>
          <w:sz w:val="20"/>
          <w:szCs w:val="20"/>
          <w:color w:val="auto"/>
        </w:rPr>
      </w:pPr>
      <w:r>
        <w:rPr>
          <w:rFonts w:ascii="Times New Roman" w:cs="Times New Roman" w:eastAsia="Times New Roman" w:hAnsi="Times New Roman"/>
          <w:sz w:val="19"/>
          <w:szCs w:val="19"/>
          <w:color w:val="auto"/>
        </w:rPr>
        <w:t>willing, one of the other directors selected for the purpose by the directors present or, if only one director is present and willing, that director, shall preside as chair of the meeting. If no director is present within 15 minutes after the time fixed for holding the meeting or if none of the directors present are willing to preside as chair of the meeting, the members present and entitled to vote shall choose one of their number to preside as chair of the meeting.</w:t>
      </w:r>
    </w:p>
    <w:p>
      <w:pPr>
        <w:spacing w:after="0" w:line="165" w:lineRule="exact"/>
        <w:rPr>
          <w:sz w:val="20"/>
          <w:szCs w:val="20"/>
          <w:color w:val="auto"/>
        </w:rPr>
      </w:pPr>
    </w:p>
    <w:p>
      <w:pPr>
        <w:jc w:val="both"/>
        <w:ind w:left="1860" w:hanging="734"/>
        <w:spacing w:after="0" w:line="246" w:lineRule="auto"/>
        <w:tabs>
          <w:tab w:leader="none" w:pos="186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(and without prejudice to any other powers vested in the chair of a meeting) when conducting a general meeting, the chair of the meeting may make whatever arrangements and take whatever actions as the chair considers, in the chair's sole discretion, to be appropriate or conducive to the facilitation of the conduct of the business of the meeting, proportionate discussion on any item of business of the meeting, or the maintenance of good order.</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44" w:lineRule="auto"/>
        <w:tabs>
          <w:tab w:leader="none" w:pos="186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chair of a general meeting is participating in that meeting electronically and becomes disconnected from the meeting, another person (determined in accordance with the provisions of paragraph (a) above) shall preside as chair of the meeting unless and until the original chair regains electronic connection with the meeting. In the event that no replacement chair is presiding over the general meeting (and the original chair has not regained electronic connection with the meeting) 20 minutes after the original chair became disconnected from the meeting, the meeting shall be adjourned to a time and place (and/or, if appropriate, facilities for electronic attendance and participation) to be fixed by the Board.</w:t>
      </w:r>
    </w:p>
    <w:p>
      <w:pPr>
        <w:spacing w:after="0" w:line="18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to attend and speak</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shall be entitled to attend and speak at any general meeting of the Company whether or not the director is a member.</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 may invite any person to attend and speak at any general meeting of the Company if the chair considers that such person has the appropriate knowledge or experience of the Company's business to assist in the deliberations of the meeting.</w:t>
      </w:r>
    </w:p>
    <w:p>
      <w:pPr>
        <w:spacing w:after="0" w:line="174"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proxy shall be entitled to speak at any general meeting of the Company.</w:t>
      </w:r>
    </w:p>
    <w:p>
      <w:pPr>
        <w:spacing w:after="0" w:line="21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Resolutions and amendments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a resolution may only be put to the vote at a general meeting if the chair of the meeting in the chair's absolute discretion decides that the resolution may properly be regarded as within the scope of the meeting.</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resolution to be proposed as a special resolution no amendment may be made, at or before the time at which the resolution is put to the vote, to the form of the resolution as set out in the notice of meeting, except to correct a patent error or as may otherwise be permitted by law.</w:t>
      </w:r>
    </w:p>
    <w:p>
      <w:pPr>
        <w:spacing w:after="0" w:line="174"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resolution to be proposed as an ordinary resolution no amendment may be made, at or before the time at which the resolution is put to the vote, unless:</w:t>
      </w:r>
    </w:p>
    <w:p>
      <w:pPr>
        <w:spacing w:after="0" w:line="10"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amendment to the form of the resolution as set out in the notice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42" w:name="page43"/>
    <w:bookmarkEnd w:id="42"/>
    <w:p>
      <w:pPr>
        <w:ind w:left="2340" w:right="20"/>
        <w:spacing w:after="0" w:line="269" w:lineRule="auto"/>
        <w:rPr>
          <w:sz w:val="20"/>
          <w:szCs w:val="20"/>
          <w:color w:val="auto"/>
        </w:rPr>
      </w:pPr>
      <w:r>
        <w:rPr>
          <w:rFonts w:ascii="Times New Roman" w:cs="Times New Roman" w:eastAsia="Times New Roman" w:hAnsi="Times New Roman"/>
          <w:sz w:val="20"/>
          <w:szCs w:val="20"/>
          <w:color w:val="auto"/>
        </w:rPr>
        <w:t>of meeting, notice of the intention to move the amendment is received at the office at least 48 hours before the time fixed for the holding of the relevant meeting; or</w:t>
      </w:r>
    </w:p>
    <w:p>
      <w:pPr>
        <w:spacing w:after="0" w:line="159" w:lineRule="exact"/>
        <w:rPr>
          <w:sz w:val="20"/>
          <w:szCs w:val="20"/>
          <w:color w:val="auto"/>
        </w:rPr>
      </w:pPr>
    </w:p>
    <w:p>
      <w:pPr>
        <w:ind w:left="2340" w:hanging="750"/>
        <w:spacing w:after="0" w:line="269" w:lineRule="auto"/>
        <w:tabs>
          <w:tab w:leader="none" w:pos="23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the chair of the meeting in the chair's absolute discretion otherwise decides that the amendment or amended resolution may properly be put to the vote.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43" w:name="page44"/>
    <w:bookmarkEnd w:id="43"/>
    <w:p>
      <w:pPr>
        <w:spacing w:after="0" w:line="135" w:lineRule="exact"/>
        <w:rPr>
          <w:sz w:val="20"/>
          <w:szCs w:val="20"/>
          <w:color w:val="auto"/>
        </w:rPr>
      </w:pPr>
    </w:p>
    <w:p>
      <w:pPr>
        <w:ind w:left="1580" w:right="460"/>
        <w:spacing w:after="0" w:line="269" w:lineRule="auto"/>
        <w:rPr>
          <w:sz w:val="20"/>
          <w:szCs w:val="20"/>
          <w:color w:val="auto"/>
        </w:rPr>
      </w:pPr>
      <w:r>
        <w:rPr>
          <w:rFonts w:ascii="Times New Roman" w:cs="Times New Roman" w:eastAsia="Times New Roman" w:hAnsi="Times New Roman"/>
          <w:sz w:val="20"/>
          <w:szCs w:val="20"/>
          <w:color w:val="auto"/>
        </w:rPr>
        <w:t>The giving of notice under paragraph (i) above shall not prejudice the power of the chair of the meeting to rule the amendment out of order.</w:t>
      </w:r>
    </w:p>
    <w:p>
      <w:pPr>
        <w:spacing w:after="0" w:line="159" w:lineRule="exact"/>
        <w:rPr>
          <w:sz w:val="20"/>
          <w:szCs w:val="20"/>
          <w:color w:val="auto"/>
        </w:rPr>
      </w:pPr>
    </w:p>
    <w:p>
      <w:pPr>
        <w:ind w:left="1860" w:hanging="734"/>
        <w:spacing w:after="0" w:line="269" w:lineRule="auto"/>
        <w:tabs>
          <w:tab w:leader="none" w:pos="186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chair of the meeting, a person who proposes an amendment to a resolution may withdraw it before it is put to the vote.</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chair of the meeting rules a resolution or an amendment to a resolution admissible or out of order (as the case may be), the proceedings of the meeting or the resolution in question shall not be invalidated by any error in the chair's ruling. Any ruling by the chair of the meeting in relation to a resolution or an amendment to a resolution shall be final and conclusive.</w:t>
      </w:r>
    </w:p>
    <w:p>
      <w:pPr>
        <w:spacing w:after="0" w:line="17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Adjournment</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any general meeting at which a quorum is present the chair of the meeting may (and shall if so directed by the meeting) adjourn the meeting from time to time and from place (and/or, if appropriate, facilities for electronic attendance and participation) to place (and/or, if appropriate, facilities for electronic attendance and participation).</w:t>
      </w:r>
    </w:p>
    <w:p>
      <w:pPr>
        <w:spacing w:after="0" w:line="166"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chair of the meeting may at any time without the consent of the meeting adjourn the meeting (whether or not it has commenced or a quorum is present) to another time and/or place (and, if the chair considers it appropriate, facilities for electronic attendance and participation) if, in the chair's opinion, it would facilitate the conduct of the business of the meeting to do so.</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5" w:lineRule="auto"/>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chair of the meeting shall at any time without the consent of the meeting adjourn the meeting (whether or not it has commenced or a quorum is present) to another time and/or place (and/or, if appropriate, with other facilities for electronic attendance and participation) if, in the chair's opinion, the facilities (whether electronic or otherwise, and whether affecting the place (or more than one place) of the meeting or any electronic participation arrangements) are not sufficient to allow the meeting to be conducted substantially in accordance with the provisions set out in the notice of meeting.</w:t>
      </w:r>
    </w:p>
    <w:p>
      <w:pPr>
        <w:spacing w:after="0" w:line="184"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article shall limit any other power vested in the chair of the meeting to adjourn the meeting.</w:t>
      </w:r>
    </w:p>
    <w:p>
      <w:pPr>
        <w:spacing w:after="0" w:line="215" w:lineRule="exact"/>
        <w:rPr>
          <w:rFonts w:ascii="Times New Roman" w:cs="Times New Roman" w:eastAsia="Times New Roman" w:hAnsi="Times New Roman"/>
          <w:sz w:val="20"/>
          <w:szCs w:val="20"/>
          <w:color w:val="auto"/>
        </w:rPr>
      </w:pPr>
    </w:p>
    <w:p>
      <w:pPr>
        <w:ind w:left="1860" w:right="20" w:hanging="734"/>
        <w:spacing w:after="0" w:line="267" w:lineRule="auto"/>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business conducted at a general meeting up to the time of any adjournment shall, subject to paragraph (f) below, be valid.</w:t>
      </w:r>
    </w:p>
    <w:p>
      <w:pPr>
        <w:spacing w:after="0" w:line="1"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 of the meeting may specify that only the business conducted at a general meeting up to a point in time which is earlier than the time of adjournment is valid if, in the chair's opinion, to do so would be more appropriate.</w:t>
      </w:r>
    </w:p>
    <w:p>
      <w:pPr>
        <w:spacing w:after="0" w:line="155" w:lineRule="exact"/>
        <w:rPr>
          <w:rFonts w:ascii="Times New Roman" w:cs="Times New Roman" w:eastAsia="Times New Roman" w:hAnsi="Times New Roman"/>
          <w:sz w:val="20"/>
          <w:szCs w:val="20"/>
          <w:color w:val="auto"/>
        </w:rPr>
      </w:pPr>
    </w:p>
    <w:p>
      <w:pPr>
        <w:jc w:val="both"/>
        <w:ind w:left="1860" w:right="20" w:hanging="734"/>
        <w:spacing w:after="0" w:line="256" w:lineRule="auto"/>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 meeting is adjourned for 30 days or more or </w:t>
      </w:r>
      <w:r>
        <w:rPr>
          <w:rFonts w:ascii="Times New Roman" w:cs="Times New Roman" w:eastAsia="Times New Roman" w:hAnsi="Times New Roman"/>
          <w:sz w:val="20"/>
          <w:szCs w:val="20"/>
          <w:i w:val="1"/>
          <w:iCs w:val="1"/>
          <w:color w:val="auto"/>
        </w:rPr>
        <w:t>sine die</w:t>
      </w:r>
      <w:r>
        <w:rPr>
          <w:rFonts w:ascii="Times New Roman" w:cs="Times New Roman" w:eastAsia="Times New Roman" w:hAnsi="Times New Roman"/>
          <w:sz w:val="20"/>
          <w:szCs w:val="20"/>
          <w:color w:val="auto"/>
        </w:rPr>
        <w:t>, at least 14 clear days' notice of the adjourned meeting shall be given in the same manner as in the case of the original meeting but otherwise no person shall be entitled to any notice of an adjourned meeting or of the business to be transacted at an adjourned meeting.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44" w:name="page45"/>
    <w:bookmarkEnd w:id="44"/>
    <w:p>
      <w:pPr>
        <w:spacing w:after="0" w:line="135" w:lineRule="exact"/>
        <w:rPr>
          <w:sz w:val="20"/>
          <w:szCs w:val="20"/>
          <w:color w:val="auto"/>
        </w:rPr>
      </w:pPr>
    </w:p>
    <w:p>
      <w:pPr>
        <w:ind w:left="1860" w:hanging="734"/>
        <w:spacing w:after="0" w:line="269" w:lineRule="auto"/>
        <w:tabs>
          <w:tab w:leader="none" w:pos="18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business shall be transacted at any adjourned meeting other than the business which might have been transacted at the meeting from which the adjournment took place.</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voting - general</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45" w:name="page46"/>
    <w:bookmarkEnd w:id="45"/>
    <w:p>
      <w:pPr>
        <w:spacing w:after="0" w:line="149" w:lineRule="exact"/>
        <w:rPr>
          <w:sz w:val="20"/>
          <w:szCs w:val="20"/>
          <w:color w:val="auto"/>
        </w:rPr>
      </w:pPr>
    </w:p>
    <w:p>
      <w:pPr>
        <w:ind w:left="820"/>
        <w:spacing w:after="0" w:line="269" w:lineRule="auto"/>
        <w:rPr>
          <w:sz w:val="20"/>
          <w:szCs w:val="20"/>
          <w:color w:val="auto"/>
        </w:rPr>
      </w:pPr>
      <w:r>
        <w:rPr>
          <w:rFonts w:ascii="Times New Roman" w:cs="Times New Roman" w:eastAsia="Times New Roman" w:hAnsi="Times New Roman"/>
          <w:sz w:val="20"/>
          <w:szCs w:val="20"/>
          <w:color w:val="auto"/>
        </w:rPr>
        <w:t>Subject to article 47, at any general meeting a resolution put to the vote of the meeting shall be decided on a show of hands unless (before or on the declaration of the result of the show of hands) a poll is demanded by:</w:t>
      </w:r>
    </w:p>
    <w:p>
      <w:pPr>
        <w:spacing w:after="0" w:line="159" w:lineRule="exact"/>
        <w:rPr>
          <w:sz w:val="20"/>
          <w:szCs w:val="20"/>
          <w:color w:val="auto"/>
        </w:rPr>
      </w:pPr>
    </w:p>
    <w:p>
      <w:pPr>
        <w:ind w:left="1880" w:hanging="754"/>
        <w:spacing w:after="0"/>
        <w:tabs>
          <w:tab w:leader="none" w:pos="188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chairman of the meeting;</w:t>
      </w:r>
    </w:p>
    <w:p>
      <w:pPr>
        <w:spacing w:after="0" w:line="229"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fewer than five members present in person or by proxy and entitled to vote on the resolution;</w:t>
      </w:r>
    </w:p>
    <w:p>
      <w:pPr>
        <w:spacing w:after="0" w:line="215"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or members present in person or by proxy and representing not less than one-tenth of the total voting rights of all the members having the right to vote on the resolution;</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or members present in person or by proxy and holding shares in the Company conferring a right to vote on the resolution, being shares on which an aggregate sum has been paid up equal to not less than one-tenth of the total sum paid up on all the shares conferring that right; or</w:t>
      </w:r>
    </w:p>
    <w:p>
      <w:pPr>
        <w:spacing w:after="0" w:line="174"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Founder.</w:t>
      </w:r>
    </w:p>
    <w:p>
      <w:pPr>
        <w:spacing w:after="0" w:line="21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voting – Shares held by DTC</w:t>
      </w:r>
    </w:p>
    <w:p>
      <w:pPr>
        <w:spacing w:after="0" w:line="233"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so long as any shares in the Company are held in a settlement system operated by DTC:</w:t>
      </w:r>
    </w:p>
    <w:p>
      <w:pPr>
        <w:spacing w:after="0" w:line="215"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resolution put to a vote at a general meeting of the Company shall be decided on a poll; and</w:t>
      </w:r>
    </w:p>
    <w:p>
      <w:pPr>
        <w:spacing w:after="0" w:line="229"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article 47 may only be removed, amended or varied by resolution of the members passed unanimously at a general meeting of the Company.</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poll is to be taken</w:t>
      </w:r>
    </w:p>
    <w:p>
      <w:pPr>
        <w:spacing w:after="0" w:line="219" w:lineRule="exact"/>
        <w:rPr>
          <w:rFonts w:ascii="Times New Roman" w:cs="Times New Roman" w:eastAsia="Times New Roman" w:hAnsi="Times New Roman"/>
          <w:sz w:val="20"/>
          <w:szCs w:val="20"/>
          <w:b w:val="1"/>
          <w:bCs w:val="1"/>
          <w:color w:val="auto"/>
        </w:rPr>
      </w:pPr>
    </w:p>
    <w:p>
      <w:pPr>
        <w:jc w:val="both"/>
        <w:ind w:left="1860" w:right="20" w:hanging="734"/>
        <w:spacing w:after="0" w:line="254" w:lineRule="auto"/>
        <w:tabs>
          <w:tab w:leader="none" w:pos="186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poll shall be taken at such time (either at the meeting at which the resolution is proposed or within 30 days after the meeting), at such place and in such manner (including electronically) as the chair of the meeting shall direct and the chair may appoint scrutineers (who need not be members).</w:t>
      </w:r>
    </w:p>
    <w:p>
      <w:pPr>
        <w:spacing w:after="0" w:line="12"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poll demanded on a question of adjournment shall be taken at the meeting without adjournment.</w:t>
      </w:r>
    </w:p>
    <w:p>
      <w:pPr>
        <w:spacing w:after="0" w:line="215"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be necessary (unless the chair of the meeting otherwise directs) for notice to be given of a poll whether taken at or after the meeting at which it was demanded.</w:t>
      </w:r>
    </w:p>
    <w:p>
      <w:pPr>
        <w:spacing w:after="0" w:line="172"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poll, votes may be given either personally or by proxy and a member entitled to more than one vote need not use all the member's votes or cast all the votes used in the same way.</w:t>
      </w:r>
    </w:p>
    <w:p>
      <w:pPr>
        <w:spacing w:after="0" w:line="145"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 of the poll shall be deemed to be a resolution of the meeting at which the poll was demanded (or deemed to have been demanded).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46" w:name="page47"/>
    <w:bookmarkEnd w:id="46"/>
    <w:p>
      <w:pPr>
        <w:spacing w:after="0" w:line="131" w:lineRule="exact"/>
        <w:rPr>
          <w:sz w:val="20"/>
          <w:szCs w:val="20"/>
          <w:color w:val="auto"/>
        </w:rPr>
      </w:pPr>
    </w:p>
    <w:p>
      <w:pPr>
        <w:ind w:left="840" w:hanging="747"/>
        <w:spacing w:after="0"/>
        <w:tabs>
          <w:tab w:leader="none" w:pos="840"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Validity of meeting</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47" w:name="page48"/>
    <w:bookmarkEnd w:id="47"/>
    <w:p>
      <w:pPr>
        <w:spacing w:after="0" w:line="149" w:lineRule="exact"/>
        <w:rPr>
          <w:sz w:val="20"/>
          <w:szCs w:val="20"/>
          <w:color w:val="auto"/>
        </w:rPr>
      </w:pPr>
    </w:p>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All persons seeking to attend or participate in a general meeting electronically shall be responsible for maintaining adequate facilities to enable them to do so. Subject only to the requirement for the chair to adjourn a general meeting in accordance with the provisions of article 45(c), any inability of a person or persons to attend or participate in a general meeting electronically shall not invalidate the proceedings of that meeting.</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VOTES OF MEMBERS</w:t>
      </w:r>
    </w:p>
    <w:p>
      <w:pPr>
        <w:spacing w:after="0" w:line="229" w:lineRule="exact"/>
        <w:rPr>
          <w:sz w:val="20"/>
          <w:szCs w:val="20"/>
          <w:color w:val="auto"/>
        </w:rPr>
      </w:pPr>
    </w:p>
    <w:p>
      <w:pPr>
        <w:ind w:left="840" w:hanging="747"/>
        <w:spacing w:after="0"/>
        <w:tabs>
          <w:tab w:leader="none" w:pos="84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Voting rights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these articles and to any special rights or restrictions as to voting for the time being attached to any class of shares in the Company (including, for the avoidance of doubt, such rights and restrictions as apply as set out in article 5(b) above):</w:t>
      </w:r>
    </w:p>
    <w:p>
      <w:pPr>
        <w:spacing w:after="0" w:line="174"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show of hands:</w:t>
      </w:r>
    </w:p>
    <w:p>
      <w:pPr>
        <w:spacing w:after="0" w:line="229"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3"/>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who is present in person shall have one vote;</w:t>
      </w:r>
    </w:p>
    <w:p>
      <w:pPr>
        <w:spacing w:after="0" w:line="215" w:lineRule="exact"/>
        <w:rPr>
          <w:rFonts w:ascii="Times New Roman" w:cs="Times New Roman" w:eastAsia="Times New Roman" w:hAnsi="Times New Roman"/>
          <w:sz w:val="20"/>
          <w:szCs w:val="20"/>
          <w:color w:val="auto"/>
        </w:rPr>
      </w:pPr>
    </w:p>
    <w:p>
      <w:pPr>
        <w:jc w:val="both"/>
        <w:ind w:left="3080" w:hanging="741"/>
        <w:spacing w:after="0" w:line="244" w:lineRule="auto"/>
        <w:tabs>
          <w:tab w:leader="none" w:pos="3080" w:val="left"/>
        </w:tabs>
        <w:numPr>
          <w:ilvl w:val="3"/>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proxy present who has been duly appointed by one or more members entitled to vote on the resolution shall have one vote, except that if the proxy has been duly appointed by more than one member entitled to vote on the resolution and is instructed by one or more of those members to vote for the resolution and by one or more others to vote against it, or is instructed by one or more of those members to vote in one way and is given discretion as to how to vote by one or more others (and wishes to use that discretion to vote in the other way) he or she shall have one vote for and one vote against the resolution; and</w:t>
      </w:r>
    </w:p>
    <w:p>
      <w:pPr>
        <w:spacing w:after="0" w:line="185" w:lineRule="exact"/>
        <w:rPr>
          <w:rFonts w:ascii="Times New Roman" w:cs="Times New Roman" w:eastAsia="Times New Roman" w:hAnsi="Times New Roman"/>
          <w:sz w:val="20"/>
          <w:szCs w:val="20"/>
          <w:color w:val="auto"/>
        </w:rPr>
      </w:pPr>
    </w:p>
    <w:p>
      <w:pPr>
        <w:ind w:left="3080" w:hanging="741"/>
        <w:spacing w:after="0" w:line="267" w:lineRule="auto"/>
        <w:tabs>
          <w:tab w:leader="none" w:pos="3080" w:val="left"/>
        </w:tabs>
        <w:numPr>
          <w:ilvl w:val="3"/>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corporate representative present who has been duly authorised by a corporation shall have the same voting rights as the corporation would be entitled to; and</w:t>
      </w:r>
    </w:p>
    <w:p>
      <w:pPr>
        <w:spacing w:after="0" w:line="1"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poll, and subject to article 5(b), every member who is present in person or by a duly appointed proxy shall have one vote for each share of which he or she is the holder or in respect of which his or her appointment of proxy or corporate representative has been made.</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5" w:lineRule="auto"/>
        <w:tabs>
          <w:tab w:leader="none" w:pos="18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determining which persons are entitled to attend or vote at any general meeting, and how many votes such persons may cast, the Company must specify in the notice of the meeting a time, determined by the Board, by which a person must be entered on the register in order to have the right to attend or vote at the meeting. Changes to entries on the register after the time so specified shall be disregarded in determining the rights of any person to attend or vote at the meeting, notwithstanding any provisions in the Statutes or these articles to the contrary.</w:t>
      </w:r>
    </w:p>
    <w:p>
      <w:pPr>
        <w:spacing w:after="0" w:line="18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 of corporations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which is a member of the Company may, by resolution of its Board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48" w:name="page49"/>
    <w:bookmarkEnd w:id="48"/>
    <w:p>
      <w:pPr>
        <w:spacing w:after="0" w:line="149" w:lineRule="exact"/>
        <w:rPr>
          <w:sz w:val="20"/>
          <w:szCs w:val="20"/>
          <w:color w:val="auto"/>
        </w:rPr>
      </w:pPr>
    </w:p>
    <w:p>
      <w:pPr>
        <w:ind w:left="1860"/>
        <w:spacing w:after="0" w:line="269" w:lineRule="auto"/>
        <w:rPr>
          <w:sz w:val="20"/>
          <w:szCs w:val="20"/>
          <w:color w:val="auto"/>
        </w:rPr>
      </w:pPr>
      <w:r>
        <w:rPr>
          <w:rFonts w:ascii="Times New Roman" w:cs="Times New Roman" w:eastAsia="Times New Roman" w:hAnsi="Times New Roman"/>
          <w:sz w:val="20"/>
          <w:szCs w:val="20"/>
          <w:color w:val="auto"/>
        </w:rPr>
        <w:t>or other governing body, authorise any person or persons to act as its representative or representatives at any general meeting of the Company.</w:t>
      </w:r>
    </w:p>
    <w:p>
      <w:pPr>
        <w:spacing w:after="0" w:line="146" w:lineRule="exact"/>
        <w:rPr>
          <w:sz w:val="20"/>
          <w:szCs w:val="20"/>
          <w:color w:val="auto"/>
        </w:rPr>
      </w:pPr>
    </w:p>
    <w:p>
      <w:pPr>
        <w:ind w:left="1860" w:right="20" w:hanging="734"/>
        <w:spacing w:after="0" w:line="269" w:lineRule="auto"/>
        <w:tabs>
          <w:tab w:leader="none" w:pos="186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or any director or the secretary may (but shall not be bound to) require evidence of the authority of any such representative.</w:t>
      </w:r>
    </w:p>
    <w:p>
      <w:pPr>
        <w:spacing w:after="0" w:line="168"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Voting rights of joint holders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49" w:name="page50"/>
    <w:bookmarkEnd w:id="49"/>
    <w:p>
      <w:pPr>
        <w:spacing w:after="0" w:line="14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If more than one of the joint holders of a share tenders a vote on the same resolution, whether in person or by proxy, the vote of the senior who tenders a vote shall be accepted to the exclusion of the vote(s) of the other joint holder(s); and for this purpose, seniority shall be determined by the order in which the names stand in the register in respect of the relevant share.</w:t>
      </w:r>
    </w:p>
    <w:p>
      <w:pPr>
        <w:spacing w:after="0" w:line="157" w:lineRule="exact"/>
        <w:rPr>
          <w:sz w:val="20"/>
          <w:szCs w:val="20"/>
          <w:color w:val="auto"/>
        </w:rPr>
      </w:pPr>
    </w:p>
    <w:p>
      <w:pPr>
        <w:ind w:left="840" w:hanging="747"/>
        <w:spacing w:after="0"/>
        <w:tabs>
          <w:tab w:leader="none" w:pos="8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Voting rights of members incapable of managing their affairs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member in respect of whom an order has been made by any court having jurisdiction (whether in the United Kingdom or elsewhere) in matters concerning mental disorder may vote by the member's receiver, </w:t>
      </w:r>
      <w:r>
        <w:rPr>
          <w:rFonts w:ascii="Times New Roman" w:cs="Times New Roman" w:eastAsia="Times New Roman" w:hAnsi="Times New Roman"/>
          <w:sz w:val="20"/>
          <w:szCs w:val="20"/>
          <w:i w:val="1"/>
          <w:iCs w:val="1"/>
          <w:color w:val="auto"/>
        </w:rPr>
        <w:t>curator bonis</w:t>
      </w:r>
      <w:r>
        <w:rPr>
          <w:rFonts w:ascii="Times New Roman" w:cs="Times New Roman" w:eastAsia="Times New Roman" w:hAnsi="Times New Roman"/>
          <w:sz w:val="20"/>
          <w:szCs w:val="20"/>
          <w:color w:val="auto"/>
        </w:rPr>
        <w:t xml:space="preserve"> or other person in the nature of a receiver or </w:t>
      </w:r>
      <w:r>
        <w:rPr>
          <w:rFonts w:ascii="Times New Roman" w:cs="Times New Roman" w:eastAsia="Times New Roman" w:hAnsi="Times New Roman"/>
          <w:sz w:val="20"/>
          <w:szCs w:val="20"/>
          <w:i w:val="1"/>
          <w:iCs w:val="1"/>
          <w:color w:val="auto"/>
        </w:rPr>
        <w:t>curator bonis</w:t>
      </w:r>
      <w:r>
        <w:rPr>
          <w:rFonts w:ascii="Times New Roman" w:cs="Times New Roman" w:eastAsia="Times New Roman" w:hAnsi="Times New Roman"/>
          <w:sz w:val="20"/>
          <w:szCs w:val="20"/>
          <w:color w:val="auto"/>
        </w:rPr>
        <w:t xml:space="preserve"> appointed by that court, and the receiver, </w:t>
      </w:r>
      <w:r>
        <w:rPr>
          <w:rFonts w:ascii="Times New Roman" w:cs="Times New Roman" w:eastAsia="Times New Roman" w:hAnsi="Times New Roman"/>
          <w:sz w:val="20"/>
          <w:szCs w:val="20"/>
          <w:i w:val="1"/>
          <w:iCs w:val="1"/>
          <w:color w:val="auto"/>
        </w:rPr>
        <w:t>curator bonis</w:t>
      </w:r>
      <w:r>
        <w:rPr>
          <w:rFonts w:ascii="Times New Roman" w:cs="Times New Roman" w:eastAsia="Times New Roman" w:hAnsi="Times New Roman"/>
          <w:sz w:val="20"/>
          <w:szCs w:val="20"/>
          <w:color w:val="auto"/>
        </w:rPr>
        <w:t xml:space="preserve"> or other person may, on a poll, vote by proxy. Evidence to the satisfaction of the Board of the authority of the person claiming the right to vote must be received at the office (or at such other address as may be specified for the receipt of proxy appointments) not later than the last time by which a proxy appointment must be received in order to be valid for use at the meeting or adjourned meeting or on the holding of the poll at or on which that person proposes to vote and, in default, the right to vote shall not be exercisable.</w:t>
      </w:r>
    </w:p>
    <w:p>
      <w:pPr>
        <w:spacing w:after="0" w:line="181"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Voting rights suspended where sums overdue</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the Board otherwise decides, a member shall not be entitled to vote, either in person or by proxy, at any general meeting of the Company in respect of any share held by that member unless all calls and other sums presently payable by that member in respect of that share have been paid.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50" w:name="page51"/>
    <w:bookmarkEnd w:id="50"/>
    <w:p>
      <w:pPr>
        <w:ind w:left="840" w:hanging="747"/>
        <w:spacing w:after="0"/>
        <w:tabs>
          <w:tab w:leader="none" w:pos="84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Objections to admissibility of votes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objection shall be raised as to the admissibility of any vote except at the meeting or adjourned meeting or poll at which the vote objected to is or may be given or tendered, and every vote not disallowed at such meeting or poll shall be valid for all purposes. Any such objection made in due time shall be referred to the chair of the meeting, whose decision shall be final and conclusive.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PROXIES</w:t>
      </w:r>
    </w:p>
    <w:p>
      <w:pPr>
        <w:spacing w:after="0" w:line="216" w:lineRule="exact"/>
        <w:rPr>
          <w:sz w:val="20"/>
          <w:szCs w:val="20"/>
          <w:color w:val="auto"/>
        </w:rPr>
      </w:pPr>
    </w:p>
    <w:p>
      <w:pPr>
        <w:ind w:left="840" w:hanging="747"/>
        <w:spacing w:after="0"/>
        <w:tabs>
          <w:tab w:leader="none" w:pos="84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Proxies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proxy need not be a member of the Company and a member may appoint more than one proxy in relation to a meeting, provided that each proxy is appointed to exercise the rights attached to a different share or shares held by the member.</w:t>
      </w:r>
    </w:p>
    <w:p>
      <w:pPr>
        <w:spacing w:after="0" w:line="174"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proxy shall not preclude a member from attending and voting in person at the meeting or on the poll concerned.</w:t>
      </w:r>
    </w:p>
    <w:p>
      <w:pPr>
        <w:spacing w:after="0" w:line="15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proxy shall only be valid for the meeting mentioned in it and any adjournment of that meeting (including on any poll demanded at the meeting or any adjourned meeting).</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proxy</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the appointment of a proxy may be in such form as is usual or common (including with respect to any shares held by a Depositary, an omnibus proxy which enables the Depositary to exercise rights in a number of different ways for the shares that it holds) or in such other form as the Board may from time to time approve and shall be signed by the appointor, or the appointor's duly authorised agent, or, if the appointor is a corporation, shall either be executed under its common seal or be signed by an agent or officer authorised for that purpose. The signature need not be witnessed.</w:t>
      </w:r>
    </w:p>
    <w:p>
      <w:pPr>
        <w:spacing w:after="0" w:line="170" w:lineRule="exact"/>
        <w:rPr>
          <w:rFonts w:ascii="Times New Roman" w:cs="Times New Roman" w:eastAsia="Times New Roman" w:hAnsi="Times New Roman"/>
          <w:sz w:val="20"/>
          <w:szCs w:val="20"/>
          <w:color w:val="auto"/>
        </w:rPr>
      </w:pPr>
    </w:p>
    <w:p>
      <w:pPr>
        <w:jc w:val="both"/>
        <w:ind w:left="1860" w:hanging="734"/>
        <w:spacing w:after="0" w:line="242" w:lineRule="auto"/>
        <w:tabs>
          <w:tab w:leader="none" w:pos="18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provisions of these articles, the Board may from time to time in relation to uncertificated shares: (i) approve the appointment of a proxy by means of a communication sent in electronic form which is sent by means of the relevant system and received by such participant in that system acting on behalf of the Company as the Board may prescribe, in such form and subject to such terms and conditions as the Board may from time to time prescribe (subject always to the facilities and requirements of the relevant system)); and (ii) approve supplements to, or amendments or revocations of, any such uncertificated proxy instruction by the same means. In addition, the Board may prescribe the method of determining the time at which any such uncertificated proxy instruction is to be treated as received by the Company or such participant and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51" w:name="page52"/>
    <w:bookmarkEnd w:id="51"/>
    <w:p>
      <w:pPr>
        <w:spacing w:after="0" w:line="131" w:lineRule="exact"/>
        <w:rPr>
          <w:sz w:val="20"/>
          <w:szCs w:val="20"/>
          <w:color w:val="auto"/>
        </w:rPr>
      </w:pPr>
    </w:p>
    <w:p>
      <w:pPr>
        <w:ind w:left="840" w:hanging="747"/>
        <w:spacing w:after="0"/>
        <w:tabs>
          <w:tab w:leader="none" w:pos="84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Receipt of proxy</w:t>
      </w:r>
    </w:p>
    <w:p>
      <w:pPr>
        <w:spacing w:after="0" w:line="57" w:lineRule="exact"/>
        <w:rPr>
          <w:rFonts w:ascii="Times New Roman" w:cs="Times New Roman" w:eastAsia="Times New Roman" w:hAnsi="Times New Roman"/>
          <w:sz w:val="20"/>
          <w:szCs w:val="20"/>
          <w:b w:val="1"/>
          <w:bCs w:val="1"/>
          <w:color w:val="auto"/>
        </w:rPr>
      </w:pPr>
    </w:p>
    <w:p>
      <w:pPr>
        <w:ind w:left="1880" w:hanging="754"/>
        <w:spacing w:after="0"/>
        <w:tabs>
          <w:tab w:leader="none" w:pos="188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proxy appointment:</w:t>
      </w:r>
    </w:p>
    <w:p>
      <w:pPr>
        <w:spacing w:after="0" w:line="215"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received at a proxy notification address not less than 48 hours (or such shorter time as the Board decides) before the time fixed for holding the meeting at which the appointee proposes to vote; or</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49" w:lineRule="auto"/>
        <w:tabs>
          <w:tab w:leader="none" w:pos="234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poll taken more than 48 hours after it is demanded or in the case of an adjourned meeting to be held more than 48 hours after the time fixed for holding the original meeting, must be received at a proxy notification address not less than 24 hours (or such shorter time as the Board decides) before the time fixed for the taking of the poll or, as the case may be, the time fixed for holding the adjourned meeting; or</w:t>
      </w:r>
    </w:p>
    <w:p>
      <w:pPr>
        <w:spacing w:after="0" w:line="17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poll which is not taken at the meeting at which it is demanded but is taken 48 hours or less after it is demanded, or in the case of an adjourned meeting to be held 48 hours or less after the time fixed for holding the original meeting, must be received:</w:t>
      </w:r>
    </w:p>
    <w:p>
      <w:pPr>
        <w:spacing w:after="0" w:line="174"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proxy notification address in accordance with (i) above;</w:t>
      </w:r>
    </w:p>
    <w:p>
      <w:pPr>
        <w:spacing w:after="0" w:line="229" w:lineRule="exact"/>
        <w:rPr>
          <w:rFonts w:ascii="Times New Roman" w:cs="Times New Roman" w:eastAsia="Times New Roman" w:hAnsi="Times New Roman"/>
          <w:sz w:val="20"/>
          <w:szCs w:val="20"/>
          <w:color w:val="auto"/>
        </w:rPr>
      </w:pPr>
    </w:p>
    <w:p>
      <w:pPr>
        <w:ind w:left="3080" w:right="20" w:hanging="741"/>
        <w:spacing w:after="0" w:line="269" w:lineRule="auto"/>
        <w:tabs>
          <w:tab w:leader="none" w:pos="3080"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chair of the meeting or the secretary or any director at the meeting at which the poll is demanded or, as the case may be, at the original meeting; or</w:t>
      </w:r>
    </w:p>
    <w:p>
      <w:pPr>
        <w:spacing w:after="0" w:line="145" w:lineRule="exact"/>
        <w:rPr>
          <w:rFonts w:ascii="Times New Roman" w:cs="Times New Roman" w:eastAsia="Times New Roman" w:hAnsi="Times New Roman"/>
          <w:sz w:val="20"/>
          <w:szCs w:val="20"/>
          <w:color w:val="auto"/>
        </w:rPr>
      </w:pPr>
    </w:p>
    <w:p>
      <w:pPr>
        <w:ind w:left="3080" w:hanging="741"/>
        <w:spacing w:after="0" w:line="269" w:lineRule="auto"/>
        <w:tabs>
          <w:tab w:leader="none" w:pos="3080"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proxy notification address by such time as the chair of the meeting may direct at the meeting at which the poll is demanded.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52" w:name="page53"/>
    <w:bookmarkEnd w:id="52"/>
    <w:p>
      <w:pPr>
        <w:spacing w:after="0" w:line="135" w:lineRule="exact"/>
        <w:rPr>
          <w:sz w:val="20"/>
          <w:szCs w:val="20"/>
          <w:color w:val="auto"/>
        </w:rPr>
      </w:pPr>
    </w:p>
    <w:p>
      <w:pPr>
        <w:ind w:left="1580"/>
        <w:spacing w:after="0" w:line="269" w:lineRule="auto"/>
        <w:rPr>
          <w:sz w:val="20"/>
          <w:szCs w:val="20"/>
          <w:color w:val="auto"/>
        </w:rPr>
      </w:pPr>
      <w:r>
        <w:rPr>
          <w:rFonts w:ascii="Times New Roman" w:cs="Times New Roman" w:eastAsia="Times New Roman" w:hAnsi="Times New Roman"/>
          <w:sz w:val="20"/>
          <w:szCs w:val="20"/>
          <w:color w:val="auto"/>
        </w:rPr>
        <w:t>In calculating the periods mentioned, no account shall be taken of any part of a day that is not a working day (within the meaning of the 2006 Act).</w:t>
      </w:r>
    </w:p>
    <w:p>
      <w:pPr>
        <w:spacing w:after="0" w:line="159" w:lineRule="exact"/>
        <w:rPr>
          <w:sz w:val="20"/>
          <w:szCs w:val="20"/>
          <w:color w:val="auto"/>
        </w:rPr>
      </w:pPr>
    </w:p>
    <w:p>
      <w:pPr>
        <w:jc w:val="both"/>
        <w:ind w:left="1860" w:hanging="734"/>
        <w:spacing w:after="0" w:line="254" w:lineRule="auto"/>
        <w:tabs>
          <w:tab w:leader="none" w:pos="18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but shall not be bound to, require reasonable evidence of the identity of the member and of the proxy, the member's instructions (if any) as to how the proxy is to vote and, where the proxy is appointed by a person acting on behalf of the member, authority of that person to make the appointment.</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decide, either generally or in any particular case, to treat a proxy appointment as valid notwithstanding that the appointment or any of the information required under paragraph (b) above has not been received in accordance with the requirements of this article.</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(c) above, if the proxy appointment and any of the information required under paragraph (b) above, is not received in the manner set out in paragraph (a) above, the appointee shall not be entitled to vote in respect of the shares in question.</w:t>
      </w:r>
    </w:p>
    <w:p>
      <w:pPr>
        <w:spacing w:after="0" w:line="174" w:lineRule="exact"/>
        <w:rPr>
          <w:rFonts w:ascii="Times New Roman" w:cs="Times New Roman" w:eastAsia="Times New Roman" w:hAnsi="Times New Roman"/>
          <w:sz w:val="20"/>
          <w:szCs w:val="20"/>
          <w:color w:val="auto"/>
        </w:rPr>
      </w:pPr>
    </w:p>
    <w:p>
      <w:pPr>
        <w:jc w:val="both"/>
        <w:ind w:left="1860" w:right="20" w:hanging="734"/>
        <w:spacing w:after="0" w:line="254" w:lineRule="auto"/>
        <w:tabs>
          <w:tab w:leader="none" w:pos="18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two or more valid but differing proxy appointments are received in respect of the same share for use at the same meeting or on the same poll, the one which is last received (regardless of its date or of the date of its execution) shall be treated as replacing and revoking the others as regards that share and if the Company is unable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53" w:name="page54"/>
    <w:bookmarkEnd w:id="53"/>
    <w:p>
      <w:pPr>
        <w:ind w:left="1880"/>
        <w:spacing w:after="0"/>
        <w:rPr>
          <w:sz w:val="20"/>
          <w:szCs w:val="20"/>
          <w:color w:val="auto"/>
        </w:rPr>
      </w:pPr>
      <w:r>
        <w:rPr>
          <w:rFonts w:ascii="Times New Roman" w:cs="Times New Roman" w:eastAsia="Times New Roman" w:hAnsi="Times New Roman"/>
          <w:sz w:val="20"/>
          <w:szCs w:val="20"/>
          <w:color w:val="auto"/>
        </w:rPr>
        <w:t>to determine which was last received, none of them shall be treated as valid in respect of that share.</w:t>
      </w:r>
    </w:p>
    <w:p>
      <w:pPr>
        <w:spacing w:after="0" w:line="212" w:lineRule="exact"/>
        <w:rPr>
          <w:sz w:val="20"/>
          <w:szCs w:val="20"/>
          <w:color w:val="auto"/>
        </w:rPr>
      </w:pPr>
    </w:p>
    <w:p>
      <w:pPr>
        <w:ind w:left="840" w:hanging="747"/>
        <w:spacing w:after="0"/>
        <w:tabs>
          <w:tab w:leader="none" w:pos="84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revocation of authority etc.</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vote given or poll demanded by proxy or by a representative of a corporation shall be valid notwithstanding the previous termination of the authority of the person voting or demanding a poll or (until entered in the register) the transfer of the share in respect of which the appointment of the relevant person was made unless notice of the termination was received at a proxy notification address not less than six hours before the time fixed for holding the relevant meeting or adjourned meeting or, in the case of a poll not taken on the same day as the meeting or adjourned meeting, before the time fixed for taking the poll.</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vote given by a proxy or by a representative of a corporation shall be valid notwithstanding that the vote was not cast in accordance with any instructions given by the member by whom the proxy or representative of a corporation is appointed. The Company shall not be obliged to check whether the proxy or representative of a corporation has in fact voted in accordance with any such member's instructions.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229" w:lineRule="exact"/>
        <w:rPr>
          <w:sz w:val="20"/>
          <w:szCs w:val="20"/>
          <w:color w:val="auto"/>
        </w:rPr>
      </w:pPr>
    </w:p>
    <w:p>
      <w:pPr>
        <w:ind w:left="840" w:hanging="747"/>
        <w:spacing w:after="0"/>
        <w:tabs>
          <w:tab w:leader="none" w:pos="84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and class of directors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not, unless otherwise determined by an ordinary resolution of the Company, be less than three but shall not be subject to a maximum number.</w:t>
      </w:r>
    </w:p>
    <w:p>
      <w:pPr>
        <w:spacing w:after="0" w:line="172"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be classified, with respect to the term for which they severally hold office, into three classes, designated as Class I, Class II and Class III, respectively. Subject to article 60(c), each class shall consist, as nearly as may be possible, of one-third of the total number of directors. The directors shall be assigned to each class in accordance with a resolution or resolutions adopted by the Board, with the number of directors in each class to be divided as nearly equal as reasonably possible.</w:t>
      </w:r>
    </w:p>
    <w:p>
      <w:pPr>
        <w:spacing w:after="0" w:line="171"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where there are ten (10) directors, three (3) directors shall be designated as Class I directors, three (3) directors designated as Class II directors, and four (4) directors designated as Class III directors.</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need not be members</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A director need not be a member of the Company.</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ELECTION, RETIREMENT AND REMOVAL OF DIRECTORS</w:t>
      </w:r>
    </w:p>
    <w:p>
      <w:pPr>
        <w:spacing w:after="0" w:line="229" w:lineRule="exact"/>
        <w:rPr>
          <w:sz w:val="20"/>
          <w:szCs w:val="20"/>
          <w:color w:val="auto"/>
        </w:rPr>
      </w:pPr>
    </w:p>
    <w:p>
      <w:pPr>
        <w:ind w:left="840" w:hanging="747"/>
        <w:spacing w:after="0"/>
        <w:tabs>
          <w:tab w:leader="none" w:pos="84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of directors by the Company</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these articles, the Company may by ordinary resolution (including pursuant to article 50 where applicable) elect any person who is willing to act to be a director, either to fill a vacancy or as an additional director, but so that the total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54" w:name="page55"/>
    <w:bookmarkEnd w:id="54"/>
    <w:p>
      <w:pPr>
        <w:ind w:left="1880"/>
        <w:spacing w:after="0"/>
        <w:rPr>
          <w:sz w:val="20"/>
          <w:szCs w:val="20"/>
          <w:color w:val="auto"/>
        </w:rPr>
      </w:pPr>
      <w:r>
        <w:rPr>
          <w:rFonts w:ascii="Times New Roman" w:cs="Times New Roman" w:eastAsia="Times New Roman" w:hAnsi="Times New Roman"/>
          <w:sz w:val="20"/>
          <w:szCs w:val="20"/>
          <w:color w:val="auto"/>
        </w:rPr>
        <w:t>number of directors shall not exceed any maximum number fixed by or in accordance with these articles.</w:t>
      </w:r>
    </w:p>
    <w:p>
      <w:pPr>
        <w:spacing w:after="0" w:line="216" w:lineRule="exact"/>
        <w:rPr>
          <w:sz w:val="20"/>
          <w:szCs w:val="20"/>
          <w:color w:val="auto"/>
        </w:rPr>
      </w:pPr>
    </w:p>
    <w:p>
      <w:pPr>
        <w:ind w:left="1860" w:right="20" w:hanging="734"/>
        <w:spacing w:after="0" w:line="269" w:lineRule="auto"/>
        <w:tabs>
          <w:tab w:leader="none" w:pos="186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(other than a director retiring in accordance with these articles) shall be elected or re-elected a director unless:</w:t>
      </w:r>
    </w:p>
    <w:p>
      <w:pPr>
        <w:spacing w:after="0" w:line="172"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is recommended by the Board; or</w:t>
      </w:r>
    </w:p>
    <w:p>
      <w:pPr>
        <w:spacing w:after="0" w:line="215" w:lineRule="exact"/>
        <w:rPr>
          <w:rFonts w:ascii="Times New Roman" w:cs="Times New Roman" w:eastAsia="Times New Roman" w:hAnsi="Times New Roman"/>
          <w:sz w:val="20"/>
          <w:szCs w:val="20"/>
          <w:color w:val="auto"/>
        </w:rPr>
      </w:pPr>
    </w:p>
    <w:p>
      <w:pPr>
        <w:jc w:val="both"/>
        <w:ind w:left="2340" w:hanging="750"/>
        <w:spacing w:after="0" w:line="246" w:lineRule="auto"/>
        <w:tabs>
          <w:tab w:leader="none" w:pos="2340"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less than seven nor more than 42 days before the day appointed for the meeting there has been given to the Company, by a member (other than the person to be proposed) entitled to attend and vote at the meeting, notice of the member's intention to propose a resolution for the appointment of that person, stating the particulars which would, if the person were so appointed, be required to be included in the Company's register of directors and a notice executed by that person of the person's willingness to be elected.</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45" w:lineRule="auto"/>
        <w:tabs>
          <w:tab w:leader="none" w:pos="186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chairman of any general meeting at which resolutions contained any member's notice referred to in article 62(b) are proposed may waive the notice requirements set out in article 62(b)and submit to the general meeting the name(s) of any person(s) duly qualified and willing to be elected as a director of the Company for election or re-election (as the case may be). Where article 62(b)(ii) applies and a director is proposed to be elected or re-elected by ordinary resolution of the Company, the holder(s) of a simple majority of the Ordinary Shares may waive the notice requirements set out in article 62(b)(ii) in writing.</w:t>
      </w:r>
    </w:p>
    <w:p>
      <w:pPr>
        <w:spacing w:after="0" w:line="18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Separate resolutions for election of each director</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Every ordinary resolution for the election of a director shall relate to one named person and a single resolution for the election of two or more persons shall be void, unless at a general meeting a resolution that it shall be so proposed has been first agreed to by the meeting without any vote being cast against it.</w:t>
      </w:r>
    </w:p>
    <w:p>
      <w:pPr>
        <w:spacing w:after="0" w:line="17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Board's power to appoint directors</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appoint any person who is willing to act to be a director, either to fill a vacancy or by way of addition to their number, but so that the total number of directors shall not exceed any maximum number fixed by or in accordance with these articles.</w:t>
      </w:r>
    </w:p>
    <w:p>
      <w:pPr>
        <w:spacing w:after="0" w:line="183"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of directors</w:t>
      </w:r>
    </w:p>
    <w:p>
      <w:pPr>
        <w:spacing w:after="0" w:line="215" w:lineRule="exact"/>
        <w:rPr>
          <w:rFonts w:ascii="Times New Roman" w:cs="Times New Roman" w:eastAsia="Times New Roman" w:hAnsi="Times New Roman"/>
          <w:sz w:val="20"/>
          <w:szCs w:val="20"/>
          <w:b w:val="1"/>
          <w:bCs w:val="1"/>
          <w:color w:val="auto"/>
        </w:rPr>
      </w:pPr>
    </w:p>
    <w:p>
      <w:pPr>
        <w:ind w:left="1860" w:hanging="734"/>
        <w:spacing w:after="0" w:line="273" w:lineRule="auto"/>
        <w:tabs>
          <w:tab w:leader="none" w:pos="186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the Class I, II and III directors appointed as at the date of the adoption of these articles ("</w:t>
      </w:r>
      <w:r>
        <w:rPr>
          <w:rFonts w:ascii="Times New Roman" w:cs="Times New Roman" w:eastAsia="Times New Roman" w:hAnsi="Times New Roman"/>
          <w:sz w:val="20"/>
          <w:szCs w:val="20"/>
          <w:b w:val="1"/>
          <w:bCs w:val="1"/>
          <w:color w:val="auto"/>
        </w:rPr>
        <w:t>Adoption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 directors shall serve for a term expiring at the first annual meeting of shareholders following the Adoption Date;</w:t>
      </w:r>
    </w:p>
    <w:p>
      <w:pPr>
        <w:spacing w:after="0" w:line="159" w:lineRule="exact"/>
        <w:rPr>
          <w:rFonts w:ascii="Times New Roman" w:cs="Times New Roman" w:eastAsia="Times New Roman" w:hAnsi="Times New Roman"/>
          <w:sz w:val="20"/>
          <w:szCs w:val="20"/>
          <w:color w:val="auto"/>
        </w:rPr>
      </w:pPr>
    </w:p>
    <w:p>
      <w:pPr>
        <w:ind w:left="2340" w:hanging="750"/>
        <w:spacing w:after="0" w:line="267" w:lineRule="auto"/>
        <w:tabs>
          <w:tab w:leader="none" w:pos="2340"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II directors shall serve for a term expiring at the second annual meeting of shareholders following the Adoption Date; and</w:t>
      </w:r>
    </w:p>
    <w:p>
      <w:pPr>
        <w:spacing w:after="0" w:line="1"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III directors shall serve for a term expiring at the third annual meeting</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55" w:name="page56"/>
    <w:bookmarkEnd w:id="55"/>
    <w:p>
      <w:pPr>
        <w:jc w:val="right"/>
        <w:ind w:right="4199"/>
        <w:spacing w:after="0"/>
        <w:rPr>
          <w:sz w:val="20"/>
          <w:szCs w:val="20"/>
          <w:color w:val="auto"/>
        </w:rPr>
      </w:pPr>
      <w:r>
        <w:rPr>
          <w:rFonts w:ascii="Times New Roman" w:cs="Times New Roman" w:eastAsia="Times New Roman" w:hAnsi="Times New Roman"/>
          <w:sz w:val="20"/>
          <w:szCs w:val="20"/>
          <w:color w:val="auto"/>
        </w:rPr>
        <w:t>of shareholders following the Adoption Date.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13" w:right="1440" w:bottom="1440" w:gutter="0" w:footer="0" w:header="0"/>
        </w:sectPr>
      </w:pPr>
    </w:p>
    <w:bookmarkStart w:id="56" w:name="page57"/>
    <w:bookmarkEnd w:id="56"/>
    <w:p>
      <w:pPr>
        <w:spacing w:after="0" w:line="135" w:lineRule="exact"/>
        <w:rPr>
          <w:sz w:val="20"/>
          <w:szCs w:val="20"/>
          <w:color w:val="auto"/>
        </w:rPr>
      </w:pPr>
    </w:p>
    <w:p>
      <w:pPr>
        <w:ind w:left="1560" w:right="280"/>
        <w:spacing w:after="0" w:line="269" w:lineRule="auto"/>
        <w:rPr>
          <w:sz w:val="20"/>
          <w:szCs w:val="20"/>
          <w:color w:val="auto"/>
        </w:rPr>
      </w:pPr>
      <w:r>
        <w:rPr>
          <w:rFonts w:ascii="Times New Roman" w:cs="Times New Roman" w:eastAsia="Times New Roman" w:hAnsi="Times New Roman"/>
          <w:sz w:val="20"/>
          <w:szCs w:val="20"/>
          <w:color w:val="auto"/>
        </w:rPr>
        <w:t>Each retiring director shall be eligible for re-election, and a director who is re-elected will be treated as continuing in office without a break.</w:t>
      </w:r>
    </w:p>
    <w:p>
      <w:pPr>
        <w:spacing w:after="0" w:line="159" w:lineRule="exact"/>
        <w:rPr>
          <w:sz w:val="20"/>
          <w:szCs w:val="20"/>
          <w:color w:val="auto"/>
        </w:rPr>
      </w:pPr>
    </w:p>
    <w:p>
      <w:pPr>
        <w:jc w:val="both"/>
        <w:ind w:left="1860" w:hanging="734"/>
        <w:spacing w:after="0" w:line="254" w:lineRule="auto"/>
        <w:tabs>
          <w:tab w:leader="none" w:pos="18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annual meeting of shareholders, directors re-elected or elected to succeed those directors whose terms expire shall be elected for a term of office to expire at the third succeeding annual meeting of shareholders after their re-election or election.</w:t>
      </w:r>
    </w:p>
    <w:p>
      <w:pPr>
        <w:spacing w:after="0" w:line="174"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retiring director who is not re-elected shall retain office until the close of the meeting at which that director retires.</w:t>
      </w:r>
    </w:p>
    <w:p>
      <w:pPr>
        <w:spacing w:after="0" w:line="15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provisions of this article 65 does not affect the Board's right to remove any Initial Sponsor Director or the Independent Director pursuant to article 66.</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Removal of directors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period ended 12 months after the date of their appointment, or from the time the Sponsor Group ceases to Beneficially Own any Ordinary Shares, whichever occurs the earliest, the Board may remove each and any of the Initial Sponsor Directors and the Independent Director notwithstanding any prior re- election of such an Initial Sponsor Director or such Independent Director under the terms of these articles.</w:t>
      </w:r>
    </w:p>
    <w:p>
      <w:pPr>
        <w:spacing w:after="0" w:line="17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ordinary resolution remove any director before that director's period of office has expired notwithstanding anything in these articles or in any agreement between that director and the Company.</w:t>
      </w:r>
    </w:p>
    <w:p>
      <w:pPr>
        <w:spacing w:after="0" w:line="15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removal of a director under this article shall be without prejudice to any claim which such director may have for damages for breach of any agreement between that director and the Company.</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Vacation of office of director</w:t>
      </w:r>
    </w:p>
    <w:p>
      <w:pPr>
        <w:spacing w:after="0" w:line="219"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Without prejudice to the provisions of these articles for retirement or removal, the office of a director shall be vacated if:</w:t>
      </w:r>
    </w:p>
    <w:p>
      <w:pPr>
        <w:spacing w:after="0" w:line="229" w:lineRule="exact"/>
        <w:rPr>
          <w:rFonts w:ascii="Times New Roman" w:cs="Times New Roman" w:eastAsia="Times New Roman" w:hAnsi="Times New Roman"/>
          <w:sz w:val="20"/>
          <w:szCs w:val="20"/>
          <w:b w:val="1"/>
          <w:bCs w:val="1"/>
          <w:color w:val="auto"/>
        </w:rPr>
      </w:pPr>
    </w:p>
    <w:p>
      <w:pPr>
        <w:ind w:left="2340" w:hanging="750"/>
        <w:spacing w:after="0"/>
        <w:tabs>
          <w:tab w:leader="none" w:pos="234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is prohibited by law from being a director; or</w:t>
      </w:r>
    </w:p>
    <w:p>
      <w:pPr>
        <w:spacing w:after="0" w:line="215"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becomes bankrupt or makes any arrangement or composition with the director's creditors generally; or</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registered medical practitioner who has examined the director gives a written opinion to the Company stating that the director has become physically or mentally incapable of acting as a director and may remain so for more than three months and the Board resolves that the director's office be vacated; or</w:t>
      </w:r>
    </w:p>
    <w:p>
      <w:pPr>
        <w:spacing w:after="0" w:line="12"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more than six months the director is absent, without special leave of absence from the Board, from board meetings held during that period and the Board resolves that the director's office be vacated; 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57" w:name="page58"/>
    <w:bookmarkEnd w:id="57"/>
    <w:p>
      <w:pPr>
        <w:spacing w:after="0" w:line="135" w:lineRule="exact"/>
        <w:rPr>
          <w:sz w:val="20"/>
          <w:szCs w:val="20"/>
          <w:color w:val="auto"/>
        </w:rPr>
      </w:pPr>
    </w:p>
    <w:p>
      <w:pPr>
        <w:jc w:val="both"/>
        <w:ind w:left="2340" w:hanging="750"/>
        <w:spacing w:after="0" w:line="254" w:lineRule="auto"/>
        <w:tabs>
          <w:tab w:leader="none" w:pos="23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gives to the Company notice of the director's wish to resign, in which event the director shall vacate that office on the receipt of that notice by the Company or at such later time as is specified in the notice.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58" w:name="page59"/>
    <w:bookmarkEnd w:id="58"/>
    <w:p>
      <w:pPr>
        <w:spacing w:after="0" w:line="131" w:lineRule="exact"/>
        <w:rPr>
          <w:sz w:val="20"/>
          <w:szCs w:val="20"/>
          <w:color w:val="auto"/>
        </w:rPr>
      </w:pPr>
    </w:p>
    <w:p>
      <w:pPr>
        <w:ind w:left="840" w:hanging="747"/>
        <w:spacing w:after="0"/>
        <w:tabs>
          <w:tab w:leader="none" w:pos="84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Disqualification of a director</w:t>
      </w:r>
    </w:p>
    <w:p>
      <w:pPr>
        <w:spacing w:after="0" w:line="219"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office of director shall be vacated in any of the following circumstances:</w:t>
      </w:r>
    </w:p>
    <w:p>
      <w:pPr>
        <w:spacing w:after="0" w:line="229" w:lineRule="exact"/>
        <w:rPr>
          <w:rFonts w:ascii="Times New Roman" w:cs="Times New Roman" w:eastAsia="Times New Roman" w:hAnsi="Times New Roman"/>
          <w:sz w:val="20"/>
          <w:szCs w:val="20"/>
          <w:b w:val="1"/>
          <w:bCs w:val="1"/>
          <w:color w:val="auto"/>
        </w:rPr>
      </w:pPr>
    </w:p>
    <w:p>
      <w:pPr>
        <w:ind w:left="1860" w:right="20" w:hanging="734"/>
        <w:spacing w:after="0" w:line="269" w:lineRule="auto"/>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is removed or prohibited from being a director under any provisions of the Statutes or these articles or (if applicable) the NASDAQ Rules;</w:t>
      </w:r>
    </w:p>
    <w:p>
      <w:pPr>
        <w:spacing w:after="0" w:line="159"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gives to the Company notice executed by him of his wish to resign, in which event he shall vacate that office on the delivery of that notice to the Company or at such later time as is specified in the notice;</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becomes bankrupt, insolvent or makes any arrangement or composition with his creditors generally or shall apply to the court for an interim order under section 253 of the Insolvency Act 1986 in connection with a voluntary arrangement under that Act; or</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is, or may be, suffering from mental disorder and/or either he is admitted to hospital for treatment, or an order is made by a court (whether in the United Kingdom or elsewhere) having jurisdiction in matters concerning mental disorder for his detention or for the appointment of a receiver, curator bonis or other person to exercise powers with respect to his property or affairs and, in either case, the Board resolves that his office be vacated; or</w:t>
      </w:r>
    </w:p>
    <w:p>
      <w:pPr>
        <w:spacing w:after="0" w:line="179"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been appointed for a fixed term, the term expires or his office as a director is vacated under article 67; or</w:t>
      </w:r>
    </w:p>
    <w:p>
      <w:pPr>
        <w:spacing w:after="0" w:line="215"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is absent from meetings of the Board for six consecutive months without leave and his alternate director (if any) has not, during such period, attended in his place and the Board resolves that his office be vacated; or</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is removed from office by notice given to him and executed by all of his co- directors (or their alternates), but so that in the case of a director holding an executive office which automatically determines on his ceasing to be a director such removal shall be deemed an act of the Company and shall have effect without prejudice to any claim for damages in respect of the consequent termination of his executive office.</w:t>
      </w:r>
    </w:p>
    <w:p>
      <w:pPr>
        <w:spacing w:after="0" w:line="17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directors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appoint one or more directors to hold any executive office under the Company (including that of chair, chief executive or managing director) for such period (subject to the Statutes) and on such terms as it may decide and may revoke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59" w:name="page60"/>
    <w:bookmarkEnd w:id="59"/>
    <w:p>
      <w:pPr>
        <w:ind w:left="1880" w:right="400"/>
        <w:spacing w:after="0" w:line="269" w:lineRule="auto"/>
        <w:rPr>
          <w:sz w:val="20"/>
          <w:szCs w:val="20"/>
          <w:color w:val="auto"/>
        </w:rPr>
      </w:pPr>
      <w:r>
        <w:rPr>
          <w:rFonts w:ascii="Times New Roman" w:cs="Times New Roman" w:eastAsia="Times New Roman" w:hAnsi="Times New Roman"/>
          <w:sz w:val="20"/>
          <w:szCs w:val="20"/>
          <w:color w:val="auto"/>
        </w:rPr>
        <w:t>or terminate any appointment so made without prejudice to any claim for damages for breach of any contract of service between the director and the Company.</w:t>
      </w:r>
    </w:p>
    <w:p>
      <w:pPr>
        <w:spacing w:after="0" w:line="159" w:lineRule="exact"/>
        <w:rPr>
          <w:sz w:val="20"/>
          <w:szCs w:val="20"/>
          <w:color w:val="auto"/>
        </w:rPr>
      </w:pPr>
    </w:p>
    <w:p>
      <w:pPr>
        <w:jc w:val="both"/>
        <w:ind w:left="1860" w:hanging="734"/>
        <w:spacing w:after="0" w:line="254" w:lineRule="auto"/>
        <w:tabs>
          <w:tab w:leader="none" w:pos="18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remuneration of a director appointed to any executive office shall be fixed by the Board and may be by way of salary, commission, participation in profits or otherwise and either in addition to or inclusive of that director's remuneration as a director.</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4" w:lineRule="auto"/>
        <w:tabs>
          <w:tab w:leader="none" w:pos="18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appointed as executive chair, chief executive or managing director shall automatically cease to hold that office if that person ceases to be a director but without prejudice to any claim for damages for breach of any contract of service between that director and the Company. A director appointed to any other executive office shall not automatically cease to hold that office if that person ceases to be a director unless the contract or any resolution under which the director holds office expressly states that the director shall, in which case that cessation shall be without prejudice to any claim for damages for breach of any contract of service between that director and the Company.</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ALTERNATE DIRECTORS</w:t>
      </w:r>
    </w:p>
    <w:p>
      <w:pPr>
        <w:spacing w:after="0" w:line="216" w:lineRule="exact"/>
        <w:rPr>
          <w:sz w:val="20"/>
          <w:szCs w:val="20"/>
          <w:color w:val="auto"/>
        </w:rPr>
      </w:pPr>
    </w:p>
    <w:p>
      <w:pPr>
        <w:ind w:left="840" w:hanging="747"/>
        <w:spacing w:after="0"/>
        <w:tabs>
          <w:tab w:leader="none" w:pos="84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appoint alternate directors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(other than an alternate director) may appoint any person (including another director) to be his alternate director, and may remove him from that office. The appointment as an alternate director of any person who is not himself a director shall be subject to the approval of the majority of the other directors or a resolution of the Board. Any of the directors may appoint the same alternate director.</w:t>
      </w:r>
    </w:p>
    <w:p>
      <w:pPr>
        <w:spacing w:after="0" w:line="17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Formalities for appointment and termination</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63" w:lineRule="auto"/>
        <w:tabs>
          <w:tab w:leader="none" w:pos="186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Every appointment and removal of an alternate director shall be made by notice to the Company executed by the director making the appointment or removal (or in any other manner approved by the Board) and shall, be effective (subject to article 72) on receipt of such notice by the Company which shall, in the case of a notice contained in an instrument, be at the office or at a board meeting or in the case of a notice contained in an electronic communication be at such address (if any) for the time being notified by or on behalf of the Company for the purpose.</w:t>
      </w:r>
    </w:p>
    <w:p>
      <w:pPr>
        <w:spacing w:after="0" w:line="166" w:lineRule="exact"/>
        <w:rPr>
          <w:rFonts w:ascii="Times New Roman" w:cs="Times New Roman" w:eastAsia="Times New Roman" w:hAnsi="Times New Roman"/>
          <w:sz w:val="19"/>
          <w:szCs w:val="19"/>
          <w:color w:val="auto"/>
        </w:rPr>
      </w:pPr>
    </w:p>
    <w:p>
      <w:pPr>
        <w:jc w:val="both"/>
        <w:ind w:left="1860" w:hanging="734"/>
        <w:spacing w:after="0" w:line="249" w:lineRule="auto"/>
        <w:tabs>
          <w:tab w:leader="none" w:pos="18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an alternate director shall determine on the happening of any event which, if he were a director, would cause him to vacate such office or if his appointor ceases to be a director (otherwise than by retirement by rotation or otherwise at a general meeting at which he is re-appointed or deemed to be re- appointed) or if the approval of the directors to his appointment is withdrawn.</w:t>
      </w:r>
    </w:p>
    <w:p>
      <w:pPr>
        <w:spacing w:after="0" w:line="179"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alternate director may, by giving notice to the Company, executed by him, resign such appointment.</w:t>
      </w:r>
    </w:p>
    <w:p>
      <w:pPr>
        <w:spacing w:after="0" w:line="49"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Alternate to receive notices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60" w:name="page61"/>
    <w:bookmarkEnd w:id="60"/>
    <w:p>
      <w:pPr>
        <w:spacing w:after="0" w:line="149"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20"/>
          <w:szCs w:val="20"/>
          <w:color w:val="auto"/>
        </w:rPr>
        <w:t>An alternate director shall be entitled to receive notices of board meetings and of all meetings of committees of which the director appointing him is a member to the same extent as the director appointing him and shall be entitled to attend and vote as a director and be counted for the purposes of a quorum at any such meeting at which the director appointing him is not personally present, and generally at such meeting, to exercise and discharge all the functions, powers and duties of his appointor as a director. For the purposes of the proceedings at such meeting, these articles shall apply as if he (instead of his appointor) were a director. If he shall himself be a director, or shall attend any such meeting as an alternate for more than one director, his voting rights shall be cumulative but he shall count as only one for the purpose of determining whether a quorum is present. If his appointor is for the time being absent from the United Kingdom, or temporarily unable to act through ill-health or disability, his signature to any resolution in writing of the directors shall be as effective as the signature of his appointor. An alternate director shall not (save as aforesaid) have power to act as a director nor shall he be deemed to be a director for the purposes of these articles.</w:t>
      </w:r>
    </w:p>
    <w:p>
      <w:pPr>
        <w:spacing w:after="0" w:line="172" w:lineRule="exact"/>
        <w:rPr>
          <w:sz w:val="20"/>
          <w:szCs w:val="20"/>
          <w:color w:val="auto"/>
        </w:rPr>
      </w:pPr>
    </w:p>
    <w:p>
      <w:pPr>
        <w:ind w:left="840" w:hanging="747"/>
        <w:spacing w:after="0"/>
        <w:tabs>
          <w:tab w:leader="none" w:pos="84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Alternate may be paid expenses but not remuneration</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alternate director shall be entitled to be repaid expenses, and to be indemnified, by the Company to the same extent as if he were a director, but he shall not be entitled to receive from the Company any remuneration in respect of his services as an alternate director, except such proportion (if any) of the remuneration otherwise payable to his appointor as such appointor may by notice to the Company from time to time direct.</w:t>
      </w:r>
    </w:p>
    <w:p>
      <w:pPr>
        <w:spacing w:after="0" w:line="162"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Alternate not an agent of appointor</w:t>
      </w:r>
    </w:p>
    <w:p>
      <w:pPr>
        <w:spacing w:after="0" w:line="233" w:lineRule="exact"/>
        <w:rPr>
          <w:sz w:val="20"/>
          <w:szCs w:val="20"/>
          <w:color w:val="auto"/>
        </w:rPr>
      </w:pPr>
    </w:p>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Except as otherwise expressly provided in these articles, an alternate director shall be subject in all respects to these articles relating to directors. Accordingly, except where the context otherwise requires, a reference to a director shall be deemed to include a reference to an alternate director. An alternate director shall be responsible to the Company for his own acts and defaults and he shall not be deemed to be the agent of the director appointing him.</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REMUNERATION, EXPENSES, PENSIONS AND OTHER BENEFITS</w:t>
      </w:r>
    </w:p>
    <w:p>
      <w:pPr>
        <w:spacing w:after="0" w:line="216" w:lineRule="exact"/>
        <w:rPr>
          <w:sz w:val="20"/>
          <w:szCs w:val="20"/>
          <w:color w:val="auto"/>
        </w:rPr>
      </w:pPr>
    </w:p>
    <w:p>
      <w:pPr>
        <w:ind w:left="840" w:hanging="747"/>
        <w:spacing w:after="0"/>
        <w:tabs>
          <w:tab w:leader="none" w:pos="84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remuneration</w:t>
      </w:r>
    </w:p>
    <w:p>
      <w:pPr>
        <w:spacing w:after="0" w:line="233"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grant special remuneration to any director who performs any special or extra services to or at the request of the Company.</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special remuneration may be paid by way of lump sum, salary, commission, participation in profits or otherwise as the Board may decide in addition to any remuneration payable under or pursuant to any other of these articles.</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director shall be paid out of the funds of the Company all travelling, hotel and other expenses properly incurred by the director in and about the discharge of the director's duties, including the director's expenses of travelling to and from board meetings, committee meetings and general meetings. Subject to any guidelines and procedures established from time to time by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61" w:name="page62"/>
    <w:bookmarkEnd w:id="61"/>
    <w:p>
      <w:pPr>
        <w:ind w:left="840" w:right="20"/>
        <w:spacing w:after="0" w:line="269" w:lineRule="auto"/>
        <w:rPr>
          <w:sz w:val="20"/>
          <w:szCs w:val="20"/>
          <w:color w:val="auto"/>
        </w:rPr>
      </w:pPr>
      <w:r>
        <w:rPr>
          <w:rFonts w:ascii="Times New Roman" w:cs="Times New Roman" w:eastAsia="Times New Roman" w:hAnsi="Times New Roman"/>
          <w:sz w:val="20"/>
          <w:szCs w:val="20"/>
          <w:color w:val="auto"/>
        </w:rPr>
        <w:t>the Board, a director may also be paid out of the funds of the Company all expenses incurred by the director in obtaining professional advice in connection with the affairs of the Company or the discharge of the director's duties as a director.</w:t>
      </w:r>
    </w:p>
    <w:p>
      <w:pPr>
        <w:spacing w:after="0" w:line="155" w:lineRule="exact"/>
        <w:rPr>
          <w:sz w:val="20"/>
          <w:szCs w:val="20"/>
          <w:color w:val="auto"/>
        </w:rPr>
      </w:pPr>
    </w:p>
    <w:p>
      <w:pPr>
        <w:ind w:left="840" w:hanging="747"/>
        <w:spacing w:after="0"/>
        <w:tabs>
          <w:tab w:leader="none" w:pos="84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Pensions and other benefits</w:t>
      </w:r>
    </w:p>
    <w:p>
      <w:pPr>
        <w:spacing w:after="0" w:line="233"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exercise all the powers of the Company to:</w:t>
      </w:r>
    </w:p>
    <w:p>
      <w:pPr>
        <w:spacing w:after="0" w:line="215" w:lineRule="exact"/>
        <w:rPr>
          <w:rFonts w:ascii="Times New Roman" w:cs="Times New Roman" w:eastAsia="Times New Roman" w:hAnsi="Times New Roman"/>
          <w:sz w:val="20"/>
          <w:szCs w:val="20"/>
          <w:b w:val="1"/>
          <w:bCs w:val="1"/>
          <w:color w:val="auto"/>
        </w:rPr>
      </w:pPr>
    </w:p>
    <w:p>
      <w:pPr>
        <w:jc w:val="both"/>
        <w:ind w:left="1860" w:hanging="734"/>
        <w:spacing w:after="0" w:line="243" w:lineRule="auto"/>
        <w:tabs>
          <w:tab w:leader="none" w:pos="186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provide, arrange or procure the grant of pensions or other retirement benefits, death, disability or sickness benefits, health, accident and other insurances or other such benefits, allowances, gratuities or insurances, including in relation to the termination of employment, to or for the benefit of any person who is or has been at any time a director of the Company or in the employment or service of the Company or of any body corporate which is or was associated with the Company or of the predecessors in business of the Company or any such associated body corporate, or the relatives or dependants of any such person. For that purpose, the Board may procure the establishment and maintenance of, or participation in, or contribution to, any pension fund, scheme or arrangement and the payment of any insurance premiums;</w:t>
      </w:r>
    </w:p>
    <w:p>
      <w:pPr>
        <w:spacing w:after="0" w:line="18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maintain, adopt and enable participation in any profit sharing or incentive scheme including shares, share options or cash or any similar schemes for the benefit of any director or employee of the Company or of any associated body corporate, and to lend money to any such director or employee or to trustees on their behalf to enable any such schemes to be established, maintained or adopted; and</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and subscribe to any institution or association which may be for the benefit of the Company or of any associated body corporate or any directors or employees of the Company or associated body corporate or their relatives or dependants or connected with any town or place where the Company or an associated body corporate carries on business, and to support and subscribe to any charitable or public object whatsoever.</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POWERS OF THE BOARD</w:t>
      </w:r>
    </w:p>
    <w:p>
      <w:pPr>
        <w:spacing w:after="0" w:line="216" w:lineRule="exact"/>
        <w:rPr>
          <w:sz w:val="20"/>
          <w:szCs w:val="20"/>
          <w:color w:val="auto"/>
        </w:rPr>
      </w:pPr>
    </w:p>
    <w:p>
      <w:pPr>
        <w:ind w:left="840" w:hanging="747"/>
        <w:spacing w:after="0"/>
        <w:tabs>
          <w:tab w:leader="none" w:pos="84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powers of the Board to manage the Company's business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the Company shall be managed by the Board which may exercise all the powers of the Company, subject to the Statutes, these articles and any resolution of the Company. No resolution or alteration of these articles shall invalidate any prior act of the Board which would have been valid if the resolution had not been passed or the alteration had not been made.</w:t>
      </w:r>
    </w:p>
    <w:p>
      <w:pPr>
        <w:spacing w:after="0" w:line="166"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powers given by this article shall not be limited by any special authority or power given to the Board by any other article.</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act notwithstanding vacancy</w:t>
      </w:r>
    </w:p>
    <w:p>
      <w:pPr>
        <w:spacing w:after="0" w:line="233"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continuing directors or the sole continuing director at any time may act notwithstanding any vacancy in their number; but, if the number of directors is less than the minimum number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62" w:name="page63"/>
    <w:bookmarkEnd w:id="62"/>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of directors fixed by or in accordance with these articles, the continuing directors or director may act for the purpose of filling up vacancies or calling a general meeting of the Company, but not for any other purpose. If no director is able or willing to act, then any two members may summon a general meeting for the purpose of appointing directors.</w:t>
      </w:r>
    </w:p>
    <w:p>
      <w:pPr>
        <w:spacing w:after="0" w:line="170" w:lineRule="exact"/>
        <w:rPr>
          <w:sz w:val="20"/>
          <w:szCs w:val="20"/>
          <w:color w:val="auto"/>
        </w:rPr>
      </w:pPr>
    </w:p>
    <w:p>
      <w:pPr>
        <w:ind w:left="840" w:hanging="747"/>
        <w:spacing w:after="0"/>
        <w:tabs>
          <w:tab w:leader="none" w:pos="84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Provisions for employees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exercise any of the powers conferred by the Statutes to make provision for the benefit of any persons employed or formerly employed by the Company or any of its subsidiaries (other than a director or former director or shadow director) in connection with the cessation or the transfer to any person of the whole or part of the undertaking of the Company or any of its subsidiaries.</w:t>
      </w:r>
    </w:p>
    <w:p>
      <w:pPr>
        <w:spacing w:after="0" w:line="17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borrow money</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7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Subject to the Statutes, the Board may exercise all the powers of the Company to borrow money and to mortgage or charge all or any part of its undertaking, property and assets (both present and future) and uncalled capital and to issue debentures and other securities, whether outright or as collateral security for any debt, liability or obligation of the Company or of any third party.</w:t>
      </w:r>
    </w:p>
    <w:p>
      <w:pPr>
        <w:spacing w:after="0" w:line="152"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change the name of the Company</w:t>
      </w:r>
    </w:p>
    <w:p>
      <w:pPr>
        <w:spacing w:after="0" w:line="219" w:lineRule="exact"/>
        <w:rPr>
          <w:rFonts w:ascii="Times New Roman" w:cs="Times New Roman" w:eastAsia="Times New Roman" w:hAnsi="Times New Roman"/>
          <w:sz w:val="20"/>
          <w:szCs w:val="20"/>
          <w:b w:val="1"/>
          <w:bCs w:val="1"/>
          <w:color w:val="auto"/>
        </w:rPr>
      </w:pPr>
    </w:p>
    <w:p>
      <w:pPr>
        <w:ind w:left="8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Statutes, the Company may change its name by special resolution.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DELEGATION OF BOARD'S POWERS</w:t>
      </w:r>
    </w:p>
    <w:p>
      <w:pPr>
        <w:spacing w:after="0" w:line="216" w:lineRule="exact"/>
        <w:rPr>
          <w:sz w:val="20"/>
          <w:szCs w:val="20"/>
          <w:color w:val="auto"/>
        </w:rPr>
      </w:pPr>
    </w:p>
    <w:p>
      <w:pPr>
        <w:ind w:left="840" w:hanging="747"/>
        <w:spacing w:after="0"/>
        <w:tabs>
          <w:tab w:leader="none" w:pos="84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Delegation to individual directors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entrust to and confer upon any director any of its powers, authorities and discretions (with power to sub-delegate) on such terms and conditions as it thinks fit and may revoke or vary all or any of them, but no person dealing in good faith shall be affected by any revocation or variation.</w:t>
      </w:r>
    </w:p>
    <w:p>
      <w:pPr>
        <w:spacing w:after="0" w:line="17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Committees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43" w:lineRule="auto"/>
        <w:tabs>
          <w:tab w:leader="none" w:pos="186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delegate any of its powers, authorities and discretions (with power to sub-delegate) to any committee consisting of such person or persons (whether directors or not) as it thinks fit, provided that the majority of the members of the committee are directors and that no meeting of the committee shall be quorate for the purpose of exercising any of its powers, authorities or discretions unless a majority of those present are directors. The Board may make any such delegation on such terms and conditions as it thinks fit and may revoke or vary any such delegation and discharge any committee wholly or in part, but no person dealing in good faith shall be affected by any revocation or variation. Any committee so formed shall, in the exercise of the powers, authorities and discretions so delegated, conform to any regulations that may be imposed on it by the Board.</w:t>
      </w:r>
    </w:p>
    <w:p>
      <w:pPr>
        <w:spacing w:after="0" w:line="18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proceedings of a committee with two or more members shall be governed by any regulations imposed on it by the Board and (subject to such regulations) by these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63" w:name="page64"/>
    <w:bookmarkEnd w:id="63"/>
    <w:p>
      <w:pPr>
        <w:ind w:left="1880"/>
        <w:spacing w:after="0"/>
        <w:rPr>
          <w:sz w:val="20"/>
          <w:szCs w:val="20"/>
          <w:color w:val="auto"/>
        </w:rPr>
      </w:pPr>
      <w:r>
        <w:rPr>
          <w:rFonts w:ascii="Times New Roman" w:cs="Times New Roman" w:eastAsia="Times New Roman" w:hAnsi="Times New Roman"/>
          <w:sz w:val="20"/>
          <w:szCs w:val="20"/>
          <w:color w:val="auto"/>
        </w:rPr>
        <w:t>articles regulating the proceedings of the Board so far as they are capable of applying.</w:t>
      </w:r>
    </w:p>
    <w:p>
      <w:pPr>
        <w:spacing w:after="0" w:line="212" w:lineRule="exact"/>
        <w:rPr>
          <w:sz w:val="20"/>
          <w:szCs w:val="20"/>
          <w:color w:val="auto"/>
        </w:rPr>
      </w:pPr>
    </w:p>
    <w:p>
      <w:pPr>
        <w:ind w:left="840" w:hanging="747"/>
        <w:spacing w:after="0"/>
        <w:tabs>
          <w:tab w:leader="none" w:pos="84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Local boards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make such arrangements as they think fit for the management and transaction of the Company’s affairs in any specified locality, whether in the United Kingdom or elsewhere, and, without prejudice to the generality of the foregoing, may:</w:t>
      </w:r>
    </w:p>
    <w:p>
      <w:pPr>
        <w:spacing w:after="0" w:line="174"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any local or divisional board or agency for managing any of the affairs of the Company whether in the United Kingdom or elsewhere and may appoint any persons to be members of a local or divisional board, or to be managers or agents, and may fix their remuneration;</w:t>
      </w:r>
    </w:p>
    <w:p>
      <w:pPr>
        <w:spacing w:after="0" w:line="174"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delegate to any local or divisional board, manager or agent any of its powers, authorities and discretions (with power to sub-delegate) and</w:t>
      </w:r>
    </w:p>
    <w:p>
      <w:pPr>
        <w:spacing w:after="0" w:line="159" w:lineRule="exact"/>
        <w:rPr>
          <w:rFonts w:ascii="Times New Roman" w:cs="Times New Roman" w:eastAsia="Times New Roman" w:hAnsi="Times New Roman"/>
          <w:sz w:val="20"/>
          <w:szCs w:val="20"/>
          <w:color w:val="auto"/>
        </w:rPr>
      </w:pPr>
    </w:p>
    <w:p>
      <w:pPr>
        <w:ind w:left="2320" w:right="20" w:hanging="730"/>
        <w:spacing w:after="0" w:line="269" w:lineRule="auto"/>
        <w:tabs>
          <w:tab w:leader="none" w:pos="2320"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authorise the members of any local or divisional board or any of them to fill any vacancies and to act notwithstanding vacancies.</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appointment or delegation under this article may be made on such terms and subject to such conditions as the Board thinks fit and the Board may remove any person so appointed, and may revoke or vary any delegation, but no person dealing in good faith shall be affected by the revocation or variation.</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Powers of attorney and agents</w:t>
      </w:r>
    </w:p>
    <w:p>
      <w:pPr>
        <w:spacing w:after="0" w:line="220" w:lineRule="exact"/>
        <w:rPr>
          <w:sz w:val="20"/>
          <w:szCs w:val="20"/>
          <w:color w:val="auto"/>
        </w:rPr>
      </w:pPr>
    </w:p>
    <w:p>
      <w:pPr>
        <w:jc w:val="both"/>
        <w:ind w:left="840"/>
        <w:spacing w:after="0" w:line="263" w:lineRule="auto"/>
        <w:rPr>
          <w:sz w:val="20"/>
          <w:szCs w:val="20"/>
          <w:color w:val="auto"/>
        </w:rPr>
      </w:pPr>
      <w:r>
        <w:rPr>
          <w:rFonts w:ascii="Times New Roman" w:cs="Times New Roman" w:eastAsia="Times New Roman" w:hAnsi="Times New Roman"/>
          <w:sz w:val="19"/>
          <w:szCs w:val="19"/>
          <w:color w:val="auto"/>
        </w:rPr>
        <w:t>The Board may by power of attorney or otherwise appoint any person to be the agent of the Company on such terms (including terms as to remuneration) as it may decide and may delegate to any person so appointed any of its powers, authorities and discretions (with power to sub- delegate). The Board may remove any person appointed under this article and may revoke or vary the delegation, but no person dealing in good faith shall be affected by the revocation or variation. Any such appointment may contain such provisions for the protection and convenience of persons dealing with any such attorney as the Board may think fit.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DIRECTORS' INTERESTS</w:t>
      </w:r>
    </w:p>
    <w:p>
      <w:pPr>
        <w:spacing w:after="0" w:line="216" w:lineRule="exact"/>
        <w:rPr>
          <w:sz w:val="20"/>
          <w:szCs w:val="20"/>
          <w:color w:val="auto"/>
        </w:rPr>
      </w:pPr>
    </w:p>
    <w:p>
      <w:pPr>
        <w:ind w:left="840" w:hanging="747"/>
        <w:spacing w:after="0"/>
        <w:tabs>
          <w:tab w:leader="none" w:pos="84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Declaration of interests in a proposed transaction or arrangement with the Company</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who has, directly or indirectly, an interest in a transaction entered into or proposed to be entered into by the Company or by a subsidiary of the Company which conflicts or possibly may conflict with the interests of the Company or the exploitation of any property, information or opportunity, whether or not the Company could take advantage of it (but excluding any interest which cannot reasonably be regarded as likely to give rise to a conflict of interest), and of which such director is aware, shall disclose to the Company the nature and extent of such director's interest.</w:t>
      </w:r>
    </w:p>
    <w:p>
      <w:pPr>
        <w:spacing w:after="0" w:line="22"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declaration of interest required by this article must be made as soon as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64" w:name="page65"/>
    <w:bookmarkEnd w:id="64"/>
    <w:p>
      <w:pPr>
        <w:ind w:left="1860"/>
        <w:spacing w:after="0"/>
        <w:rPr>
          <w:sz w:val="20"/>
          <w:szCs w:val="20"/>
          <w:color w:val="auto"/>
        </w:rPr>
      </w:pPr>
      <w:r>
        <w:rPr>
          <w:rFonts w:ascii="Times New Roman" w:cs="Times New Roman" w:eastAsia="Times New Roman" w:hAnsi="Times New Roman"/>
          <w:sz w:val="20"/>
          <w:szCs w:val="20"/>
          <w:color w:val="auto"/>
        </w:rPr>
        <w:t>reasonably practicable.</w:t>
      </w:r>
    </w:p>
    <w:p>
      <w:pPr>
        <w:spacing w:after="0" w:line="216" w:lineRule="exact"/>
        <w:rPr>
          <w:sz w:val="20"/>
          <w:szCs w:val="20"/>
          <w:color w:val="auto"/>
        </w:rPr>
      </w:pPr>
    </w:p>
    <w:p>
      <w:pPr>
        <w:ind w:left="1860" w:hanging="734"/>
        <w:spacing w:after="0"/>
        <w:tabs>
          <w:tab w:leader="none" w:pos="18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declaration of interest proves to be, or becomes, inaccurate or incomplete, a further disclosure must be made.</w:t>
      </w:r>
    </w:p>
    <w:p>
      <w:pPr>
        <w:spacing w:after="0" w:line="229"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article, a director need not declare an interest:</w:t>
      </w:r>
    </w:p>
    <w:p>
      <w:pPr>
        <w:spacing w:after="0" w:line="21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cannot reasonably be regarded as likely to give rise to a conflict of interest;</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or to the extent that, the other directors are already aware of it; or</w:t>
      </w:r>
    </w:p>
    <w:p>
      <w:pPr>
        <w:spacing w:after="0" w:line="215" w:lineRule="exact"/>
        <w:rPr>
          <w:rFonts w:ascii="Times New Roman" w:cs="Times New Roman" w:eastAsia="Times New Roman" w:hAnsi="Times New Roman"/>
          <w:sz w:val="20"/>
          <w:szCs w:val="20"/>
          <w:color w:val="auto"/>
        </w:rPr>
      </w:pPr>
    </w:p>
    <w:p>
      <w:pPr>
        <w:ind w:left="2340" w:hanging="750"/>
        <w:spacing w:after="0" w:line="295" w:lineRule="auto"/>
        <w:tabs>
          <w:tab w:leader="none" w:pos="2340"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or to the extent that, it concerns terms of his service contract that have been or are to be considered by (A) a meeting of the directors; or (B) by a committee of the directors appointed for the purpose under these articles.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65" w:name="page66"/>
    <w:bookmarkEnd w:id="65"/>
    <w:p>
      <w:pPr>
        <w:ind w:left="240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840" w:right="6260" w:hanging="747"/>
        <w:spacing w:after="0" w:line="474" w:lineRule="auto"/>
        <w:tabs>
          <w:tab w:leader="none" w:pos="842"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Provisions applicable to declarations of interest </w:t>
      </w:r>
      <w:r>
        <w:rPr>
          <w:rFonts w:ascii="Times New Roman" w:cs="Times New Roman" w:eastAsia="Times New Roman" w:hAnsi="Times New Roman"/>
          <w:sz w:val="20"/>
          <w:szCs w:val="20"/>
          <w:color w:val="auto"/>
        </w:rPr>
        <w:t>For the purposes of article 87:</w:t>
      </w:r>
    </w:p>
    <w:p>
      <w:pPr>
        <w:jc w:val="both"/>
        <w:ind w:left="1860" w:hanging="734"/>
        <w:spacing w:after="0" w:line="249" w:lineRule="auto"/>
        <w:tabs>
          <w:tab w:leader="none" w:pos="186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disclosure shall be made at the first meeting of the directors at which the transaction is considered after the director concerned becomes aware of the circumstances giving rise to such director's duty to make it or, if for any reason the director fails to do so at such meeting, as soon as practical after the meeting, by notice in writing delivered to the secretary;</w:t>
      </w:r>
    </w:p>
    <w:p>
      <w:pPr>
        <w:spacing w:after="0" w:line="166"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secretary, where the disclosure is made to shall inform the directors that it has been made and shall in any event table the notice of the disclosure at the next meeting after it is made;</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disclosure to the Company by a director in accordance with article 88(a) above that such director is to be regarded as interested in a transaction with a specified person is sufficient disclosure of that director's interest in any such transaction entered into after the disclosure is made; and</w:t>
      </w:r>
    </w:p>
    <w:p>
      <w:pPr>
        <w:spacing w:after="0" w:line="174"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disclosure made at a meeting of the directors shall be recorded in the minutes of the meeting.</w:t>
      </w:r>
    </w:p>
    <w:p>
      <w:pPr>
        <w:spacing w:after="0" w:line="21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of the Board to authorise conflicts of interest</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 may authorise any matter proposed to it in accordance with these articles which would, if not so authorised, involve a breach by a director of his duty to avoid conflicts of interest under the Statutes, including, without limitation, any matter which relates to a situation (a </w:t>
      </w:r>
      <w:r>
        <w:rPr>
          <w:rFonts w:ascii="Times New Roman" w:cs="Times New Roman" w:eastAsia="Times New Roman" w:hAnsi="Times New Roman"/>
          <w:sz w:val="20"/>
          <w:szCs w:val="20"/>
          <w:b w:val="1"/>
          <w:bCs w:val="1"/>
          <w:color w:val="auto"/>
        </w:rPr>
        <w:t>relevant situation</w:t>
      </w:r>
      <w:r>
        <w:rPr>
          <w:rFonts w:ascii="Times New Roman" w:cs="Times New Roman" w:eastAsia="Times New Roman" w:hAnsi="Times New Roman"/>
          <w:sz w:val="20"/>
          <w:szCs w:val="20"/>
          <w:color w:val="auto"/>
        </w:rPr>
        <w:t>) in which a director has, or can have, an interest which conflicts, or possibly may conflict, with the interest of the Company or the exploitation of any property, information or opportunity, whether or not the Company could take advantage of it, but excluding any interest which cannot reasonably be regarded as likely to give rise to a conflict of interest. The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59" w:right="459" w:bottom="1440" w:gutter="0" w:footer="0" w:header="0"/>
        </w:sectPr>
      </w:pPr>
    </w:p>
    <w:bookmarkStart w:id="66" w:name="page67"/>
    <w:bookmarkEnd w:id="66"/>
    <w:p>
      <w:pPr>
        <w:ind w:left="1880" w:right="80"/>
        <w:spacing w:after="0" w:line="269" w:lineRule="auto"/>
        <w:rPr>
          <w:sz w:val="20"/>
          <w:szCs w:val="20"/>
          <w:color w:val="auto"/>
        </w:rPr>
      </w:pPr>
      <w:r>
        <w:rPr>
          <w:rFonts w:ascii="Times New Roman" w:cs="Times New Roman" w:eastAsia="Times New Roman" w:hAnsi="Times New Roman"/>
          <w:sz w:val="20"/>
          <w:szCs w:val="20"/>
          <w:color w:val="auto"/>
        </w:rPr>
        <w:t>provisions of this article do not apply to a conflict of interest arising in relation to a transaction or arrangement with the Company.</w:t>
      </w:r>
    </w:p>
    <w:p>
      <w:pPr>
        <w:spacing w:after="0" w:line="159" w:lineRule="exact"/>
        <w:rPr>
          <w:sz w:val="20"/>
          <w:szCs w:val="20"/>
          <w:color w:val="auto"/>
        </w:rPr>
      </w:pPr>
    </w:p>
    <w:p>
      <w:pPr>
        <w:ind w:left="1880" w:hanging="754"/>
        <w:spacing w:after="0"/>
        <w:tabs>
          <w:tab w:leader="none" w:pos="188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authorisation will be effective only if:</w:t>
      </w:r>
    </w:p>
    <w:p>
      <w:pPr>
        <w:spacing w:after="0" w:line="229"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requirement as to quorum at the meeting at which the matter is considered is met without counting the director in question or any other interested director; and</w:t>
      </w:r>
    </w:p>
    <w:p>
      <w:pPr>
        <w:spacing w:after="0" w:line="159"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matter was agreed to without their voting or would have been agreed to if their votes had not been counted.</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(whether at the time of the giving of the authorisation or subsequently) make any such authorisation subject to any limits or conditions it expressly imposes but such authorisation is otherwise given to the fullest extent permitted.</w:t>
      </w:r>
    </w:p>
    <w:p>
      <w:pPr>
        <w:spacing w:after="0" w:line="174"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vary or terminate any such authorisation at any time.</w:t>
      </w:r>
    </w:p>
    <w:p>
      <w:pPr>
        <w:spacing w:after="0" w:line="211"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interests and voting</w:t>
      </w:r>
    </w:p>
    <w:p>
      <w:pPr>
        <w:spacing w:after="0" w:line="233" w:lineRule="exact"/>
        <w:rPr>
          <w:rFonts w:ascii="Times New Roman" w:cs="Times New Roman" w:eastAsia="Times New Roman" w:hAnsi="Times New Roman"/>
          <w:sz w:val="20"/>
          <w:szCs w:val="20"/>
          <w:b w:val="1"/>
          <w:bCs w:val="1"/>
          <w:color w:val="auto"/>
        </w:rPr>
      </w:pPr>
    </w:p>
    <w:p>
      <w:pPr>
        <w:ind w:left="1860" w:right="20" w:hanging="734"/>
        <w:spacing w:after="0" w:line="269" w:lineRule="auto"/>
        <w:tabs>
          <w:tab w:leader="none" w:pos="186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and provided the director has declared any interest or interests in accordance with articles 87 and 88, a director may (notwithstanding his office):</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be interested in any transaction or arrangement with the Company, either with regard to the director's tenure of any office or position in the management, administration or conduct of the business of the Company or as vendor, purchaser or otherwise;</w:t>
      </w:r>
    </w:p>
    <w:p>
      <w:pPr>
        <w:spacing w:after="0" w:line="174" w:lineRule="exact"/>
        <w:rPr>
          <w:rFonts w:ascii="Times New Roman" w:cs="Times New Roman" w:eastAsia="Times New Roman" w:hAnsi="Times New Roman"/>
          <w:sz w:val="20"/>
          <w:szCs w:val="20"/>
          <w:color w:val="auto"/>
        </w:rPr>
      </w:pPr>
    </w:p>
    <w:p>
      <w:pPr>
        <w:jc w:val="both"/>
        <w:ind w:left="2340" w:hanging="750"/>
        <w:spacing w:after="0" w:line="246" w:lineRule="auto"/>
        <w:tabs>
          <w:tab w:leader="none" w:pos="234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 any other office or place of profit with the Company (except that of auditor) in conjunction with the director's office of director for such period (subject to the Statutes) and upon such terms as the Board may decide and be paid such extra remuneration for so doing (whether by way of salary, commission, participation in profits or otherwise) as the Board may decide, either in addition to or in lieu of any remuneration under any other provision of these articles;</w:t>
      </w:r>
    </w:p>
    <w:p>
      <w:pPr>
        <w:spacing w:after="0" w:line="184"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personally or by the director's firm in a professional capacity for the Company (except as auditor) and be entitled to remuneration for professional services as if the director were not a director;</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45" w:lineRule="auto"/>
        <w:tabs>
          <w:tab w:leader="none" w:pos="234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or become a member or director of, or hold any other office or place of profit under, or otherwise be interested in, any holding company or subsidiary undertaking of that holding company or any other company in which the Company may be interested. The Board may cause the voting rights conferred by the shares in any other company held or owned by the Company or exercisable by them as directors of that other company to be exercised in such manner in all respects as it thinks fit (including the exercise of voting rights in favour of any resolution appointing the directors or any of them as directors 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67" w:name="page68"/>
    <w:bookmarkEnd w:id="67"/>
    <w:p>
      <w:pPr>
        <w:ind w:left="2340" w:right="60"/>
        <w:spacing w:after="0" w:line="269" w:lineRule="auto"/>
        <w:rPr>
          <w:sz w:val="20"/>
          <w:szCs w:val="20"/>
          <w:color w:val="auto"/>
        </w:rPr>
      </w:pPr>
      <w:r>
        <w:rPr>
          <w:rFonts w:ascii="Times New Roman" w:cs="Times New Roman" w:eastAsia="Times New Roman" w:hAnsi="Times New Roman"/>
          <w:sz w:val="20"/>
          <w:szCs w:val="20"/>
          <w:color w:val="auto"/>
        </w:rPr>
        <w:t>officers of the other company or voting or providing for the payment of any benefit to the directors or officers of the other company); and</w:t>
      </w:r>
    </w:p>
    <w:p>
      <w:pPr>
        <w:spacing w:after="0" w:line="159" w:lineRule="exact"/>
        <w:rPr>
          <w:sz w:val="20"/>
          <w:szCs w:val="20"/>
          <w:color w:val="auto"/>
        </w:rPr>
      </w:pPr>
    </w:p>
    <w:p>
      <w:pPr>
        <w:jc w:val="both"/>
        <w:ind w:left="2340" w:hanging="750"/>
        <w:spacing w:after="0" w:line="249" w:lineRule="auto"/>
        <w:tabs>
          <w:tab w:leader="none" w:pos="23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or become a director, manager or employee of, or a consultant to, or acquire or retain any direct or indirect interest in, any entity (whether or not a body corporate) in which the Company does not have an interest if that cannot reasonably be regarded as likely to give rise to a conflict of interest at the time of the director's appointment as a director of that other company.</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shall not, by reason of holding office as director (or of the fiduciary relationship established by holding that office), be liable to account to the Company for any remuneration, profit or other benefit resulting from any interest permitted under paragraph (a) above and no contract shall be liable to be avoided on the grounds of any director having any type of interest permitted under paragraph (a) above.</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2" w:lineRule="auto"/>
        <w:tabs>
          <w:tab w:leader="none" w:pos="18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shall not vote (or be counted in the quorum at a meeting) in respect of any resolution concerning that director's own appointment (including fixing or varying its terms), or the termination of that director's own appointment, as the holder of any office or place of profit with the Company or any other company in which the Company is interested but, where proposals are under consideration concerning the appointment (including fixing or varying its terms), or the termination of the appointment, of two or more directors to offices or places of profit with the Company or any other company in which the Company is interested, those proposals may be divided and a separate resolution may be put in relation to each director and in that case each of the directors concerned (if not otherwise debarred from voting under this article) shall be entitled to vote (and be counted in the quorum) in respect of each resolution unless it concerns that director's own appointment or the termination of that director's own appointment.</w:t>
      </w:r>
    </w:p>
    <w:p>
      <w:pPr>
        <w:spacing w:after="0" w:line="192"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shall also not vote (or be counted in the quorum at a meeting) in relation to any resolution relating to any transaction or arrangement with the Company in which the director has an interest which may reasonably be regarded as likely to give rise to a conflict of interest and, if the director purports to do so, the director's vote shall not be counted, but this prohibition shall not apply and a director may vote (and be counted in the quorum) in respect of any resolution concerning any one or more of the following matters:</w:t>
      </w:r>
    </w:p>
    <w:p>
      <w:pPr>
        <w:spacing w:after="0" w:line="171"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or arrangement in which the director is interested by virtue of an interest in shares, debentures or other securities of the Company or otherwise in or through the Company;</w:t>
      </w:r>
    </w:p>
    <w:p>
      <w:pPr>
        <w:spacing w:after="0" w:line="159" w:lineRule="exact"/>
        <w:rPr>
          <w:sz w:val="20"/>
          <w:szCs w:val="20"/>
          <w:color w:val="auto"/>
        </w:rPr>
      </w:pPr>
    </w:p>
    <w:p>
      <w:pPr>
        <w:ind w:left="2340" w:hanging="750"/>
        <w:spacing w:after="0"/>
        <w:tabs>
          <w:tab w:leader="none" w:pos="23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giving of any guarantee, security or indemnity in respect of:</w:t>
      </w:r>
    </w:p>
    <w:p>
      <w:pPr>
        <w:spacing w:after="0" w:line="229" w:lineRule="exact"/>
        <w:rPr>
          <w:rFonts w:ascii="Times New Roman" w:cs="Times New Roman" w:eastAsia="Times New Roman" w:hAnsi="Times New Roman"/>
          <w:sz w:val="20"/>
          <w:szCs w:val="20"/>
          <w:color w:val="auto"/>
        </w:rPr>
      </w:pPr>
    </w:p>
    <w:p>
      <w:pPr>
        <w:ind w:left="3080" w:hanging="741"/>
        <w:spacing w:after="0" w:line="269" w:lineRule="auto"/>
        <w:tabs>
          <w:tab w:leader="none" w:pos="308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lent or obligations incurred by the director or by any other person at the request of, or for the benefit of, the Company or any of its subsidiary undertakings; or</w:t>
      </w:r>
    </w:p>
    <w:p>
      <w:pPr>
        <w:spacing w:after="0" w:line="145" w:lineRule="exact"/>
        <w:rPr>
          <w:rFonts w:ascii="Times New Roman" w:cs="Times New Roman" w:eastAsia="Times New Roman" w:hAnsi="Times New Roman"/>
          <w:sz w:val="20"/>
          <w:szCs w:val="20"/>
          <w:color w:val="auto"/>
        </w:rPr>
      </w:pPr>
    </w:p>
    <w:p>
      <w:pPr>
        <w:ind w:left="3080" w:hanging="741"/>
        <w:spacing w:after="0"/>
        <w:tabs>
          <w:tab w:leader="none" w:pos="308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debt or obligation of the Company or any of its subsidiary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68" w:name="page69"/>
    <w:bookmarkEnd w:id="68"/>
    <w:p>
      <w:pPr>
        <w:spacing w:after="0" w:line="135"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20"/>
          <w:szCs w:val="20"/>
          <w:color w:val="auto"/>
        </w:rPr>
        <w:t>undertakings for which the director personally has assumed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9" w:name="page70"/>
    <w:bookmarkEnd w:id="69"/>
    <w:p>
      <w:pPr>
        <w:ind w:left="3080" w:right="120"/>
        <w:spacing w:after="0" w:line="269" w:lineRule="auto"/>
        <w:rPr>
          <w:sz w:val="20"/>
          <w:szCs w:val="20"/>
          <w:color w:val="auto"/>
        </w:rPr>
      </w:pPr>
      <w:r>
        <w:rPr>
          <w:rFonts w:ascii="Times New Roman" w:cs="Times New Roman" w:eastAsia="Times New Roman" w:hAnsi="Times New Roman"/>
          <w:sz w:val="20"/>
          <w:szCs w:val="20"/>
          <w:color w:val="auto"/>
        </w:rPr>
        <w:t>responsibility in whole or in part (either alone or jointly with others) under a guarantee or indemnity or by the giving of security;</w:t>
      </w:r>
    </w:p>
    <w:p>
      <w:pPr>
        <w:spacing w:after="0" w:line="159" w:lineRule="exact"/>
        <w:rPr>
          <w:sz w:val="20"/>
          <w:szCs w:val="20"/>
          <w:color w:val="auto"/>
        </w:rPr>
      </w:pPr>
    </w:p>
    <w:p>
      <w:pPr>
        <w:ind w:left="2340" w:right="40" w:hanging="750"/>
        <w:spacing w:after="0" w:line="269" w:lineRule="auto"/>
        <w:tabs>
          <w:tab w:leader="none" w:pos="234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indemnification (including loans made in connection with it) by the Company in relation to the performance of the director's duties on behalf of the Company or of any of its subsidiary undertakings;</w:t>
      </w:r>
    </w:p>
    <w:p>
      <w:pPr>
        <w:spacing w:after="0" w:line="172" w:lineRule="exact"/>
        <w:rPr>
          <w:rFonts w:ascii="Times New Roman" w:cs="Times New Roman" w:eastAsia="Times New Roman" w:hAnsi="Times New Roman"/>
          <w:sz w:val="20"/>
          <w:szCs w:val="20"/>
          <w:color w:val="auto"/>
        </w:rPr>
      </w:pPr>
    </w:p>
    <w:p>
      <w:pPr>
        <w:jc w:val="both"/>
        <w:ind w:left="2340" w:right="40" w:hanging="750"/>
        <w:spacing w:after="0" w:line="254" w:lineRule="auto"/>
        <w:tabs>
          <w:tab w:leader="none" w:pos="234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issue or offer of shares, debentures or other securities of the Company or any of its subsidiary undertakings in respect of which the director is or may be entitled to participate in the director's capacity as a holder of any such securities or as an underwriter or sub-underwriter;</w:t>
      </w:r>
    </w:p>
    <w:p>
      <w:pPr>
        <w:spacing w:after="0" w:line="174" w:lineRule="exact"/>
        <w:rPr>
          <w:rFonts w:ascii="Times New Roman" w:cs="Times New Roman" w:eastAsia="Times New Roman" w:hAnsi="Times New Roman"/>
          <w:sz w:val="20"/>
          <w:szCs w:val="20"/>
          <w:color w:val="auto"/>
        </w:rPr>
      </w:pPr>
    </w:p>
    <w:p>
      <w:pPr>
        <w:jc w:val="both"/>
        <w:ind w:left="2340" w:right="40" w:hanging="750"/>
        <w:spacing w:after="0" w:line="254" w:lineRule="auto"/>
        <w:tabs>
          <w:tab w:leader="none" w:pos="234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or arrangement concerning any other company in which the director does not hold, directly or indirectly as shareholder voting rights representing one per cent. or more of any class of shares in the capital of that company;</w:t>
      </w:r>
    </w:p>
    <w:p>
      <w:pPr>
        <w:spacing w:after="0" w:line="160" w:lineRule="exact"/>
        <w:rPr>
          <w:rFonts w:ascii="Times New Roman" w:cs="Times New Roman" w:eastAsia="Times New Roman" w:hAnsi="Times New Roman"/>
          <w:sz w:val="20"/>
          <w:szCs w:val="20"/>
          <w:color w:val="auto"/>
        </w:rPr>
      </w:pPr>
    </w:p>
    <w:p>
      <w:pPr>
        <w:jc w:val="both"/>
        <w:ind w:left="2340" w:right="40" w:hanging="750"/>
        <w:spacing w:after="0" w:line="254" w:lineRule="auto"/>
        <w:tabs>
          <w:tab w:leader="none" w:pos="234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arrangement for the benefit of employees of the Company or any of its subsidiary undertakings which does not accord to the director any privilege or benefit not generally accorded to the employees to whom the arrangement relates; and</w:t>
      </w:r>
    </w:p>
    <w:p>
      <w:pPr>
        <w:spacing w:after="0" w:line="174" w:lineRule="exact"/>
        <w:rPr>
          <w:rFonts w:ascii="Times New Roman" w:cs="Times New Roman" w:eastAsia="Times New Roman" w:hAnsi="Times New Roman"/>
          <w:sz w:val="20"/>
          <w:szCs w:val="20"/>
          <w:color w:val="auto"/>
        </w:rPr>
      </w:pPr>
    </w:p>
    <w:p>
      <w:pPr>
        <w:ind w:left="2340" w:right="40" w:hanging="750"/>
        <w:spacing w:after="0" w:line="269" w:lineRule="auto"/>
        <w:tabs>
          <w:tab w:leader="none" w:pos="2340"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or maintenance of insurance for the benefit of directors or for the benefit of persons including directors.</w:t>
      </w:r>
    </w:p>
    <w:p>
      <w:pPr>
        <w:spacing w:after="0" w:line="172" w:lineRule="exact"/>
        <w:rPr>
          <w:rFonts w:ascii="Times New Roman" w:cs="Times New Roman" w:eastAsia="Times New Roman" w:hAnsi="Times New Roman"/>
          <w:sz w:val="20"/>
          <w:szCs w:val="20"/>
          <w:color w:val="auto"/>
        </w:rPr>
      </w:pPr>
    </w:p>
    <w:p>
      <w:pPr>
        <w:jc w:val="both"/>
        <w:ind w:left="1860" w:right="40" w:hanging="734"/>
        <w:spacing w:after="0" w:line="242" w:lineRule="auto"/>
        <w:tabs>
          <w:tab w:leader="none" w:pos="186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question arises at any meeting as to whether an interest of a director (other than the chair of the meeting) may reasonably be regarded as likely to give rise to a conflict of interest or as to the entitlement of any director (other than the chair of the meeting) to vote in relation to a transaction or arrangement with the Company and the question is not resolved by the director voluntarily agreeing to abstain from voting, the question shall be referred to the chair of the meeting and the chair's ruling in relation to the director concerned shall be final and conclusive except in a case where the nature or extent of the interest of the director concerned, so far as known to the director concerned, has not been fairly disclosed. If any question shall arise in respect of the chair of the meeting and is not resolved by the chair voluntarily agreeing to abstain from voting, the question shall be decided by a resolution of the Board (for which purpose the chair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76" w:lineRule="exact"/>
        <w:rPr>
          <w:rFonts w:ascii="Times New Roman" w:cs="Times New Roman" w:eastAsia="Times New Roman" w:hAnsi="Times New Roman"/>
          <w:sz w:val="20"/>
          <w:szCs w:val="20"/>
          <w:color w:val="auto"/>
        </w:rPr>
      </w:pPr>
    </w:p>
    <w:p>
      <w:pPr>
        <w:ind w:left="1860" w:right="40" w:hanging="734"/>
        <w:spacing w:after="0" w:line="269" w:lineRule="auto"/>
        <w:tabs>
          <w:tab w:leader="none" w:pos="186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the Company may by ordinary resolution suspend or relax the provisions of this article to any extent or ratify any transaction or arrangement not duly authorised by reason of a contravention of this article.</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Avoiding conflicts of interest</w:t>
      </w:r>
    </w:p>
    <w:p>
      <w:pPr>
        <w:spacing w:after="0" w:line="219" w:lineRule="exact"/>
        <w:rPr>
          <w:rFonts w:ascii="Times New Roman" w:cs="Times New Roman" w:eastAsia="Times New Roman" w:hAnsi="Times New Roman"/>
          <w:sz w:val="20"/>
          <w:szCs w:val="20"/>
          <w:b w:val="1"/>
          <w:bCs w:val="1"/>
          <w:color w:val="auto"/>
        </w:rPr>
      </w:pPr>
    </w:p>
    <w:p>
      <w:pPr>
        <w:ind w:left="8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Where the existence of a director’s relationship with another person has been approved by the Board pursuant to article 89 and his relationship with that person gives rise to a conflict of</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413" w:right="419" w:bottom="1440" w:gutter="0" w:footer="0" w:header="0"/>
        </w:sectPr>
      </w:pPr>
    </w:p>
    <w:bookmarkStart w:id="70" w:name="page71"/>
    <w:bookmarkEnd w:id="70"/>
    <w:p>
      <w:pPr>
        <w:ind w:left="840"/>
        <w:spacing w:after="0"/>
        <w:rPr>
          <w:sz w:val="20"/>
          <w:szCs w:val="20"/>
          <w:color w:val="auto"/>
        </w:rPr>
      </w:pPr>
      <w:r>
        <w:rPr>
          <w:rFonts w:ascii="Times New Roman" w:cs="Times New Roman" w:eastAsia="Times New Roman" w:hAnsi="Times New Roman"/>
          <w:sz w:val="19"/>
          <w:szCs w:val="19"/>
          <w:color w:val="auto"/>
        </w:rPr>
        <w:t>interest or possible conflict of interest, the director shall not be in breach of the general duties he owes to the Company under the</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Statutes because he:</w:t>
      </w:r>
    </w:p>
    <w:p>
      <w:pPr>
        <w:spacing w:after="0" w:line="194" w:lineRule="exact"/>
        <w:rPr>
          <w:sz w:val="20"/>
          <w:szCs w:val="20"/>
          <w:color w:val="auto"/>
        </w:rPr>
      </w:pPr>
    </w:p>
    <w:p>
      <w:pPr>
        <w:jc w:val="both"/>
        <w:ind w:left="1860" w:hanging="734"/>
        <w:spacing w:after="0" w:line="254" w:lineRule="auto"/>
        <w:tabs>
          <w:tab w:leader="none" w:pos="18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187"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1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for so long as he reasonably believes such conflict of interest or possible conflict of interest subsists.</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PROCEEDINGS OF THE BOARD</w:t>
      </w:r>
    </w:p>
    <w:p>
      <w:pPr>
        <w:spacing w:after="0" w:line="216" w:lineRule="exact"/>
        <w:rPr>
          <w:sz w:val="20"/>
          <w:szCs w:val="20"/>
          <w:color w:val="auto"/>
        </w:rPr>
      </w:pPr>
    </w:p>
    <w:p>
      <w:pPr>
        <w:ind w:left="840" w:hanging="747"/>
        <w:spacing w:after="0"/>
        <w:tabs>
          <w:tab w:leader="none" w:pos="84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Board meetings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provisions of these articles, the Board may meet for the despatch of business, adjourn and otherwise regulate its meetings as it thinks fit. A director at any time may, and the secretary at the request of a director at any time shall, summon a board meeting.</w:t>
      </w:r>
    </w:p>
    <w:p>
      <w:pPr>
        <w:spacing w:after="0" w:line="17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board meetings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a board meeting may be given to a director personally or by word of mouth or given in hard copy form or in electronic form to the director at such address as the director may from time to time specify for this purpose (or if the director does not specify an address, at the director's last known address).</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absent or intending to be absent from the United Kingdom may request that notices of board meetings shall, during his absence, be sent by instrument or using electronic communication to him at an address given by him to the Company for this purpose but, in the absence of any such request, it shall not be necessary to give notice of a board meeting to any director for the time being absent from the United Kingdom.</w:t>
      </w:r>
    </w:p>
    <w:p>
      <w:pPr>
        <w:spacing w:after="0" w:line="179"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waive notice of any meeting either prospectively or retrospectively and any retrospective waiver shall not affect the validity of the meeting or of any business conducted at the meeting.</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Quorum</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quorum necessary for the transaction of the business of the Board may be fixed by the Board and, unless so fixed at any other number, shall be two. Subject to these articles, any director who ceases to be a director at a board meeting may continue to be present and to act as a director and be counted in the quorum until the end of the board meeting if no other director objects and if otherwise a quorum of directors would not be present.</w:t>
      </w:r>
    </w:p>
    <w:p>
      <w:pPr>
        <w:spacing w:after="0" w:line="17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of directors if number falls below minimum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71" w:name="page72"/>
    <w:bookmarkEnd w:id="71"/>
    <w:p>
      <w:pPr>
        <w:jc w:val="both"/>
        <w:ind w:left="840"/>
        <w:spacing w:after="0" w:line="246" w:lineRule="auto"/>
        <w:rPr>
          <w:sz w:val="20"/>
          <w:szCs w:val="20"/>
          <w:color w:val="auto"/>
        </w:rPr>
      </w:pPr>
      <w:r>
        <w:rPr>
          <w:rFonts w:ascii="Times New Roman" w:cs="Times New Roman" w:eastAsia="Times New Roman" w:hAnsi="Times New Roman"/>
          <w:sz w:val="20"/>
          <w:szCs w:val="20"/>
          <w:color w:val="auto"/>
        </w:rPr>
        <w:t>The continuing directors or director at any time may act notwithstanding any vacancies in their number, but if, and so long as, the number of directors is less than the number fixed as the necessary quorum for board meetings, the continuing directors or director may act for the purpose of filling up such vacancies or calling general meetings of the Company, but not for any other purpose. If there are no directors or director able or willing to act, then any two members may call a general meeting for the purpose of appointing directors</w:t>
      </w:r>
    </w:p>
    <w:p>
      <w:pPr>
        <w:spacing w:after="0" w:line="181" w:lineRule="exact"/>
        <w:rPr>
          <w:sz w:val="20"/>
          <w:szCs w:val="20"/>
          <w:color w:val="auto"/>
        </w:rPr>
      </w:pPr>
    </w:p>
    <w:p>
      <w:pPr>
        <w:ind w:left="840" w:hanging="747"/>
        <w:spacing w:after="0"/>
        <w:tabs>
          <w:tab w:leader="none" w:pos="84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Chair or deputy chair to preside</w:t>
      </w:r>
    </w:p>
    <w:p>
      <w:pPr>
        <w:spacing w:after="0" w:line="233"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appoint a chair and one or more deputy chair(s) and may at any time revoke any such appointment.</w:t>
      </w:r>
    </w:p>
    <w:p>
      <w:pPr>
        <w:spacing w:after="0" w:line="215"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 or failing the chair any deputy chair (the longest in office taking precedence, if more than one is present), shall, if present and willing, preside at all board meetings but, if no chair or deputy chair has been appointed, or if the chair or deputy chair is not present within five minutes after the time fixed for holding the meeting or is unwilling to act as chair of the meeting, the directors present shall choose one of their number to act as chair of the meeting.</w:t>
      </w:r>
    </w:p>
    <w:p>
      <w:pPr>
        <w:spacing w:after="0" w:line="167"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Competence of board meetings</w:t>
      </w:r>
    </w:p>
    <w:p>
      <w:pPr>
        <w:spacing w:after="0" w:line="233"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board meeting at which a quorum is present shall be competent to exercise all the powers, authorities and discretions for the time being vested in or exercisable by the Board.</w:t>
      </w:r>
    </w:p>
    <w:p>
      <w:pPr>
        <w:spacing w:after="0" w:line="15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Voting</w:t>
      </w:r>
    </w:p>
    <w:p>
      <w:pPr>
        <w:spacing w:after="0" w:line="219"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Questions arising at any board meeting shall be determined by a majority of votes. In the case of an equality of votes the chair of the meeting shall have a second or casting vote.</w:t>
      </w:r>
    </w:p>
    <w:p>
      <w:pPr>
        <w:spacing w:after="0" w:line="15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Telephone/electronic board meetings</w:t>
      </w:r>
    </w:p>
    <w:p>
      <w:pPr>
        <w:spacing w:after="0" w:line="233" w:lineRule="exact"/>
        <w:rPr>
          <w:rFonts w:ascii="Times New Roman" w:cs="Times New Roman" w:eastAsia="Times New Roman" w:hAnsi="Times New Roman"/>
          <w:sz w:val="20"/>
          <w:szCs w:val="20"/>
          <w:b w:val="1"/>
          <w:bCs w:val="1"/>
          <w:color w:val="auto"/>
        </w:rPr>
      </w:pPr>
    </w:p>
    <w:p>
      <w:pPr>
        <w:jc w:val="both"/>
        <w:ind w:left="1860" w:right="20" w:hanging="734"/>
        <w:spacing w:after="0" w:line="254" w:lineRule="auto"/>
        <w:tabs>
          <w:tab w:leader="none" w:pos="186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board meeting may consist of a conference between directors some or all of whom are in different places provided that each director may participate in the business of the meeting whether directly, by telephone or by any other means (whether electronically or otherwise) which enables the director:</w:t>
      </w:r>
    </w:p>
    <w:p>
      <w:pPr>
        <w:spacing w:after="0" w:line="174" w:lineRule="exact"/>
        <w:rPr>
          <w:rFonts w:ascii="Times New Roman" w:cs="Times New Roman" w:eastAsia="Times New Roman" w:hAnsi="Times New Roman"/>
          <w:sz w:val="20"/>
          <w:szCs w:val="20"/>
          <w:color w:val="auto"/>
        </w:rPr>
      </w:pPr>
    </w:p>
    <w:p>
      <w:pPr>
        <w:ind w:left="2340" w:right="440" w:hanging="750"/>
        <w:spacing w:after="0" w:line="269" w:lineRule="auto"/>
        <w:tabs>
          <w:tab w:leader="none" w:pos="2340"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hear (or otherwise receive real time communications made by) each of the other participating directors addressing the meeting; and</w:t>
      </w:r>
    </w:p>
    <w:p>
      <w:pPr>
        <w:spacing w:after="0" w:line="159" w:lineRule="exact"/>
        <w:rPr>
          <w:rFonts w:ascii="Times New Roman" w:cs="Times New Roman" w:eastAsia="Times New Roman" w:hAnsi="Times New Roman"/>
          <w:sz w:val="20"/>
          <w:szCs w:val="20"/>
          <w:color w:val="auto"/>
        </w:rPr>
      </w:pPr>
    </w:p>
    <w:p>
      <w:pPr>
        <w:ind w:left="2340" w:right="640" w:hanging="750"/>
        <w:spacing w:after="0" w:line="269" w:lineRule="auto"/>
        <w:tabs>
          <w:tab w:leader="none" w:pos="2340"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director so wishes, to address all of the other participating directors simultaneously (or otherwise communicate in real time with them).</w:t>
      </w:r>
    </w:p>
    <w:p>
      <w:pPr>
        <w:spacing w:after="0" w:line="15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quorum is deemed to be present if at least the number of directors required to form a quorum, subject to the provisions of article 79, may participate in the manner specified above in the business of the meeting.</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board meeting held in this way is deemed to take place at the place where the largest group of participating directors is assembled or, if no such group is readily identifiable, at the place from where the chair of the meeting participates.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72" w:name="page73"/>
    <w:bookmarkEnd w:id="72"/>
    <w:p>
      <w:pPr>
        <w:jc w:val="both"/>
        <w:ind w:left="1860" w:hanging="734"/>
        <w:spacing w:after="0" w:line="254" w:lineRule="auto"/>
        <w:tabs>
          <w:tab w:leader="none" w:pos="186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resolution passed at any meeting held in the above manner, and signed by the chair of the meeting, shall be as valid and effectual as if it had been passed at a meeting of the Board (or committee of the Board, as the case may be) duly convened and held.</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Resolutions without meetings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73" w:name="page74"/>
    <w:bookmarkEnd w:id="73"/>
    <w:p>
      <w:pPr>
        <w:spacing w:after="0" w:line="149" w:lineRule="exact"/>
        <w:rPr>
          <w:sz w:val="20"/>
          <w:szCs w:val="20"/>
          <w:color w:val="auto"/>
        </w:rPr>
      </w:pPr>
    </w:p>
    <w:p>
      <w:pPr>
        <w:jc w:val="both"/>
        <w:ind w:left="840"/>
        <w:spacing w:after="0" w:line="245" w:lineRule="auto"/>
        <w:rPr>
          <w:sz w:val="20"/>
          <w:szCs w:val="20"/>
          <w:color w:val="auto"/>
        </w:rPr>
      </w:pPr>
      <w:r>
        <w:rPr>
          <w:rFonts w:ascii="Times New Roman" w:cs="Times New Roman" w:eastAsia="Times New Roman" w:hAnsi="Times New Roman"/>
          <w:sz w:val="20"/>
          <w:szCs w:val="20"/>
          <w:color w:val="auto"/>
        </w:rPr>
        <w:t>A resolution which is signed or approved by all the directors entitled to vote on that resolution (and whose vote would have been counted) shall be as valid and effectual as if it had been passed at a board meeting duly called and constituted. The resolution may be contained in one document or communication in electronic form or in several documents or communications in electronic form (in like form), or a combination of both, each signed or approved by one or more of the directors concerned (or their alternates, as applicable). For the purpose of this article the approval of a director (or their alternates, as applicable) shall be given in hard copy form or in electronic form.</w:t>
      </w:r>
    </w:p>
    <w:p>
      <w:pPr>
        <w:spacing w:after="0" w:line="167" w:lineRule="exact"/>
        <w:rPr>
          <w:sz w:val="20"/>
          <w:szCs w:val="20"/>
          <w:color w:val="auto"/>
        </w:rPr>
      </w:pPr>
    </w:p>
    <w:p>
      <w:pPr>
        <w:ind w:left="840" w:hanging="747"/>
        <w:spacing w:after="0"/>
        <w:tabs>
          <w:tab w:leader="none" w:pos="84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Validity of acts of directors in spite of formal defect</w:t>
      </w:r>
    </w:p>
    <w:p>
      <w:pPr>
        <w:spacing w:after="0" w:line="229" w:lineRule="exact"/>
        <w:rPr>
          <w:rFonts w:ascii="Times New Roman" w:cs="Times New Roman" w:eastAsia="Times New Roman" w:hAnsi="Times New Roman"/>
          <w:sz w:val="20"/>
          <w:szCs w:val="20"/>
          <w:b w:val="1"/>
          <w:bCs w:val="1"/>
          <w:color w:val="auto"/>
        </w:rPr>
      </w:pPr>
    </w:p>
    <w:p>
      <w:pPr>
        <w:jc w:val="both"/>
        <w:ind w:left="84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All acts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done by a meeting of the Board, or of a committee, or by any person acting as a director or a member of a committee, shall, notwithstanding that it is afterwards discovered that there was some defect in the appointment of any member of the Board or committee or of the person so acting, or that they or any of them were disqualified or had vacated office or were not entitled to vote, be as valid as if every such person had been duly appointed and qualified to be a director and had continued to be a director or member of the committee and had been entitled to vote.</w:t>
      </w:r>
    </w:p>
    <w:p>
      <w:pPr>
        <w:spacing w:after="0" w:line="18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Minutes</w:t>
      </w:r>
    </w:p>
    <w:p>
      <w:pPr>
        <w:spacing w:after="0" w:line="219" w:lineRule="exact"/>
        <w:rPr>
          <w:rFonts w:ascii="Times New Roman" w:cs="Times New Roman" w:eastAsia="Times New Roman" w:hAnsi="Times New Roman"/>
          <w:sz w:val="20"/>
          <w:szCs w:val="20"/>
          <w:b w:val="1"/>
          <w:bCs w:val="1"/>
          <w:color w:val="auto"/>
        </w:rPr>
      </w:pPr>
    </w:p>
    <w:p>
      <w:pPr>
        <w:ind w:left="1880" w:hanging="754"/>
        <w:spacing w:after="0"/>
        <w:tabs>
          <w:tab w:leader="none" w:pos="18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cause minutes to be made and kept in books kept for the purpose:</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all appointments of officers made by the Board;</w:t>
      </w:r>
    </w:p>
    <w:p>
      <w:pPr>
        <w:spacing w:after="0" w:line="215" w:lineRule="exact"/>
        <w:rPr>
          <w:rFonts w:ascii="Times New Roman" w:cs="Times New Roman" w:eastAsia="Times New Roman" w:hAnsi="Times New Roman"/>
          <w:sz w:val="20"/>
          <w:szCs w:val="20"/>
          <w:color w:val="auto"/>
        </w:rPr>
      </w:pPr>
    </w:p>
    <w:p>
      <w:pPr>
        <w:ind w:left="2340" w:right="500" w:hanging="750"/>
        <w:spacing w:after="0" w:line="269" w:lineRule="auto"/>
        <w:tabs>
          <w:tab w:leader="none" w:pos="2340"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names of all the directors (or their alternates) and any other persons present at each meeting of the Board and of any committee; and</w:t>
      </w:r>
    </w:p>
    <w:p>
      <w:pPr>
        <w:spacing w:after="0" w:line="159" w:lineRule="exact"/>
        <w:rPr>
          <w:rFonts w:ascii="Times New Roman" w:cs="Times New Roman" w:eastAsia="Times New Roman" w:hAnsi="Times New Roman"/>
          <w:sz w:val="20"/>
          <w:szCs w:val="20"/>
          <w:color w:val="auto"/>
        </w:rPr>
      </w:pPr>
    </w:p>
    <w:p>
      <w:pPr>
        <w:ind w:left="2340" w:right="740" w:hanging="750"/>
        <w:spacing w:after="0" w:line="269" w:lineRule="auto"/>
        <w:tabs>
          <w:tab w:leader="none" w:pos="2340"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all resolutions and proceedings of all meetings of the Company and of any class of members of the Company, and of the Board and of any committee.</w:t>
      </w:r>
    </w:p>
    <w:p>
      <w:pPr>
        <w:spacing w:after="0" w:line="15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minutes shall be conclusive evidence of any such proceedings if signed by the chair of the meeting at which the proceedings were held or by the chair of the next succeeding meeting.</w:t>
      </w:r>
    </w:p>
    <w:p>
      <w:pPr>
        <w:spacing w:after="0" w:line="159"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secretary must ensure that all resolutions of the Board passed otherwise than at board meetings are kept for at least ten years.</w:t>
      </w:r>
    </w:p>
    <w:p>
      <w:pPr>
        <w:spacing w:after="0" w:line="398"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Secretary</w:t>
      </w:r>
    </w:p>
    <w:p>
      <w:pPr>
        <w:spacing w:after="0" w:line="219" w:lineRule="exact"/>
        <w:rPr>
          <w:rFonts w:ascii="Times New Roman" w:cs="Times New Roman" w:eastAsia="Times New Roman" w:hAnsi="Times New Roman"/>
          <w:sz w:val="20"/>
          <w:szCs w:val="20"/>
          <w:b w:val="1"/>
          <w:bCs w:val="1"/>
          <w:color w:val="auto"/>
        </w:rPr>
      </w:pPr>
    </w:p>
    <w:p>
      <w:pPr>
        <w:ind w:left="8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2006 Act, the secretary shall be appointed by the Board for such term, at such remuneration and on such conditions as it thinks fit, and the Board may remove from office any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74" w:name="page75"/>
    <w:bookmarkEnd w:id="74"/>
    <w:p>
      <w:pPr>
        <w:ind w:left="840"/>
        <w:spacing w:after="0" w:line="269" w:lineRule="auto"/>
        <w:rPr>
          <w:sz w:val="20"/>
          <w:szCs w:val="20"/>
          <w:color w:val="auto"/>
        </w:rPr>
      </w:pPr>
      <w:r>
        <w:rPr>
          <w:rFonts w:ascii="Times New Roman" w:cs="Times New Roman" w:eastAsia="Times New Roman" w:hAnsi="Times New Roman"/>
          <w:sz w:val="20"/>
          <w:szCs w:val="20"/>
          <w:color w:val="auto"/>
        </w:rPr>
        <w:t>person so appointed (without prejudice to any claim for damages for breach of any contract between the secretary and the Company). The person appointed as secretary may be a corporate entity.</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SHARE CERTIFICATES</w:t>
      </w:r>
    </w:p>
    <w:p>
      <w:pPr>
        <w:spacing w:after="0" w:line="229" w:lineRule="exact"/>
        <w:rPr>
          <w:sz w:val="20"/>
          <w:szCs w:val="20"/>
          <w:color w:val="auto"/>
        </w:rPr>
      </w:pPr>
    </w:p>
    <w:p>
      <w:pPr>
        <w:ind w:left="840" w:hanging="747"/>
        <w:spacing w:after="0"/>
        <w:tabs>
          <w:tab w:leader="none" w:pos="84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Issue of share certificates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whose name is entered in the register as the holder of any certificated shares shall be entitled (unless the conditions of issue otherwise provide) within the time limits prescribed by the Statutes to receive one certificate for those shares, or one certificate for each class of those shares and, if that person transfers part of the shares represented by a certificate in that person's name, or elects to hold part in uncertificated form, to receive a new certificate for the balance of those shares, provided in all cases that there shall be no requirement to issue any certificate to Cede &amp; Co. in respect of any shares held by it.</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joint holders, the Company shall not be bound to issue more than one certificate for all the shares in any particular class registered in their joint names, and delivery of a certificate for a share to any one of the joint holders shall be sufficient delivery to all.</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4" w:lineRule="auto"/>
        <w:tabs>
          <w:tab w:leader="none" w:pos="18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by resolution determine, either generally or in any particular case or cases, that share certificates need not be issued under a seal. The Board may by resolution decide, either generally or in any particular case or cases, that any signatures on any share certificate need not be autographic but may be applied to the certificates by mechanical means or may be printed on them or that the certificates need not be signed by any person. For the avoidance of doubt, the use of facsimile signatures affixed in the name and on behalf of Computershare Trust Company, N.A., as transfer agent, warrant agent and registrar, as applicable, on share certificates evidencing the shares and warrants in the capital of the Company is permitted, valid and effective.</w:t>
      </w:r>
    </w:p>
    <w:p>
      <w:pPr>
        <w:spacing w:after="0" w:line="185"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share certificate may be given to a member in accordance with the provisions of these articles on notices and the Statutes.</w:t>
      </w:r>
    </w:p>
    <w:p>
      <w:pPr>
        <w:spacing w:after="0" w:line="15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Charges for and replacement of certificates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to the contrary in these articles, no fee shall be charged for the issue of a share certificate.</w:t>
      </w:r>
    </w:p>
    <w:p>
      <w:pPr>
        <w:spacing w:after="0" w:line="172"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two or more certificates representing shares of any one class held by any member may at the member's request be cancelled and a single new certificate issued.</w:t>
      </w:r>
    </w:p>
    <w:p>
      <w:pPr>
        <w:spacing w:after="0" w:line="145"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member surrenders for cancellation a certificate representing shares held by that member and requests the Company to issue two or more certificates representing those shares in such proportions as that member may specify, the Board may, if it thinks fit, comply with the request on payment of such fee (if any) as the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75" w:name="page76"/>
    <w:bookmarkEnd w:id="75"/>
    <w:p>
      <w:pPr>
        <w:spacing w:after="0" w:line="13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Board may decide.</w:t>
      </w:r>
    </w:p>
    <w:p>
      <w:pPr>
        <w:spacing w:after="0" w:line="54" w:lineRule="exact"/>
        <w:rPr>
          <w:sz w:val="20"/>
          <w:szCs w:val="20"/>
          <w:color w:val="auto"/>
        </w:rPr>
      </w:pPr>
    </w:p>
    <w:p>
      <w:pPr>
        <w:jc w:val="both"/>
        <w:ind w:left="1860" w:hanging="734"/>
        <w:spacing w:after="0" w:line="246" w:lineRule="auto"/>
        <w:tabs>
          <w:tab w:leader="none" w:pos="186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certificate is damaged or defaced or alleged to have been lost, stolen or destroyed, a new certificate representing the same shares may be issued on compliance with such conditions as to evidence, indemnity and security for such indemnity as the Board may think fit and on payment of any exceptional expenses of the Company incidental to its investigation of the evidence and preparation of the indemnity and security and, if damaged or defaced, on delivery up of the old certificate.</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joint holders of a share a request for a new certificate under any of the preceding paragraphs of this article may be made by any one of the joint holders unless the certificate is alleged to have been lost, stolen or destroyed.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76" w:name="page77"/>
    <w:bookmarkEnd w:id="76"/>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LIEN ON SHARES</w:t>
      </w:r>
    </w:p>
    <w:p>
      <w:pPr>
        <w:spacing w:after="0" w:line="229" w:lineRule="exact"/>
        <w:rPr>
          <w:sz w:val="20"/>
          <w:szCs w:val="20"/>
          <w:color w:val="auto"/>
        </w:rPr>
      </w:pPr>
    </w:p>
    <w:p>
      <w:pPr>
        <w:ind w:left="840" w:hanging="747"/>
        <w:spacing w:after="0"/>
        <w:tabs>
          <w:tab w:leader="none" w:pos="84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Lien on partly paid shares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a first and paramount lien on every share (not being a fully paid share) for all amounts payable (whether or not due) in respect of that share. The lien shall extend to every amount payable in respect of that share.</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at any time either generally or in any particular case declare any share to be wholly or partly exempt from this article. Unless otherwise agreed, the registration of a transfer of a share shall operate as a waiver of the Company's lien (if any) on that share.</w:t>
      </w:r>
    </w:p>
    <w:p>
      <w:pPr>
        <w:spacing w:after="0" w:line="170"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Enforcement of lien</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74" w:lineRule="auto"/>
        <w:tabs>
          <w:tab w:leader="none" w:pos="186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sell any share subject to a lien in such manner as the Board may decide if an amount payable on the share is due and is not paid within 14 clear days after a notice has been given to the holder or any person entitled by transmission to the share demanding payment of that amount and giving notice of intention to sell in default.</w:t>
      </w:r>
    </w:p>
    <w:p>
      <w:pPr>
        <w:spacing w:after="0" w:line="156" w:lineRule="exact"/>
        <w:rPr>
          <w:rFonts w:ascii="Times New Roman" w:cs="Times New Roman" w:eastAsia="Times New Roman" w:hAnsi="Times New Roman"/>
          <w:sz w:val="19"/>
          <w:szCs w:val="19"/>
          <w:color w:val="auto"/>
        </w:rPr>
      </w:pPr>
    </w:p>
    <w:p>
      <w:pPr>
        <w:jc w:val="both"/>
        <w:ind w:left="1860" w:hanging="734"/>
        <w:spacing w:after="0" w:line="249" w:lineRule="auto"/>
        <w:tabs>
          <w:tab w:leader="none" w:pos="186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give effect to any sale under this article, the Board may authorise some person to transfer the share sold to, or as directed by, the purchaser. The purchaser shall not be bound to see to the application of the purchase money nor shall the title of the new holder to the share be affected by any irregularity in or invalidity of the proceedings relating to the sale.</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of the sale, after payment of the costs of such sale, shall be applied in or towards satisfaction of the amount due and any residue shall (subject to a like lien for any amounts not presently due as existed on the share before the sale), on surrender, in the case of shares held in certificated form, of the certificate for the shares sold, be paid to the holder or person entitled by transmission to the share immediately before the sale.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CALLS ON SHARES</w:t>
      </w:r>
    </w:p>
    <w:p>
      <w:pPr>
        <w:spacing w:after="0" w:line="216" w:lineRule="exact"/>
        <w:rPr>
          <w:sz w:val="20"/>
          <w:szCs w:val="20"/>
          <w:color w:val="auto"/>
        </w:rPr>
      </w:pPr>
    </w:p>
    <w:p>
      <w:pPr>
        <w:ind w:left="840" w:hanging="747"/>
        <w:spacing w:after="0"/>
        <w:tabs>
          <w:tab w:leader="none" w:pos="84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Calls</w:t>
      </w:r>
    </w:p>
    <w:p>
      <w:pPr>
        <w:spacing w:after="0" w:line="57" w:lineRule="exact"/>
        <w:rPr>
          <w:rFonts w:ascii="Times New Roman" w:cs="Times New Roman" w:eastAsia="Times New Roman" w:hAnsi="Times New Roman"/>
          <w:sz w:val="20"/>
          <w:szCs w:val="20"/>
          <w:b w:val="1"/>
          <w:bCs w:val="1"/>
          <w:color w:val="auto"/>
        </w:rPr>
      </w:pPr>
    </w:p>
    <w:p>
      <w:pPr>
        <w:jc w:val="both"/>
        <w:ind w:left="1860" w:hanging="734"/>
        <w:spacing w:after="0" w:line="263" w:lineRule="auto"/>
        <w:tabs>
          <w:tab w:leader="none" w:pos="1860"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of these articles and the terms of which the shares are allotted, the Board may make calls on the members in respect of any moneys unpaid on their shares (whether in respect of nominal amount or premium) and not payable on a date fixed by or in accordance with the terms of issue. Each member shall (subject to receiving at least 14 clear days' notice specifying when and where payment is to be made) pay to the Company as required by the notice the amount called on the member's shares. A call may be revoked or postponed as the Board may decide.</w:t>
      </w:r>
    </w:p>
    <w:p>
      <w:pPr>
        <w:spacing w:after="0" w:line="166" w:lineRule="exact"/>
        <w:rPr>
          <w:rFonts w:ascii="Times New Roman" w:cs="Times New Roman" w:eastAsia="Times New Roman" w:hAnsi="Times New Roman"/>
          <w:sz w:val="19"/>
          <w:szCs w:val="19"/>
          <w:color w:val="auto"/>
        </w:rPr>
      </w:pPr>
    </w:p>
    <w:p>
      <w:pPr>
        <w:ind w:left="1860" w:hanging="734"/>
        <w:spacing w:after="0" w:line="269" w:lineRule="auto"/>
        <w:tabs>
          <w:tab w:leader="none" w:pos="186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call may be made payable in one sum or by instalments and shall be deemed to be made at the time when the resolution of the Board authorising that call is passed.</w:t>
      </w:r>
    </w:p>
    <w:p>
      <w:pPr>
        <w:spacing w:after="0" w:line="159"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on whom a call is made shall remain liable for it notwithstanding the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77" w:name="page78"/>
    <w:bookmarkEnd w:id="77"/>
    <w:p>
      <w:pPr>
        <w:spacing w:after="0" w:line="13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subsequent transfer of the share in respect of which the call is made.</w:t>
      </w:r>
    </w:p>
    <w:p>
      <w:pPr>
        <w:spacing w:after="0" w:line="216" w:lineRule="exact"/>
        <w:rPr>
          <w:sz w:val="20"/>
          <w:szCs w:val="20"/>
          <w:color w:val="auto"/>
        </w:rPr>
      </w:pPr>
    </w:p>
    <w:p>
      <w:pPr>
        <w:ind w:left="1860" w:hanging="734"/>
        <w:spacing w:after="0"/>
        <w:tabs>
          <w:tab w:leader="none" w:pos="1860"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joint holders of a share shall be jointly and severally liable for the payment of all calls in respect of that share.</w:t>
      </w:r>
    </w:p>
    <w:p>
      <w:pPr>
        <w:spacing w:after="0" w:line="236" w:lineRule="exact"/>
        <w:rPr>
          <w:rFonts w:ascii="Times New Roman" w:cs="Times New Roman" w:eastAsia="Times New Roman" w:hAnsi="Times New Roman"/>
          <w:sz w:val="19"/>
          <w:szCs w:val="19"/>
          <w:color w:val="auto"/>
        </w:rPr>
      </w:pPr>
    </w:p>
    <w:p>
      <w:pPr>
        <w:ind w:left="840" w:hanging="747"/>
        <w:spacing w:after="0"/>
        <w:tabs>
          <w:tab w:leader="none" w:pos="84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on calls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440" w:right="639" w:bottom="1440" w:gutter="0" w:footer="0" w:header="0"/>
        </w:sectPr>
      </w:pPr>
    </w:p>
    <w:bookmarkStart w:id="78" w:name="page79"/>
    <w:bookmarkEnd w:id="78"/>
    <w:p>
      <w:pPr>
        <w:spacing w:after="0" w:line="149" w:lineRule="exact"/>
        <w:rPr>
          <w:sz w:val="20"/>
          <w:szCs w:val="20"/>
          <w:color w:val="auto"/>
        </w:rPr>
      </w:pPr>
    </w:p>
    <w:p>
      <w:pPr>
        <w:jc w:val="both"/>
        <w:ind w:left="840" w:right="20"/>
        <w:spacing w:after="0" w:line="254" w:lineRule="auto"/>
        <w:rPr>
          <w:sz w:val="20"/>
          <w:szCs w:val="20"/>
          <w:color w:val="auto"/>
        </w:rPr>
      </w:pPr>
      <w:r>
        <w:rPr>
          <w:rFonts w:ascii="Times New Roman" w:cs="Times New Roman" w:eastAsia="Times New Roman" w:hAnsi="Times New Roman"/>
          <w:sz w:val="20"/>
          <w:szCs w:val="20"/>
          <w:color w:val="auto"/>
        </w:rPr>
        <w:t>If a call is not paid before or on the due date for payment, the person from whom it is due shall pay interest on the amount unpaid, from the due date for payment to the date of actual payment, at such rate as the Board may decide, but the Board may waive payment of the interest, wholly or in part.</w:t>
      </w:r>
    </w:p>
    <w:p>
      <w:pPr>
        <w:spacing w:after="0" w:line="157" w:lineRule="exact"/>
        <w:rPr>
          <w:sz w:val="20"/>
          <w:szCs w:val="20"/>
          <w:color w:val="auto"/>
        </w:rPr>
      </w:pPr>
    </w:p>
    <w:p>
      <w:pPr>
        <w:ind w:left="840" w:hanging="747"/>
        <w:spacing w:after="0"/>
        <w:tabs>
          <w:tab w:leader="none" w:pos="84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Sums treated as calls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sum which by the terms of allotment of a share is payable on allotment, or at a fixed time, or by instalments at fixed times, whether in respect of nominal value or premium, shall for all purposes of these articles be deemed to be a call duly made and payable on the date or dates fixed for payment and, in case of non-payment, these articles shall apply as if that sum had become due and payable by virtue of a call.</w:t>
      </w:r>
    </w:p>
    <w:p>
      <w:pPr>
        <w:spacing w:after="0" w:line="17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differentiate</w:t>
      </w:r>
    </w:p>
    <w:p>
      <w:pPr>
        <w:spacing w:after="0" w:line="219"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any allotment of shares the Board may make arrangements for a difference between the allottees or holders of the shares in the amounts and times of payment of calls on their shares.</w:t>
      </w:r>
    </w:p>
    <w:p>
      <w:pPr>
        <w:spacing w:after="0" w:line="15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of calls in advance</w:t>
      </w:r>
    </w:p>
    <w:p>
      <w:pPr>
        <w:spacing w:after="0" w:line="23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The Board may, if it thinks fit, receive all or any part of the moneys payable on a share beyond the sum actually called up on it if the holder is willing to make payment in advance and, on any moneys so paid in advance, may (until they would otherwise be due) pay interest at such rate as may be agreed between the Board and the member paying the sum in advance.</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FORFEITURE OF SHARES</w:t>
      </w:r>
    </w:p>
    <w:p>
      <w:pPr>
        <w:spacing w:after="0" w:line="216" w:lineRule="exact"/>
        <w:rPr>
          <w:sz w:val="20"/>
          <w:szCs w:val="20"/>
          <w:color w:val="auto"/>
        </w:rPr>
      </w:pPr>
    </w:p>
    <w:p>
      <w:pPr>
        <w:ind w:left="840" w:hanging="747"/>
        <w:spacing w:after="0"/>
        <w:tabs>
          <w:tab w:leader="none" w:pos="84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unpaid calls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whole or any part of any call or instalment remains unpaid on any share after the due date for payment, the Board may give a notice to the holder requiring the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79" w:name="page80"/>
    <w:bookmarkEnd w:id="79"/>
    <w:p>
      <w:pPr>
        <w:ind w:left="1880"/>
        <w:spacing w:after="0"/>
        <w:rPr>
          <w:sz w:val="20"/>
          <w:szCs w:val="20"/>
          <w:color w:val="auto"/>
        </w:rPr>
      </w:pPr>
      <w:r>
        <w:rPr>
          <w:rFonts w:ascii="Times New Roman" w:cs="Times New Roman" w:eastAsia="Times New Roman" w:hAnsi="Times New Roman"/>
          <w:sz w:val="20"/>
          <w:szCs w:val="20"/>
          <w:color w:val="auto"/>
        </w:rPr>
        <w:t>holder to pay so much of the call or instalment as remains unpaid, together with any accrued interest.</w:t>
      </w:r>
    </w:p>
    <w:p>
      <w:pPr>
        <w:spacing w:after="0" w:line="216" w:lineRule="exact"/>
        <w:rPr>
          <w:sz w:val="20"/>
          <w:szCs w:val="20"/>
          <w:color w:val="auto"/>
        </w:rPr>
      </w:pPr>
    </w:p>
    <w:p>
      <w:pPr>
        <w:jc w:val="both"/>
        <w:ind w:left="1860" w:hanging="734"/>
        <w:spacing w:after="0" w:line="249" w:lineRule="auto"/>
        <w:tabs>
          <w:tab w:leader="none" w:pos="186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shall state a further day, being not less than 14 clear days from the date of the notice, on or before which, and the place where, payment is to be made and shall state that, in the event of non-payment on or before the day and at the place appointed, the share in respect of which the call was made or instalment is payable will be liable to be forfeited.</w:t>
      </w:r>
    </w:p>
    <w:p>
      <w:pPr>
        <w:spacing w:after="0" w:line="179"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accept a surrender of any share liable to be forfeited.</w:t>
      </w:r>
    </w:p>
    <w:p>
      <w:pPr>
        <w:spacing w:after="0" w:line="22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Forfeiture on non-compliance with notice</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requirements of a notice given under article 113 are not complied with, any share in respect of which it was given may at any time thereafter (before the payment required by the notice is made) be forfeited by a resolution of the Board. The forfeiture shall include all dividends declared and other moneys payable in respect of the forfeited share and not actually paid before the forfeiture.</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share is forfeited, notice of the forfeiture shall be given to the person who was the holder of the share or (as the case may be) the person entitled to the share by transmission, and an entry that notice of the forfeiture has been given, with the relevant date, shall be made in the register; but no forfeiture shall be invalidated by any omission to give such notice or to make such entry.</w:t>
      </w:r>
    </w:p>
    <w:p>
      <w:pPr>
        <w:spacing w:after="0" w:line="17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annul forfeiture or surrender</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at any time before the forfeited or surrendered share has been sold, re-allotted or otherwise disposed of, annul the forfeiture or surrender upon payment of all calls and interest due on or incurred in respect of the share and on such further conditions (if any) as it thinks fit.</w:t>
      </w:r>
    </w:p>
    <w:p>
      <w:pPr>
        <w:spacing w:after="0" w:line="17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Disposal of forfeited or surrendered shares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5" w:lineRule="auto"/>
        <w:tabs>
          <w:tab w:leader="none" w:pos="186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share which is forfeited or surrendered shall become the property of the Company and (subject to the Statutes) 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 The Board may for the purposes of a disposal authorise some person to transfer the forfeited or surrendered share to, or in accordance with the directions of, any person to whom the same has been disposed of.</w:t>
      </w:r>
    </w:p>
    <w:p>
      <w:pPr>
        <w:spacing w:after="0" w:line="170" w:lineRule="exact"/>
        <w:rPr>
          <w:rFonts w:ascii="Times New Roman" w:cs="Times New Roman" w:eastAsia="Times New Roman" w:hAnsi="Times New Roman"/>
          <w:sz w:val="20"/>
          <w:szCs w:val="20"/>
          <w:color w:val="auto"/>
        </w:rPr>
      </w:pPr>
    </w:p>
    <w:p>
      <w:pPr>
        <w:jc w:val="both"/>
        <w:ind w:left="1860" w:hanging="734"/>
        <w:spacing w:after="0" w:line="245" w:lineRule="auto"/>
        <w:tabs>
          <w:tab w:leader="none" w:pos="186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statutory declaration by a director or the secretary that a share has been forfeited or surrendered on a specified date shall, as against all persons claiming to be entitled to the share, be conclusive evidence of the facts stated in it and shall (subject to the execution of any necessary transfer) constitute a good title to the share. The person to whom the share has been disposed of shall not be bound to see to the application of the consideration for the disposal (if any) nor shall that person's title to the share be affected by any irregularity in or invalidity of the proceedings connected with the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80" w:name="page81"/>
    <w:bookmarkEnd w:id="80"/>
    <w:p>
      <w:pPr>
        <w:spacing w:after="0" w:line="135"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20"/>
          <w:szCs w:val="20"/>
          <w:color w:val="auto"/>
        </w:rPr>
        <w:t>forfeiture, surrender, sale, re-allotment or disposal of the share.</w:t>
      </w:r>
    </w:p>
    <w:p>
      <w:pPr>
        <w:spacing w:after="0" w:line="50" w:lineRule="exact"/>
        <w:rPr>
          <w:sz w:val="20"/>
          <w:szCs w:val="20"/>
          <w:color w:val="auto"/>
        </w:rPr>
      </w:pPr>
    </w:p>
    <w:p>
      <w:pPr>
        <w:ind w:left="840" w:hanging="747"/>
        <w:spacing w:after="0"/>
        <w:tabs>
          <w:tab w:leader="none" w:pos="84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Arrears to be paid notwithstanding forfeiture or surrender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81" w:name="page82"/>
    <w:bookmarkEnd w:id="81"/>
    <w:p>
      <w:pPr>
        <w:spacing w:after="0" w:line="149"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20"/>
          <w:szCs w:val="20"/>
          <w:color w:val="auto"/>
        </w:rPr>
        <w:t>A person any of whose shares have been forfeited or surrendered shall cease to be a member in respect of the forfeited or surrendered share and shall, in the case of shares held in certificated form, surrender to the Company for cancellation any certificate for the share forfeited or surrendered, but shall remain liable (unless payment is waived in whole or in part by the Board) to pay to the Company all moneys payable by that person on or in respect of that share at the time of forfeiture or surrender, together with interest from the time of forfeiture or surrender until payment at such rate as the Board shall decide, in the same manner as if the share had not been forfeited or surrendered. The Board may waive payment of interest wholly or in part and may enforce payment, without any reduction or allowance for the value of the shares at the time of forfeiture or for any consideration received on their disposal. Such a person shall also be liable to satisfy all the claims and demands (if any) which the Company might have enforced in respect of the share at the time of forfeiture or surrender. No deduction or allowance shall be made for the value of the share at the time of forfeiture or surrender or for any consideration received on its disposal.</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SEAL</w:t>
      </w:r>
    </w:p>
    <w:p>
      <w:pPr>
        <w:spacing w:after="0" w:line="229" w:lineRule="exact"/>
        <w:rPr>
          <w:sz w:val="20"/>
          <w:szCs w:val="20"/>
          <w:color w:val="auto"/>
        </w:rPr>
      </w:pPr>
    </w:p>
    <w:p>
      <w:pPr>
        <w:ind w:left="840" w:hanging="747"/>
        <w:spacing w:after="0"/>
        <w:tabs>
          <w:tab w:leader="none" w:pos="84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Seal</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exercise the powers conferred by the Statutes with regard to having official seals and those powers shall be vested in the Board.</w:t>
      </w:r>
    </w:p>
    <w:p>
      <w:pPr>
        <w:spacing w:after="0" w:line="159"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provide for the safe custody of every seal of the Company.</w:t>
      </w:r>
    </w:p>
    <w:p>
      <w:pPr>
        <w:spacing w:after="0" w:line="22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seal shall be used only by the authority of the Board or a duly authorised committee but that authority may consist of an instruction or approval given in hard copy form or in electronic form by a majority of the directors or of the members of a duly authorised committee.</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determine who shall sign any instrument to which a seal is applied, either generally or in relation to a particular instrument or type of instrument, and may also determine, either generally or in any particular case, that such signatures shall be dispensed with or affixed by some mechanical means.</w:t>
      </w:r>
    </w:p>
    <w:p>
      <w:pPr>
        <w:spacing w:after="0" w:line="160"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decided by the Board:</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for shares, debentures or other securities of the Company issued under seal need not be signed; and</w:t>
      </w:r>
    </w:p>
    <w:p>
      <w:pPr>
        <w:spacing w:after="0" w:line="227" w:lineRule="exact"/>
        <w:rPr>
          <w:rFonts w:ascii="Times New Roman" w:cs="Times New Roman" w:eastAsia="Times New Roman" w:hAnsi="Times New Roman"/>
          <w:sz w:val="19"/>
          <w:szCs w:val="19"/>
          <w:color w:val="auto"/>
        </w:rPr>
      </w:pPr>
    </w:p>
    <w:p>
      <w:pPr>
        <w:ind w:left="2340" w:hanging="750"/>
        <w:spacing w:after="0" w:line="269" w:lineRule="auto"/>
        <w:tabs>
          <w:tab w:leader="none" w:pos="2340" w:val="left"/>
        </w:tabs>
        <w:numPr>
          <w:ilvl w:val="2"/>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other instrument to which a seal is applied shall be signed by at least one director and the secretary or by at least two directors or by one director in the presence of a witness who attests the signature.</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29" w:lineRule="exact"/>
        <w:rPr>
          <w:sz w:val="20"/>
          <w:szCs w:val="20"/>
          <w:color w:val="auto"/>
        </w:rPr>
      </w:pPr>
    </w:p>
    <w:p>
      <w:pPr>
        <w:ind w:left="840" w:hanging="747"/>
        <w:spacing w:after="0"/>
        <w:tabs>
          <w:tab w:leader="none" w:pos="84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Declaration of dividends by the Company</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82" w:name="page83"/>
    <w:bookmarkEnd w:id="82"/>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Subject to the provisions of the 2006 Act, the Company may, by ordinary resolution, declare a dividend to be paid to the members, according to their respective rights, and may fix the time for payment of such dividend, but no dividend shall exceed the amount recommended by the Board.</w:t>
      </w:r>
    </w:p>
    <w:p>
      <w:pPr>
        <w:spacing w:after="0" w:line="170" w:lineRule="exact"/>
        <w:rPr>
          <w:sz w:val="20"/>
          <w:szCs w:val="20"/>
          <w:color w:val="auto"/>
        </w:rPr>
      </w:pPr>
    </w:p>
    <w:p>
      <w:pPr>
        <w:ind w:left="840" w:hanging="747"/>
        <w:spacing w:after="0"/>
        <w:tabs>
          <w:tab w:leader="none" w:pos="84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Fixed and interim dividends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provisions of the 2006 Act, the Board may pay interim dividends and may also pay any dividend payable at a fixed rate at intervals settled by the Board whenever the financial position of the Company, in the opinion of the Board, justifies its payment. If the Board acts in good faith, none of the directors shall incur any liability to the holders of shares conferring preferred rights for any loss such holders may suffer in consequence of the payment of an interim dividend on any shares having non-preferred or deferred rights.</w:t>
      </w:r>
    </w:p>
    <w:p>
      <w:pPr>
        <w:spacing w:after="0" w:line="18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Calculation and currency of dividends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insofar as the rights attaching to, or the terms of issue of, any share otherwise provide:</w:t>
      </w:r>
    </w:p>
    <w:p>
      <w:pPr>
        <w:spacing w:after="0" w:line="215"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dividends shall be declared and paid according to the amounts paid up on the shares in respect of which the dividend is paid, but no amount paid up on a share in advance of calls shall be treated for the purposes of this article as paid up on the share;</w:t>
      </w:r>
    </w:p>
    <w:p>
      <w:pPr>
        <w:spacing w:after="0" w:line="170" w:lineRule="exact"/>
        <w:rPr>
          <w:rFonts w:ascii="Times New Roman" w:cs="Times New Roman" w:eastAsia="Times New Roman" w:hAnsi="Times New Roman"/>
          <w:sz w:val="20"/>
          <w:szCs w:val="20"/>
          <w:color w:val="auto"/>
        </w:rPr>
      </w:pPr>
    </w:p>
    <w:p>
      <w:pPr>
        <w:ind w:left="2340" w:hanging="750"/>
        <w:spacing w:after="0" w:line="273" w:lineRule="auto"/>
        <w:tabs>
          <w:tab w:leader="none" w:pos="2340"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dividends shall be apportioned and paid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amounts paid up on the shares during any portion or portions of the period in respect of which the dividend is paid; and</w:t>
      </w:r>
    </w:p>
    <w:p>
      <w:pPr>
        <w:spacing w:after="0" w:line="155"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may be declared or paid in any currency.</w:t>
      </w:r>
    </w:p>
    <w:p>
      <w:pPr>
        <w:spacing w:after="0" w:line="22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agree with any member that dividends which may at any time or from time to time be declared or become due on that member's shares in one currency shall be paid or satisfied in another and may agree the basis of conversion to be applied and how and when the amount to be paid in the other currency shall be calculated and paid and for the Company or any other person to bear any costs involved.</w:t>
      </w:r>
    </w:p>
    <w:p>
      <w:pPr>
        <w:spacing w:after="0" w:line="162"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payment</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pay any dividend or other sum payable in respect of a share by such method as the Board may decide. The Board may decide to use different methods of payment for different holders or groups of holders. Without limiting any other method of payment which the Board may decide upon, the Board may decide that payment can be made, wholly or partly and exclusively or optionally:</w:t>
      </w:r>
    </w:p>
    <w:p>
      <w:pPr>
        <w:spacing w:after="0" w:line="17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cheque or dividend warrant payable to the holder (or, in the case of joint holders, the holder whose name stands first in the register in respect of the relevant share) or to such other person as the holder (or, in the case of joint holders, all the joint holders) may notify to the Company for the purpose; 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83" w:name="page84"/>
    <w:bookmarkEnd w:id="83"/>
    <w:p>
      <w:pPr>
        <w:jc w:val="both"/>
        <w:ind w:left="2340" w:hanging="750"/>
        <w:spacing w:after="0" w:line="254" w:lineRule="auto"/>
        <w:tabs>
          <w:tab w:leader="none" w:pos="2340"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 bank or other funds transfer system or by such other electronic means as the Board may decide (including, in the case of an uncertificated share, a relevant system) to such account as the holder (or, in the case of joint holders, all the joint holders) may notify to the Company for the purpose; or</w:t>
      </w:r>
    </w:p>
    <w:p>
      <w:pPr>
        <w:spacing w:after="0" w:line="174"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such other way as may be agreed between the Company and the holder (or, in the case of joint holders, all such holders).</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Board decides that any dividend or other sum payable in respect of a share will be made exclusively by one or more of the methods referred to in paragraph (a)(ii) above to an account, but no such account is nominated by the holder (or, in case of joint holders, all the joint holders) or if an attempted payment into a nominated account is rejected or refunded, the Company may treat that dividend or other sum payable as unclaimed.</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cheque or dividend warrant may be sent by post to the registered address of the holder (or, in the case of joint holders, to the registered address of that person whose name stands first in the register in respect of the relevant share) or to such other address as the holder (or, in the case of joint holders, all the joint holders) may notify to the Company for the purpose.</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cheque or warrant is sent, and payment in any other way is made, at the risk of the person or persons entitled to it and the Company will not be responsible for any sum lost or delayed when it has sent or transmitted the sum in accordance with these articles. Clearance of a cheque or warrant or transmission of funds through a bank or other funds transfer system or by such other electronic means as is permitted by these articles shall be a good discharge to the Company.</w:t>
      </w:r>
    </w:p>
    <w:p>
      <w:pPr>
        <w:spacing w:after="0" w:line="184"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joint holder or other person jointly entitled to any share may give an effective receipt for any dividend or other sum paid in respect of the share.</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dividend, distribution or other sum payable in respect of any share may be paid to a person or persons entitled by transmission to that share as if that person or those persons were the holder or joint holders of that share and that person's address (or the address of the first named of two or more persons jointly entitled) noted in the register were the registered address.</w:t>
      </w:r>
    </w:p>
    <w:p>
      <w:pPr>
        <w:spacing w:after="0" w:line="175" w:lineRule="exact"/>
        <w:rPr>
          <w:rFonts w:ascii="Times New Roman" w:cs="Times New Roman" w:eastAsia="Times New Roman" w:hAnsi="Times New Roman"/>
          <w:sz w:val="20"/>
          <w:szCs w:val="20"/>
          <w:color w:val="auto"/>
        </w:rPr>
      </w:pPr>
    </w:p>
    <w:p>
      <w:pPr>
        <w:ind w:left="840" w:hanging="747"/>
        <w:spacing w:after="0"/>
        <w:tabs>
          <w:tab w:leader="none" w:pos="84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Dividends not to bear interest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84" w:name="page85"/>
    <w:bookmarkEnd w:id="84"/>
    <w:p>
      <w:pPr>
        <w:spacing w:after="0" w:line="149" w:lineRule="exact"/>
        <w:rPr>
          <w:sz w:val="20"/>
          <w:szCs w:val="20"/>
          <w:color w:val="auto"/>
        </w:rPr>
      </w:pPr>
    </w:p>
    <w:p>
      <w:pPr>
        <w:ind w:left="840" w:right="20"/>
        <w:spacing w:after="0" w:line="269" w:lineRule="auto"/>
        <w:rPr>
          <w:sz w:val="20"/>
          <w:szCs w:val="20"/>
          <w:color w:val="auto"/>
        </w:rPr>
      </w:pPr>
      <w:r>
        <w:rPr>
          <w:rFonts w:ascii="Times New Roman" w:cs="Times New Roman" w:eastAsia="Times New Roman" w:hAnsi="Times New Roman"/>
          <w:sz w:val="20"/>
          <w:szCs w:val="20"/>
          <w:color w:val="auto"/>
        </w:rPr>
        <w:t>No dividend or other moneys payable by the Company on or in respect of any share shall bear interest as against the Company unless otherwise provided by the rights attached to the share.</w:t>
      </w:r>
    </w:p>
    <w:p>
      <w:pPr>
        <w:spacing w:after="0" w:line="155" w:lineRule="exact"/>
        <w:rPr>
          <w:sz w:val="20"/>
          <w:szCs w:val="20"/>
          <w:color w:val="auto"/>
        </w:rPr>
      </w:pPr>
    </w:p>
    <w:p>
      <w:pPr>
        <w:ind w:left="840" w:hanging="747"/>
        <w:spacing w:after="0"/>
        <w:tabs>
          <w:tab w:leader="none" w:pos="84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Calls or debts may be deducted from dividends</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deduct from any dividend or other moneys payable to any person (either alone or jointly with another) on or in respect of a share all such sums as may be due from that person (either alone or jointly with another) to the Company on account of calls or otherwise in relation to shares of the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85" w:name="page86"/>
    <w:bookmarkEnd w:id="85"/>
    <w:p>
      <w:pPr>
        <w:ind w:left="840" w:hanging="747"/>
        <w:spacing w:after="0"/>
        <w:tabs>
          <w:tab w:leader="none" w:pos="84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Unclaimed dividends etc.</w:t>
      </w:r>
    </w:p>
    <w:p>
      <w:pPr>
        <w:spacing w:after="0" w:line="233" w:lineRule="exact"/>
        <w:rPr>
          <w:sz w:val="20"/>
          <w:szCs w:val="20"/>
          <w:color w:val="auto"/>
        </w:rPr>
      </w:pPr>
    </w:p>
    <w:p>
      <w:pPr>
        <w:jc w:val="both"/>
        <w:ind w:left="840" w:hanging="747"/>
        <w:spacing w:after="0" w:line="254" w:lineRule="auto"/>
        <w:tabs>
          <w:tab w:leader="none" w:pos="8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unclaimed dividends, interest or other sums payable may be invested or otherwise made use of by the Board for the benefit of the Company until claimed. All dividends and any other such monies unclaimed for a period of 10 years after having been declared shall be forfeited and cease to remain owing by the Company.</w:t>
      </w:r>
    </w:p>
    <w:p>
      <w:pPr>
        <w:spacing w:after="0" w:line="174" w:lineRule="exact"/>
        <w:rPr>
          <w:rFonts w:ascii="Times New Roman" w:cs="Times New Roman" w:eastAsia="Times New Roman" w:hAnsi="Times New Roman"/>
          <w:sz w:val="20"/>
          <w:szCs w:val="20"/>
          <w:color w:val="auto"/>
        </w:rPr>
      </w:pPr>
    </w:p>
    <w:p>
      <w:pPr>
        <w:ind w:left="840" w:right="20" w:hanging="747"/>
        <w:spacing w:after="0" w:line="269" w:lineRule="auto"/>
        <w:tabs>
          <w:tab w:leader="none" w:pos="8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exercises its power of sale in accordance with article 145, all dividends and other such monies payable on that share shall be forfeited and cease to remain owing by the Company.</w:t>
      </w:r>
    </w:p>
    <w:p>
      <w:pPr>
        <w:spacing w:after="0" w:line="159" w:lineRule="exact"/>
        <w:rPr>
          <w:rFonts w:ascii="Times New Roman" w:cs="Times New Roman" w:eastAsia="Times New Roman" w:hAnsi="Times New Roman"/>
          <w:sz w:val="20"/>
          <w:szCs w:val="20"/>
          <w:color w:val="auto"/>
        </w:rPr>
      </w:pPr>
    </w:p>
    <w:p>
      <w:pPr>
        <w:ind w:left="840" w:right="20" w:hanging="747"/>
        <w:spacing w:after="0" w:line="269" w:lineRule="auto"/>
        <w:tabs>
          <w:tab w:leader="none" w:pos="8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unclaimed dividend, interest or other sum payable by the Company on or in respect of any share into a separate account shall not constitute the Company a trustee in respect of it.</w:t>
      </w:r>
    </w:p>
    <w:p>
      <w:pPr>
        <w:spacing w:after="0" w:line="169" w:lineRule="exact"/>
        <w:rPr>
          <w:sz w:val="20"/>
          <w:szCs w:val="20"/>
          <w:color w:val="auto"/>
        </w:rPr>
      </w:pPr>
    </w:p>
    <w:p>
      <w:pPr>
        <w:ind w:left="840" w:right="8580" w:hanging="747"/>
        <w:spacing w:after="0" w:line="467" w:lineRule="auto"/>
        <w:tabs>
          <w:tab w:leader="none" w:pos="842"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Uncashed dividends </w:t>
      </w:r>
      <w:r>
        <w:rPr>
          <w:rFonts w:ascii="Times New Roman" w:cs="Times New Roman" w:eastAsia="Times New Roman" w:hAnsi="Times New Roman"/>
          <w:sz w:val="20"/>
          <w:szCs w:val="20"/>
          <w:color w:val="auto"/>
        </w:rPr>
        <w:t>If:</w:t>
      </w:r>
    </w:p>
    <w:p>
      <w:pPr>
        <w:jc w:val="both"/>
        <w:ind w:left="2340" w:hanging="750"/>
        <w:spacing w:after="0" w:line="246" w:lineRule="auto"/>
        <w:tabs>
          <w:tab w:leader="none" w:pos="234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for a dividend or other sum payable in respect of a share sent by the Company to the person entitled to it in accordance with these articles is left uncashed or is returned to the Company or a payment has failed (including where the payment has been rejected or refunded) and, after reasonable enquiries, the Company is unable to establish any new address or, with respect to a payment to be made by a funds transfer system, a new account, for that person; or</w:t>
      </w:r>
    </w:p>
    <w:p>
      <w:pPr>
        <w:spacing w:after="0" w:line="184"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 payment is left uncashed or returned to the Company or fails (including where the payment has been rejected or refunded) on two consecutive occasions,</w:t>
      </w:r>
    </w:p>
    <w:p>
      <w:pPr>
        <w:spacing w:after="0" w:line="15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the Company shall not be obliged to send any dividends or other sums payable in respect of that share to that person until that person notifies the Company of an address or, where the payment is to be made by a funds transfer system, details of the account, to be used for the purpose.</w:t>
      </w:r>
    </w:p>
    <w:p>
      <w:pPr>
        <w:spacing w:after="0" w:line="170" w:lineRule="exact"/>
        <w:rPr>
          <w:sz w:val="20"/>
          <w:szCs w:val="20"/>
          <w:color w:val="auto"/>
        </w:rPr>
      </w:pPr>
    </w:p>
    <w:p>
      <w:pPr>
        <w:ind w:left="840" w:hanging="747"/>
        <w:spacing w:after="0"/>
        <w:tabs>
          <w:tab w:leader="none" w:pos="84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Dividends </w:t>
      </w:r>
      <w:r>
        <w:rPr>
          <w:rFonts w:ascii="Times New Roman" w:cs="Times New Roman" w:eastAsia="Times New Roman" w:hAnsi="Times New Roman"/>
          <w:sz w:val="20"/>
          <w:szCs w:val="20"/>
          <w:b w:val="1"/>
          <w:bCs w:val="1"/>
          <w:i w:val="1"/>
          <w:iCs w:val="1"/>
          <w:color w:val="auto"/>
        </w:rPr>
        <w:t>in specie</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54" w:lineRule="auto"/>
        <w:tabs>
          <w:tab w:leader="none" w:pos="186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with the authority of an ordinary resolution of the Company and on the recommendation of the Board, direct that payment of any dividend may be satisfied wholly or in part by the distribution of specific assets (and in particular of paid up shares or debentures of any other company).</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difficulty arises with the distribution, the Board may settle the difficulty as it thinks fit and, in particular, may (i) issue fractional certificates (or ignore fractions); (ii) fix the value for distribution of the specific assets or any part of them;</w:t>
      </w:r>
    </w:p>
    <w:p>
      <w:pPr>
        <w:spacing w:after="0" w:line="1" w:lineRule="exact"/>
        <w:rPr>
          <w:rFonts w:ascii="Times New Roman" w:cs="Times New Roman" w:eastAsia="Times New Roman" w:hAnsi="Times New Roman"/>
          <w:sz w:val="20"/>
          <w:szCs w:val="20"/>
          <w:color w:val="auto"/>
        </w:rPr>
      </w:pPr>
    </w:p>
    <w:p>
      <w:pPr>
        <w:jc w:val="both"/>
        <w:ind w:left="18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(iii)determine that cash payments be made to any members on the basis of the value so fixed in order to secure equality of distribution; or (iv) and vest any of the specific assets in trustees on such trusts for the persons entitled to the dividend as the Board may think fit.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86" w:name="page87"/>
    <w:bookmarkEnd w:id="86"/>
    <w:p>
      <w:pPr>
        <w:ind w:left="840" w:hanging="747"/>
        <w:spacing w:after="0"/>
        <w:tabs>
          <w:tab w:leader="none" w:pos="84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Scrip dividends</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 may, with the authority of an ordinary resolution of the Company, offer any holders of any particular class of shares the right to elect to receive further shares of that class, credited as fully paid, instead of cash in respect of all (or some part) of any dividend specified by the ordinary resolution (a </w:t>
      </w:r>
      <w:r>
        <w:rPr>
          <w:rFonts w:ascii="Times New Roman" w:cs="Times New Roman" w:eastAsia="Times New Roman" w:hAnsi="Times New Roman"/>
          <w:sz w:val="20"/>
          <w:szCs w:val="20"/>
          <w:b w:val="1"/>
          <w:bCs w:val="1"/>
          <w:color w:val="auto"/>
        </w:rPr>
        <w:t>scrip dividend</w:t>
      </w:r>
      <w:r>
        <w:rPr>
          <w:rFonts w:ascii="Times New Roman" w:cs="Times New Roman" w:eastAsia="Times New Roman" w:hAnsi="Times New Roman"/>
          <w:sz w:val="20"/>
          <w:szCs w:val="20"/>
          <w:color w:val="auto"/>
        </w:rPr>
        <w:t>) in accordance with the following provisions of this article.</w:t>
      </w:r>
    </w:p>
    <w:p>
      <w:pPr>
        <w:spacing w:after="0" w:line="17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ordinary resolution may specify a particular dividend (whether or not already declared) or may specify all or any dividends declared within a specified period, but such period may not end later than five years after the date of the meeting at which the ordinary resolution is passed.</w:t>
      </w:r>
    </w:p>
    <w:p>
      <w:pPr>
        <w:spacing w:after="0" w:line="174" w:lineRule="exact"/>
        <w:rPr>
          <w:rFonts w:ascii="Times New Roman" w:cs="Times New Roman" w:eastAsia="Times New Roman" w:hAnsi="Times New Roman"/>
          <w:sz w:val="20"/>
          <w:szCs w:val="20"/>
          <w:color w:val="auto"/>
        </w:rPr>
      </w:pPr>
    </w:p>
    <w:p>
      <w:pPr>
        <w:jc w:val="both"/>
        <w:ind w:left="1860" w:right="20" w:hanging="734"/>
        <w:spacing w:after="0" w:line="254"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basis of allotment shall be decided by the Board so that, as nearly as may be considered convenient, the value of the further shares, including any fractional entitlement, is equal to the amount of the cash dividend which would otherwise have been paid (disregarding the amount of any associated tax credit).</w:t>
      </w:r>
    </w:p>
    <w:p>
      <w:pPr>
        <w:spacing w:after="0" w:line="174"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paragraph (c) above the value of the further shares shall be:</w:t>
      </w:r>
    </w:p>
    <w:p>
      <w:pPr>
        <w:spacing w:after="0" w:line="215"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equal to the final reported per share closing price as quoted for a fully paid share of the relevant class, as shown in the NASDAQ Daily List for the day on which such shares are first quoted "ex" the relevant dividend and the four subsequent dealing days; or</w:t>
      </w:r>
    </w:p>
    <w:p>
      <w:pPr>
        <w:spacing w:after="0" w:line="174"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in such manner as may be determined by or in accordance with the ordinary resolution.</w:t>
      </w:r>
    </w:p>
    <w:p>
      <w:pPr>
        <w:spacing w:after="0" w:line="215"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give notice to the holders of such shares of their rights of election in respect of the scrip dividend and shall specify the procedure to be followed in order to make an election.</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or that part of it in respect of which an election for the scrip dividend is made shall not be paid and instead further shares of the relevant class shall be allotted in accordance with elections duly made and the Board shall capitalise a sum equal to the aggregate nominal amount of the shares to be allotted out of such sums available for the purpose as the Board may consider appropriate.</w:t>
      </w:r>
    </w:p>
    <w:p>
      <w:pPr>
        <w:spacing w:after="0" w:line="175" w:lineRule="exact"/>
        <w:rPr>
          <w:rFonts w:ascii="Times New Roman" w:cs="Times New Roman" w:eastAsia="Times New Roman" w:hAnsi="Times New Roman"/>
          <w:sz w:val="20"/>
          <w:szCs w:val="20"/>
          <w:color w:val="auto"/>
        </w:rPr>
      </w:pPr>
    </w:p>
    <w:p>
      <w:pPr>
        <w:ind w:left="1860" w:hanging="734"/>
        <w:spacing w:after="0" w:line="273"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further shares so allotted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all respects with the fully paid shares of the same class then in issue except as regards participation in the relevant dividend.</w:t>
      </w:r>
    </w:p>
    <w:p>
      <w:pPr>
        <w:spacing w:after="0" w:line="155"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decide that the right to elect for any scrip dividend shall not be made available to members resident in any territory where, in the opinion of the Board, compliance with local laws or regulations would be unduly onerous.</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do all acts and things as it considers necessary or expedient to give effect to the provisions of a scrip dividend election and the issue of any shares in accordance with the provisions of this article, and may make such provisions as it thinks fit for the case of shares becoming distributable in fractions (including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87" w:name="page88"/>
    <w:bookmarkEnd w:id="87"/>
    <w:p>
      <w:pPr>
        <w:jc w:val="both"/>
        <w:ind w:left="1880" w:right="20"/>
        <w:spacing w:after="0" w:line="246" w:lineRule="auto"/>
        <w:rPr>
          <w:sz w:val="20"/>
          <w:szCs w:val="20"/>
          <w:color w:val="auto"/>
        </w:rPr>
      </w:pPr>
      <w:r>
        <w:rPr>
          <w:rFonts w:ascii="Times New Roman" w:cs="Times New Roman" w:eastAsia="Times New Roman" w:hAnsi="Times New Roman"/>
          <w:sz w:val="20"/>
          <w:szCs w:val="20"/>
          <w:color w:val="auto"/>
        </w:rPr>
        <w:t>provisions under which, in whole or in part, the benefit of fractional entitlements accrues to the Company rather than to the members concerned). To the extent that the entitlement of any holder of shares in respect of any dividend is less than the value of one new share of the relevant class (as determined for the basis of any scrip dividend) the Board may also from time to time establish or vary a procedure for such entitlement to be accrued and aggregated with any similar entitlement for the purposes of any subsequent scrip dividend.</w:t>
      </w:r>
    </w:p>
    <w:p>
      <w:pPr>
        <w:spacing w:after="0" w:line="185" w:lineRule="exact"/>
        <w:rPr>
          <w:sz w:val="20"/>
          <w:szCs w:val="20"/>
          <w:color w:val="auto"/>
        </w:rPr>
      </w:pPr>
    </w:p>
    <w:p>
      <w:pPr>
        <w:jc w:val="both"/>
        <w:ind w:left="1860" w:hanging="734"/>
        <w:spacing w:after="0" w:line="254" w:lineRule="auto"/>
        <w:tabs>
          <w:tab w:leader="none" w:pos="18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from time to time establish or vary a procedure for election mandates, under which a holder of shares may, in respect of any future dividends for which a right of election pursuant to this article is offered, elect to receive shares in lieu of such dividend on the terms of such mandate.</w:t>
      </w:r>
    </w:p>
    <w:p>
      <w:pPr>
        <w:spacing w:after="0" w:line="174"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not make a scrip dividend available unless the Company has sufficient undistributed profits or reserves to give effect to elections which could be made to receive that scrip dividend.</w:t>
      </w:r>
    </w:p>
    <w:p>
      <w:pPr>
        <w:spacing w:after="0" w:line="159" w:lineRule="exact"/>
        <w:rPr>
          <w:rFonts w:ascii="Times New Roman" w:cs="Times New Roman" w:eastAsia="Times New Roman" w:hAnsi="Times New Roman"/>
          <w:sz w:val="20"/>
          <w:szCs w:val="20"/>
          <w:color w:val="auto"/>
        </w:rPr>
      </w:pPr>
    </w:p>
    <w:p>
      <w:pPr>
        <w:jc w:val="both"/>
        <w:ind w:left="1860" w:right="20" w:hanging="734"/>
        <w:spacing w:after="0" w:line="254" w:lineRule="auto"/>
        <w:tabs>
          <w:tab w:leader="none" w:pos="18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decide at any time before the further shares are allotted that such shares shall not be allotted and pay the relevant dividend in cash instead. Such decision may be made before or after any election has been made by holders of shares in respect of the relevant dividend.</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CAPITALISATION OF PROFITS AND RESERVES</w:t>
      </w:r>
    </w:p>
    <w:p>
      <w:pPr>
        <w:spacing w:after="0" w:line="216" w:lineRule="exact"/>
        <w:rPr>
          <w:sz w:val="20"/>
          <w:szCs w:val="20"/>
          <w:color w:val="auto"/>
        </w:rPr>
      </w:pPr>
    </w:p>
    <w:p>
      <w:pPr>
        <w:ind w:left="840" w:hanging="747"/>
        <w:spacing w:after="0"/>
        <w:tabs>
          <w:tab w:leader="none" w:pos="84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Capitalisation of reserves</w:t>
      </w:r>
    </w:p>
    <w:p>
      <w:pPr>
        <w:spacing w:after="0" w:line="233" w:lineRule="exact"/>
        <w:rPr>
          <w:rFonts w:ascii="Times New Roman" w:cs="Times New Roman" w:eastAsia="Times New Roman" w:hAnsi="Times New Roman"/>
          <w:sz w:val="20"/>
          <w:szCs w:val="20"/>
          <w:b w:val="1"/>
          <w:bCs w:val="1"/>
          <w:color w:val="auto"/>
        </w:rPr>
      </w:pPr>
    </w:p>
    <w:p>
      <w:pPr>
        <w:ind w:left="1860" w:hanging="734"/>
        <w:spacing w:after="0" w:line="269" w:lineRule="auto"/>
        <w:tabs>
          <w:tab w:leader="none" w:pos="18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with the authority of an ordinary resolution of the Company or, if required by the 2006 Act, a special resolution:</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49" w:lineRule="auto"/>
        <w:tabs>
          <w:tab w:leader="none" w:pos="234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these articles, resolve to capitalise any sum standing to the credit of any reserve account of the Company (including share premium account and capital redemption reserve) or any sum standing to the credit of profit and loss account not required for the payment of any preferential dividend (whether or not it is available for distribution); and</w:t>
      </w:r>
    </w:p>
    <w:p>
      <w:pPr>
        <w:spacing w:after="0" w:line="179" w:lineRule="exact"/>
        <w:rPr>
          <w:rFonts w:ascii="Times New Roman" w:cs="Times New Roman" w:eastAsia="Times New Roman" w:hAnsi="Times New Roman"/>
          <w:sz w:val="20"/>
          <w:szCs w:val="20"/>
          <w:color w:val="auto"/>
        </w:rPr>
      </w:pPr>
    </w:p>
    <w:p>
      <w:pPr>
        <w:jc w:val="both"/>
        <w:ind w:left="2340" w:hanging="750"/>
        <w:spacing w:after="0" w:line="242" w:lineRule="auto"/>
        <w:tabs>
          <w:tab w:leader="none" w:pos="234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that sum as capital to the holders of Ordinary Shares in proportion to the nominal amount of the ordinary share capital held by them respectively which would entitle them to participate in a distribution of that sum if the Ordinary Shares were fully paid and the sum were then distributable and were distributed by way of dividend and apply that sum on their behalf in paying up in full any shares or debentures of the Company of a nominal amount equal to that sum and allot the shares or debentures credited as fully paid to those members, or as they may direct, in those proportions or in paying up the whole or part of any amounts which are unpaid in respect of any issued shares in the Company held by them respectively, or otherwise deal with such sum as directed by the resolution provided that the share premium account, the capital redemption reserve, any redenomination reserve and any sum not available for distribution in accordance with the Statutes may only be applied in paying up shares to be allotted credited as fully paid up; and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88" w:name="page89"/>
    <w:bookmarkEnd w:id="88"/>
    <w:p>
      <w:pPr>
        <w:ind w:left="1580" w:right="20"/>
        <w:spacing w:after="0" w:line="269" w:lineRule="auto"/>
        <w:rPr>
          <w:sz w:val="20"/>
          <w:szCs w:val="20"/>
          <w:color w:val="auto"/>
        </w:rPr>
      </w:pPr>
      <w:r>
        <w:rPr>
          <w:rFonts w:ascii="Times New Roman" w:cs="Times New Roman" w:eastAsia="Times New Roman" w:hAnsi="Times New Roman"/>
          <w:sz w:val="20"/>
          <w:szCs w:val="20"/>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200" w:lineRule="exact"/>
        <w:rPr>
          <w:sz w:val="20"/>
          <w:szCs w:val="20"/>
          <w:color w:val="auto"/>
        </w:rPr>
      </w:pPr>
    </w:p>
    <w:p>
      <w:pPr>
        <w:spacing w:after="0" w:line="202" w:lineRule="exact"/>
        <w:rPr>
          <w:sz w:val="20"/>
          <w:szCs w:val="20"/>
          <w:color w:val="auto"/>
        </w:rPr>
      </w:pPr>
    </w:p>
    <w:p>
      <w:pPr>
        <w:jc w:val="both"/>
        <w:ind w:left="1860" w:hanging="734"/>
        <w:spacing w:after="0" w:line="243" w:lineRule="auto"/>
        <w:tabs>
          <w:tab w:leader="none" w:pos="18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difficulty arises in respect of any distribution of any capitalised reserve or other sum, the Board may settle the difficulty as it thinks fit to give effect to the capitalisation and in particular may make such provisions as it thinks fit in the case of shares or debentures becoming distributable in fractions (including provisions under which, in whole or in part, the benefit of fractional entitlements accrues to the Company rather than the members concerned) or ignore fractions and may fix the value for distribution of any fully paid up shares or debentures and may determine that cash payments be made to any members on the basis of the value so fixed in order to secure equality of distribution, and may vest any shares or debentures in trustees upon such trusts for the persons entitled to share in the distribution as the Board may think fit.</w:t>
      </w:r>
    </w:p>
    <w:p>
      <w:pPr>
        <w:spacing w:after="0" w:line="175"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also authorise any person to sign on behalf of the persons entitled to share in the distribution a contract for the acceptance by those persons of the shares or debentures to be allotted to them credited as fully paid under a capitalisation and any such contract shall be binding on all those persons.</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RECORD DATES</w:t>
      </w:r>
    </w:p>
    <w:p>
      <w:pPr>
        <w:spacing w:after="0" w:line="229" w:lineRule="exact"/>
        <w:rPr>
          <w:sz w:val="20"/>
          <w:szCs w:val="20"/>
          <w:color w:val="auto"/>
        </w:rPr>
      </w:pPr>
    </w:p>
    <w:p>
      <w:pPr>
        <w:ind w:left="840" w:hanging="747"/>
        <w:spacing w:after="0"/>
        <w:tabs>
          <w:tab w:leader="none" w:pos="84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Fixing of record dates</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46" w:lineRule="auto"/>
        <w:tabs>
          <w:tab w:leader="none" w:pos="186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of these articles, but without prejudice to any rights attached to any shares and subject always to the 2006 Act, the Company or the Board by resolution may fix any date as the record date (the </w:t>
      </w:r>
      <w:r>
        <w:rPr>
          <w:rFonts w:ascii="Times New Roman" w:cs="Times New Roman" w:eastAsia="Times New Roman" w:hAnsi="Times New Roman"/>
          <w:sz w:val="20"/>
          <w:szCs w:val="20"/>
          <w:b w:val="1"/>
          <w:bCs w:val="1"/>
          <w:color w:val="auto"/>
        </w:rPr>
        <w:t>record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by reference to which a dividend will be declared or paid or a distribution, allotment or issue made, and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may be before, on or after the date on which the dividend, distribution, allotment or issue is declared, paid or made.</w:t>
      </w:r>
    </w:p>
    <w:p>
      <w:pPr>
        <w:spacing w:after="0" w:line="184" w:lineRule="exact"/>
        <w:rPr>
          <w:rFonts w:ascii="Times New Roman" w:cs="Times New Roman" w:eastAsia="Times New Roman" w:hAnsi="Times New Roman"/>
          <w:sz w:val="20"/>
          <w:szCs w:val="20"/>
          <w:color w:val="auto"/>
        </w:rPr>
      </w:pPr>
    </w:p>
    <w:p>
      <w:pPr>
        <w:jc w:val="both"/>
        <w:ind w:left="1860" w:hanging="734"/>
        <w:spacing w:after="0" w:line="295" w:lineRule="auto"/>
        <w:tabs>
          <w:tab w:leader="none" w:pos="1860"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absence of a record date being fixed, entitlement to any dividend, distribution, allotment or issue shall be determined by reference to the date on which the dividend is declared or the distribution, allotment or issue is made.</w:t>
      </w:r>
    </w:p>
    <w:p>
      <w:pPr>
        <w:spacing w:after="0" w:line="1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ACCOUNTS</w:t>
      </w:r>
    </w:p>
    <w:p>
      <w:pPr>
        <w:spacing w:after="0" w:line="216" w:lineRule="exact"/>
        <w:rPr>
          <w:sz w:val="20"/>
          <w:szCs w:val="20"/>
          <w:color w:val="auto"/>
        </w:rPr>
      </w:pPr>
    </w:p>
    <w:p>
      <w:pPr>
        <w:ind w:left="840" w:hanging="747"/>
        <w:spacing w:after="0"/>
        <w:tabs>
          <w:tab w:leader="none" w:pos="840"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Accounting records</w:t>
      </w:r>
    </w:p>
    <w:p>
      <w:pPr>
        <w:spacing w:after="0" w:line="233"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cause accounting records of the Company to be kept in accordance with the Statutes.</w:t>
      </w:r>
    </w:p>
    <w:p>
      <w:pPr>
        <w:spacing w:after="0" w:line="215"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(as such) shall have any right of inspecting any account, book or document of the Company, except as conferred by law or authorised by the Board or by any ordinary resolution of the Company or ordered by a court of competent jurisdiction.</w:t>
      </w:r>
    </w:p>
    <w:p>
      <w:pPr>
        <w:spacing w:after="0" w:line="12"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permitted by the Statutes, the Company may send a summary financial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89" w:name="page90"/>
    <w:bookmarkEnd w:id="89"/>
    <w:p>
      <w:pPr>
        <w:ind w:left="1860"/>
        <w:spacing w:after="0" w:line="269" w:lineRule="auto"/>
        <w:rPr>
          <w:sz w:val="20"/>
          <w:szCs w:val="20"/>
          <w:color w:val="auto"/>
        </w:rPr>
      </w:pPr>
      <w:r>
        <w:rPr>
          <w:rFonts w:ascii="Times New Roman" w:cs="Times New Roman" w:eastAsia="Times New Roman" w:hAnsi="Times New Roman"/>
          <w:sz w:val="20"/>
          <w:szCs w:val="20"/>
          <w:color w:val="auto"/>
        </w:rPr>
        <w:t>statement in the form specified by the Statutes to the persons who would otherwise be entitled to be sent a copy of the Company’s full annual accounts and reports.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90" w:name="page91"/>
    <w:bookmarkEnd w:id="90"/>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AUDITORS</w:t>
      </w:r>
    </w:p>
    <w:p>
      <w:pPr>
        <w:spacing w:after="0" w:line="216" w:lineRule="exact"/>
        <w:rPr>
          <w:sz w:val="20"/>
          <w:szCs w:val="20"/>
          <w:color w:val="auto"/>
        </w:rPr>
      </w:pPr>
    </w:p>
    <w:p>
      <w:pPr>
        <w:ind w:left="840" w:hanging="747"/>
        <w:spacing w:after="0"/>
        <w:tabs>
          <w:tab w:leader="none" w:pos="84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Validity of acts of Auditor</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 or subsequently became disqualified.</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SERVICE OF NOTICES AND OTHER DOCUMENTS</w:t>
      </w:r>
    </w:p>
    <w:p>
      <w:pPr>
        <w:spacing w:after="0" w:line="216" w:lineRule="exact"/>
        <w:rPr>
          <w:sz w:val="20"/>
          <w:szCs w:val="20"/>
          <w:color w:val="auto"/>
        </w:rPr>
      </w:pPr>
    </w:p>
    <w:p>
      <w:pPr>
        <w:ind w:left="840" w:hanging="747"/>
        <w:spacing w:after="0"/>
        <w:tabs>
          <w:tab w:leader="none" w:pos="84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 in writing</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notice to be given to or by any person under these articles (other than a notice calling a meeting of the Board) shall be in writing, except where otherwise expressly stated. Any such notice may be given using electronic communications provided sent to such address (if any) for the time being notified for that purpose to the person sending the notice by or on behalf of the person to whom the notice is sent and in the case of communications between the Company and its members, in accordance with the following articles 134 and 135.</w:t>
      </w:r>
    </w:p>
    <w:p>
      <w:pPr>
        <w:spacing w:after="0" w:line="18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giving notice to members</w:t>
      </w:r>
    </w:p>
    <w:p>
      <w:pPr>
        <w:spacing w:after="0" w:line="219" w:lineRule="exact"/>
        <w:rPr>
          <w:rFonts w:ascii="Times New Roman" w:cs="Times New Roman" w:eastAsia="Times New Roman" w:hAnsi="Times New Roman"/>
          <w:sz w:val="20"/>
          <w:szCs w:val="20"/>
          <w:b w:val="1"/>
          <w:bCs w:val="1"/>
          <w:color w:val="auto"/>
        </w:rPr>
      </w:pPr>
    </w:p>
    <w:p>
      <w:pPr>
        <w:ind w:left="1860" w:right="20" w:hanging="734"/>
        <w:spacing w:after="0" w:line="269" w:lineRule="auto"/>
        <w:tabs>
          <w:tab w:leader="none" w:pos="186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any notice or other document under these articles to a member by whichever of the following methods it may elect in its absolute discretion:</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personally; or</w:t>
      </w:r>
    </w:p>
    <w:p>
      <w:pPr>
        <w:spacing w:after="0" w:line="215"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posting the notice or other document in a prepaid envelope addressed, in the case of a member, to his registered address, or in any other case, to the person’s usual address; or</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leaving the notice or other document at that address; or</w:t>
      </w:r>
    </w:p>
    <w:p>
      <w:pPr>
        <w:spacing w:after="0" w:line="229"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sending the notice or other document using electronic communications to such address (if any) for the time being notified to the Company by or on behalf of the member for that purpose; or</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article 134(b); or</w:t>
      </w:r>
    </w:p>
    <w:p>
      <w:pPr>
        <w:spacing w:after="0" w:line="22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any other method approved by the Board.</w:t>
      </w:r>
    </w:p>
    <w:p>
      <w:pPr>
        <w:spacing w:after="0" w:line="215" w:lineRule="exact"/>
        <w:rPr>
          <w:rFonts w:ascii="Times New Roman" w:cs="Times New Roman" w:eastAsia="Times New Roman" w:hAnsi="Times New Roman"/>
          <w:sz w:val="20"/>
          <w:szCs w:val="20"/>
          <w:color w:val="auto"/>
        </w:rPr>
      </w:pPr>
    </w:p>
    <w:p>
      <w:pPr>
        <w:jc w:val="both"/>
        <w:ind w:left="1860" w:hanging="734"/>
        <w:spacing w:after="0" w:line="249" w:lineRule="auto"/>
        <w:tabs>
          <w:tab w:leader="none" w:pos="186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whose registered address is not within the United Kingdom and who gives to the Company an address within the United Kingdom at which notices may be given to him or an address to which notices may be sent using electronic communications shall be entitled to receive notices and other documents from the Company at that address, but, unless he does so, shall not be entitled to receive 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91" w:name="page92"/>
    <w:bookmarkEnd w:id="91"/>
    <w:p>
      <w:pPr>
        <w:jc w:val="both"/>
        <w:ind w:left="1900"/>
        <w:spacing w:after="0" w:line="254" w:lineRule="auto"/>
        <w:rPr>
          <w:sz w:val="20"/>
          <w:szCs w:val="20"/>
          <w:color w:val="auto"/>
        </w:rPr>
      </w:pPr>
      <w:r>
        <w:rPr>
          <w:rFonts w:ascii="Times New Roman" w:cs="Times New Roman" w:eastAsia="Times New Roman" w:hAnsi="Times New Roman"/>
          <w:sz w:val="20"/>
          <w:szCs w:val="20"/>
          <w:color w:val="auto"/>
        </w:rPr>
        <w:t>notice from the Company. Without limiting the previous sentence, any notice of a general meeting of the Company which is in fact sent or purports to be sent to such address shall be ignored for the purposes of determining the validity of proceedings at such meeting.</w:t>
      </w:r>
    </w:p>
    <w:p>
      <w:pPr>
        <w:spacing w:after="0" w:line="174" w:lineRule="exact"/>
        <w:rPr>
          <w:sz w:val="20"/>
          <w:szCs w:val="20"/>
          <w:color w:val="auto"/>
        </w:rPr>
      </w:pPr>
    </w:p>
    <w:p>
      <w:pPr>
        <w:ind w:left="1880" w:hanging="734"/>
        <w:spacing w:after="0" w:line="269" w:lineRule="auto"/>
        <w:tabs>
          <w:tab w:leader="none" w:pos="188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the Company may also give any notice or other document under these articles to a member by publishing that notice or other document on a website where:</w:t>
      </w:r>
    </w:p>
    <w:p>
      <w:pPr>
        <w:spacing w:after="0" w:line="159" w:lineRule="exact"/>
        <w:rPr>
          <w:sz w:val="20"/>
          <w:szCs w:val="20"/>
          <w:color w:val="auto"/>
        </w:rPr>
      </w:pPr>
    </w:p>
    <w:p>
      <w:pPr>
        <w:ind w:left="2360" w:hanging="750"/>
        <w:spacing w:after="0" w:line="269" w:lineRule="auto"/>
        <w:tabs>
          <w:tab w:leader="none" w:pos="23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member have agreed to the member having access to the notice or document on a website (instead of it being sent to him);</w:t>
      </w:r>
    </w:p>
    <w:p>
      <w:pPr>
        <w:spacing w:after="0" w:line="159"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the notice or document is one to which that agreement applies;</w:t>
      </w:r>
    </w:p>
    <w:p>
      <w:pPr>
        <w:spacing w:after="0" w:line="229" w:lineRule="exact"/>
        <w:rPr>
          <w:sz w:val="20"/>
          <w:szCs w:val="20"/>
          <w:color w:val="auto"/>
        </w:rPr>
      </w:pPr>
    </w:p>
    <w:p>
      <w:pPr>
        <w:ind w:left="2360" w:hanging="750"/>
        <w:spacing w:after="0" w:line="269" w:lineRule="auto"/>
        <w:tabs>
          <w:tab w:leader="none" w:pos="23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 is notified, in a manner for the time being agreed between him and the Company for the purpose of:</w:t>
      </w:r>
    </w:p>
    <w:p>
      <w:pPr>
        <w:spacing w:after="0" w:line="146"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the publication of the notice or document on a website;</w:t>
      </w:r>
    </w:p>
    <w:p>
      <w:pPr>
        <w:spacing w:after="0" w:line="229" w:lineRule="exact"/>
        <w:rPr>
          <w:sz w:val="20"/>
          <w:szCs w:val="20"/>
          <w:color w:val="auto"/>
        </w:rPr>
      </w:pPr>
    </w:p>
    <w:p>
      <w:pPr>
        <w:ind w:left="3100" w:hanging="741"/>
        <w:spacing w:after="0"/>
        <w:tabs>
          <w:tab w:leader="none" w:pos="3100"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that website; and</w:t>
      </w:r>
    </w:p>
    <w:p>
      <w:pPr>
        <w:spacing w:after="0" w:line="215" w:lineRule="exact"/>
        <w:rPr>
          <w:rFonts w:ascii="Times New Roman" w:cs="Times New Roman" w:eastAsia="Times New Roman" w:hAnsi="Times New Roman"/>
          <w:sz w:val="20"/>
          <w:szCs w:val="20"/>
          <w:color w:val="auto"/>
        </w:rPr>
      </w:pPr>
    </w:p>
    <w:p>
      <w:pPr>
        <w:ind w:left="3100" w:right="740" w:hanging="741"/>
        <w:spacing w:after="0" w:line="269" w:lineRule="auto"/>
        <w:tabs>
          <w:tab w:leader="none" w:pos="3100"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on that website where the notice or document may be accessed, and how it may be accessed; and</w:t>
      </w:r>
    </w:p>
    <w:p>
      <w:pPr>
        <w:spacing w:after="0" w:line="159" w:lineRule="exact"/>
        <w:rPr>
          <w:rFonts w:ascii="Times New Roman" w:cs="Times New Roman" w:eastAsia="Times New Roman" w:hAnsi="Times New Roman"/>
          <w:sz w:val="20"/>
          <w:szCs w:val="20"/>
          <w:color w:val="auto"/>
        </w:rPr>
      </w:pPr>
    </w:p>
    <w:p>
      <w:pPr>
        <w:jc w:val="both"/>
        <w:ind w:left="2360" w:hanging="750"/>
        <w:spacing w:after="0" w:line="245" w:lineRule="auto"/>
        <w:tabs>
          <w:tab w:leader="none" w:pos="2360"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of document is published on that website throughout the publication period and (if applicable) continues to be so published until the conclusion of the meeting (and any adjourned meeting), provided that, if the notice or document is published on that website for a part, but not all of, such period, the notice or document shall be treated as being published throughout that period if the failure to publish that notice or document throughout that period is wholly attributable to circumstances which it would be reasonable to have expected the Company to prevent or avoid by any other method approved by the Board.</w:t>
      </w:r>
    </w:p>
    <w:p>
      <w:pPr>
        <w:spacing w:after="0" w:line="184" w:lineRule="exact"/>
        <w:rPr>
          <w:rFonts w:ascii="Times New Roman" w:cs="Times New Roman" w:eastAsia="Times New Roman" w:hAnsi="Times New Roman"/>
          <w:sz w:val="20"/>
          <w:szCs w:val="20"/>
          <w:color w:val="auto"/>
        </w:rPr>
      </w:pPr>
    </w:p>
    <w:p>
      <w:pPr>
        <w:ind w:left="1900" w:hanging="754"/>
        <w:spacing w:after="0"/>
        <w:tabs>
          <w:tab w:leader="none" w:pos="19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article 134(c) publication period means:</w:t>
      </w:r>
    </w:p>
    <w:p>
      <w:pPr>
        <w:spacing w:after="0" w:line="229" w:lineRule="exact"/>
        <w:rPr>
          <w:rFonts w:ascii="Times New Roman" w:cs="Times New Roman" w:eastAsia="Times New Roman" w:hAnsi="Times New Roman"/>
          <w:sz w:val="20"/>
          <w:szCs w:val="20"/>
          <w:color w:val="auto"/>
        </w:rPr>
      </w:pPr>
    </w:p>
    <w:p>
      <w:pPr>
        <w:jc w:val="both"/>
        <w:ind w:left="2360" w:hanging="750"/>
        <w:spacing w:after="0" w:line="254" w:lineRule="auto"/>
        <w:tabs>
          <w:tab w:leader="none" w:pos="23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notice of an adjourned meeting under article 45 of not less than 14 days before the date of the adjourned meeting, beginning on the day following that on which the notice referred to in article 134(c)(i) is sent or (if later) is deemed given; and</w:t>
      </w:r>
    </w:p>
    <w:p>
      <w:pPr>
        <w:spacing w:after="0" w:line="160" w:lineRule="exact"/>
        <w:rPr>
          <w:rFonts w:ascii="Times New Roman" w:cs="Times New Roman" w:eastAsia="Times New Roman" w:hAnsi="Times New Roman"/>
          <w:sz w:val="20"/>
          <w:szCs w:val="20"/>
          <w:color w:val="auto"/>
        </w:rPr>
      </w:pPr>
    </w:p>
    <w:p>
      <w:pPr>
        <w:ind w:left="2360" w:right="20" w:hanging="750"/>
        <w:spacing w:after="0" w:line="269" w:lineRule="auto"/>
        <w:tabs>
          <w:tab w:leader="none" w:pos="23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case, a period of not less than 21 days, beginning on the day following that on which the notification referred to in article 134(c)(i) is sent or (if later) is deemed given;</w:t>
      </w:r>
    </w:p>
    <w:p>
      <w:pPr>
        <w:spacing w:after="0" w:line="159" w:lineRule="exact"/>
        <w:rPr>
          <w:rFonts w:ascii="Times New Roman" w:cs="Times New Roman" w:eastAsia="Times New Roman" w:hAnsi="Times New Roman"/>
          <w:sz w:val="20"/>
          <w:szCs w:val="20"/>
          <w:color w:val="auto"/>
        </w:rPr>
      </w:pPr>
    </w:p>
    <w:p>
      <w:pPr>
        <w:jc w:val="both"/>
        <w:ind w:left="1880" w:right="20" w:hanging="734"/>
        <w:spacing w:after="0" w:line="254" w:lineRule="auto"/>
        <w:tabs>
          <w:tab w:leader="none" w:pos="188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from time to time issue, endorse or adopt terms and conditions relating to the use of electronic communications for the giving of notices, other documents and proxy appointments by the Company to members or persons entitled by transmission and by members or persons entitled by transmission to the Company.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1294130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92" w:name="page93"/>
    <w:bookmarkEnd w:id="92"/>
    <w:p>
      <w:pPr>
        <w:jc w:val="both"/>
        <w:ind w:left="1860" w:hanging="734"/>
        <w:spacing w:after="0" w:line="245" w:lineRule="auto"/>
        <w:tabs>
          <w:tab w:leader="none" w:pos="18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Proof that an envelope containing a notice or other document was properly addressed, prepaid and posted shall be conclusive evidence that the notice or document was given. Proof that a notice or other document contained in an electronic communication was sent or given in accordance with guidance issued by the Institute of Chartered Secretaries and Administrators current at the date of adoption of these articles, or, if the Board so resolves, any subsequent guidance so issued, shall be conclusive evidence that the notice or document was sent or given. A notice or other document sent by the Company to a member by post shall be deemed to be given or delivered:</w:t>
      </w:r>
    </w:p>
    <w:p>
      <w:pPr>
        <w:spacing w:after="0" w:line="184" w:lineRule="exact"/>
        <w:rPr>
          <w:rFonts w:ascii="Times New Roman" w:cs="Times New Roman" w:eastAsia="Times New Roman" w:hAnsi="Times New Roman"/>
          <w:sz w:val="20"/>
          <w:szCs w:val="20"/>
          <w:color w:val="auto"/>
        </w:rPr>
      </w:pPr>
    </w:p>
    <w:p>
      <w:pPr>
        <w:jc w:val="both"/>
        <w:ind w:left="2340" w:hanging="750"/>
        <w:spacing w:after="0" w:line="249" w:lineRule="auto"/>
        <w:tabs>
          <w:tab w:leader="none" w:pos="234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first class post or special delivery post from an address in the United Kingdom to another address in the United Kingdom, or by a postal service similar to first class post or special delivery post from an address in another country to another address in that other country, on the day following that on which the envelope containing it was posted;</w:t>
      </w:r>
    </w:p>
    <w:p>
      <w:pPr>
        <w:spacing w:after="0" w:line="17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airmail from an address in the United Kingdom to an address outside the United Kingdom, or from an address in another country to an address outside that country (including without limitation an address in the United Kingdom), on the third day following that on which the envelope containing it was posted;</w:t>
      </w:r>
    </w:p>
    <w:p>
      <w:pPr>
        <w:spacing w:after="0" w:line="174"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case, on the second day following that on which the envelope containing it was posted.</w:t>
      </w:r>
    </w:p>
    <w:p>
      <w:pPr>
        <w:spacing w:after="0" w:line="215" w:lineRule="exact"/>
        <w:rPr>
          <w:rFonts w:ascii="Times New Roman" w:cs="Times New Roman" w:eastAsia="Times New Roman" w:hAnsi="Times New Roman"/>
          <w:sz w:val="20"/>
          <w:szCs w:val="20"/>
          <w:color w:val="auto"/>
        </w:rPr>
      </w:pPr>
    </w:p>
    <w:p>
      <w:pPr>
        <w:jc w:val="both"/>
        <w:ind w:left="1860" w:hanging="734"/>
        <w:spacing w:after="0" w:line="245" w:lineRule="auto"/>
        <w:tabs>
          <w:tab w:leader="none" w:pos="18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notice or other document sent by the Company to a member contained in an electronic communication shall be deemed given to the member on the day on which the electronic communication was sent to the member. Such a notice or other document shall be deemed given by the Company to the member on that day notwithstanding that the Company becomes aware that the member has failed to receive the relevant notice or other document for any reason and notwithstanding that the Company subsequently sends a copy of such notice or other document by post to the member.</w:t>
      </w:r>
    </w:p>
    <w:p>
      <w:pPr>
        <w:spacing w:after="0" w:line="170"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notice, document or other communication shall be deemed to have been given if made available on a website, when the recipient was deemed to have received notification of the fact that the material was available on the website, in accordance with this article and if such notice, document or communication is sent by means of a relevant system, when the Company or any sponsoring system-participant acting on its behalf sends the issuer instructions relating to the communication.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93" w:name="page94"/>
    <w:bookmarkEnd w:id="93"/>
    <w:p>
      <w:pPr>
        <w:spacing w:after="0" w:line="131" w:lineRule="exact"/>
        <w:rPr>
          <w:sz w:val="20"/>
          <w:szCs w:val="20"/>
          <w:color w:val="auto"/>
        </w:rPr>
      </w:pPr>
    </w:p>
    <w:p>
      <w:pPr>
        <w:ind w:left="840" w:hanging="747"/>
        <w:spacing w:after="0"/>
        <w:tabs>
          <w:tab w:leader="none" w:pos="84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by members</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provided by these articles, a member or a person entitled by transmission to a share shall give any notice or other document under these articles to the Company by whichever of the following methods he may in his absolute discretion determine:</w:t>
      </w:r>
    </w:p>
    <w:p>
      <w:pPr>
        <w:spacing w:after="0" w:line="174"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posting the notice or other document in a prepaid envelope addressed to the office; or</w:t>
      </w:r>
    </w:p>
    <w:p>
      <w:pPr>
        <w:spacing w:after="0" w:line="67"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leaving the notice or other document at the office; or</w:t>
      </w:r>
    </w:p>
    <w:p>
      <w:pPr>
        <w:spacing w:after="0" w:line="215"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sending the notice or other document using electronic communications to such address (if any) for the time being notified by or on behalf of the Company for that purpose.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94" w:name="page95"/>
    <w:bookmarkEnd w:id="94"/>
    <w:p>
      <w:pPr>
        <w:spacing w:after="0" w:line="131" w:lineRule="exact"/>
        <w:rPr>
          <w:sz w:val="20"/>
          <w:szCs w:val="20"/>
          <w:color w:val="auto"/>
        </w:rPr>
      </w:pPr>
    </w:p>
    <w:p>
      <w:pPr>
        <w:ind w:left="840" w:hanging="747"/>
        <w:spacing w:after="0"/>
        <w:tabs>
          <w:tab w:leader="none" w:pos="84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to joint holders</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In the case of joint holdings, all notices and other documents shall be given or sent to the joint holder whose name appears first in the register and this shall be sufficient delivery to all the joint holders in their capacity as such. For such purpose a joint holder having no registered address in the United Kingdom and not having given an address within the United Kingdom at which notices may be given to him or an address to which notices may be sent using electronic communications shall be disregarded.</w:t>
      </w:r>
    </w:p>
    <w:p>
      <w:pPr>
        <w:spacing w:after="0" w:line="147"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to persons entitled by transmission</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within the United Kingdom supplied for that purpose by the persons claiming to be so entitled. Until such an address has been supplied, a notice may be given in any manner in which it might have been given if the death or bankruptcy had not occurred whether or not the Company has notice of the transmission event.</w:t>
      </w:r>
    </w:p>
    <w:p>
      <w:pPr>
        <w:spacing w:after="0" w:line="18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Disruption of postal services</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at any time by reason of the suspension or curtailment of postal services within the United Kingdom, the Company is unable effectively to convene a general meeting by notices sent through the post, a general meeting may be convened by a notice advertised in at least one leading national daily newspaper and such notice shall be deemed to have been given to all members and other persons entitled to receive it on the day when the advertisement appears (or first appears). In any such case the Company shall send confirmatory copies of the notice by post if at least seven days prior to the meeting the posting of notices to addresses throughout the United Kingdom again becomes practicable.</w:t>
      </w:r>
    </w:p>
    <w:p>
      <w:pPr>
        <w:spacing w:after="0" w:line="18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Deemed notice</w:t>
      </w:r>
    </w:p>
    <w:p>
      <w:pPr>
        <w:spacing w:after="0" w:line="219"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member present in person at any meeting of the Company or of the holders of any class of shares shall be deemed to have received notice of the meeting and, where requisite, of the purposes for which it was called.</w:t>
      </w:r>
    </w:p>
    <w:p>
      <w:pPr>
        <w:spacing w:after="0" w:line="15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 in title bound by notice to predecessor</w:t>
      </w:r>
    </w:p>
    <w:p>
      <w:pPr>
        <w:spacing w:after="0" w:line="219" w:lineRule="exact"/>
        <w:rPr>
          <w:rFonts w:ascii="Times New Roman" w:cs="Times New Roman" w:eastAsia="Times New Roman" w:hAnsi="Times New Roman"/>
          <w:sz w:val="20"/>
          <w:szCs w:val="20"/>
          <w:b w:val="1"/>
          <w:bCs w:val="1"/>
          <w:color w:val="auto"/>
        </w:rPr>
      </w:pPr>
    </w:p>
    <w:p>
      <w:pPr>
        <w:jc w:val="both"/>
        <w:ind w:left="8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Every person who becomes entitled to a share shall be bound by any notice (other than a notice given under section 793 of the 2006 Act) in respect of that share which, before his name is entered in the register, was given to the person from whom he derives his title.</w:t>
      </w:r>
    </w:p>
    <w:p>
      <w:pPr>
        <w:spacing w:after="0" w:line="170"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Reference to notices are to notifications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95" w:name="page96"/>
    <w:bookmarkEnd w:id="95"/>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Except when the subject or context otherwise requires, in articles 134(a), 134(b), 134(c), 134(f), 135 and 136 references to a notice include without limitation references to any notification required by the Statutes or these articles in relation to the publication of any notices or other documents on a website.</w:t>
      </w:r>
    </w:p>
    <w:p>
      <w:pPr>
        <w:spacing w:after="0" w:line="170" w:lineRule="exact"/>
        <w:rPr>
          <w:sz w:val="20"/>
          <w:szCs w:val="20"/>
          <w:color w:val="auto"/>
        </w:rPr>
      </w:pPr>
    </w:p>
    <w:p>
      <w:pPr>
        <w:ind w:left="840" w:hanging="747"/>
        <w:spacing w:after="0"/>
        <w:tabs>
          <w:tab w:leader="none" w:pos="84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Statutory requirements</w:t>
      </w:r>
    </w:p>
    <w:p>
      <w:pPr>
        <w:spacing w:after="0" w:line="233"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in these articles shall affect any requirement of the Statutes that any particular notice or other document be served in any particular manner.</w:t>
      </w:r>
    </w:p>
    <w:p>
      <w:pPr>
        <w:spacing w:after="0" w:line="155" w:lineRule="exact"/>
        <w:rPr>
          <w:rFonts w:ascii="Times New Roman" w:cs="Times New Roman" w:eastAsia="Times New Roman" w:hAnsi="Times New Roman"/>
          <w:sz w:val="20"/>
          <w:szCs w:val="20"/>
          <w:b w:val="1"/>
          <w:bCs w:val="1"/>
          <w:color w:val="auto"/>
        </w:rPr>
      </w:pPr>
    </w:p>
    <w:p>
      <w:pPr>
        <w:ind w:left="840" w:hanging="747"/>
        <w:spacing w:after="0"/>
        <w:tabs>
          <w:tab w:leader="none" w:pos="84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Record date for delivery</w:t>
      </w:r>
    </w:p>
    <w:p>
      <w:pPr>
        <w:spacing w:after="0" w:line="233" w:lineRule="exact"/>
        <w:rPr>
          <w:rFonts w:ascii="Times New Roman" w:cs="Times New Roman" w:eastAsia="Times New Roman" w:hAnsi="Times New Roman"/>
          <w:sz w:val="20"/>
          <w:szCs w:val="20"/>
          <w:b w:val="1"/>
          <w:bCs w:val="1"/>
          <w:color w:val="auto"/>
        </w:rPr>
      </w:pPr>
    </w:p>
    <w:p>
      <w:pPr>
        <w:jc w:val="both"/>
        <w:ind w:left="1860" w:hanging="734"/>
        <w:spacing w:after="0" w:line="249" w:lineRule="auto"/>
        <w:tabs>
          <w:tab w:leader="none" w:pos="186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giving notices of meetings or other documents, whether under these articles or under section 310(1) of the 2006 Act, any other Statute or any other statutory instrument, the Company may determine that persons entitled to receive such notices or other documents are those persons entered on the register at the close of business on a day determined by it.</w:t>
      </w:r>
    </w:p>
    <w:p>
      <w:pPr>
        <w:spacing w:after="0" w:line="166" w:lineRule="exact"/>
        <w:rPr>
          <w:rFonts w:ascii="Times New Roman" w:cs="Times New Roman" w:eastAsia="Times New Roman" w:hAnsi="Times New Roman"/>
          <w:sz w:val="20"/>
          <w:szCs w:val="20"/>
          <w:color w:val="auto"/>
        </w:rPr>
      </w:pPr>
    </w:p>
    <w:p>
      <w:pPr>
        <w:ind w:left="1860" w:hanging="734"/>
        <w:spacing w:after="0" w:line="269" w:lineRule="auto"/>
        <w:tabs>
          <w:tab w:leader="none" w:pos="186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day determined by the Company under article 143(a) may not be more that 21 days before the day that the notice of the meeting or other document is sent.</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determining which persons are entitled to attend and/or vote at a meeting, and how many votes such persons may cast, the Company may specify in the notice of the meeting a time, not more than 48 hours before the time fixed for the meeting, by which a person must be entered on the register in order to have the right to attend and/or vote at the meeting. In calculating the period mentioned in this article 143(c), no account shall be taken of any part of a day that is not a working day.</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REGISTER</w:t>
      </w:r>
    </w:p>
    <w:p>
      <w:pPr>
        <w:spacing w:after="0" w:line="229" w:lineRule="exact"/>
        <w:rPr>
          <w:sz w:val="20"/>
          <w:szCs w:val="20"/>
          <w:color w:val="auto"/>
        </w:rPr>
      </w:pPr>
    </w:p>
    <w:p>
      <w:pPr>
        <w:ind w:left="840" w:hanging="747"/>
        <w:spacing w:after="0"/>
        <w:tabs>
          <w:tab w:leader="none" w:pos="84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Register Requirements</w:t>
      </w:r>
    </w:p>
    <w:p>
      <w:pPr>
        <w:spacing w:after="0" w:line="219" w:lineRule="exact"/>
        <w:rPr>
          <w:rFonts w:ascii="Times New Roman" w:cs="Times New Roman" w:eastAsia="Times New Roman" w:hAnsi="Times New Roman"/>
          <w:sz w:val="20"/>
          <w:szCs w:val="20"/>
          <w:b w:val="1"/>
          <w:bCs w:val="1"/>
          <w:color w:val="auto"/>
        </w:rPr>
      </w:pPr>
    </w:p>
    <w:p>
      <w:pPr>
        <w:ind w:left="1860" w:hanging="734"/>
        <w:spacing w:after="0"/>
        <w:tabs>
          <w:tab w:leader="none" w:pos="186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keep, or cause to be kept the register of members in the manner required by the 2006 Act.</w:t>
      </w:r>
    </w:p>
    <w:p>
      <w:pPr>
        <w:spacing w:after="0" w:line="215" w:lineRule="exact"/>
        <w:rPr>
          <w:rFonts w:ascii="Times New Roman" w:cs="Times New Roman" w:eastAsia="Times New Roman" w:hAnsi="Times New Roman"/>
          <w:sz w:val="20"/>
          <w:szCs w:val="20"/>
          <w:color w:val="auto"/>
        </w:rPr>
      </w:pPr>
    </w:p>
    <w:p>
      <w:pPr>
        <w:jc w:val="both"/>
        <w:ind w:left="1860" w:hanging="734"/>
        <w:spacing w:after="0" w:line="246" w:lineRule="auto"/>
        <w:tabs>
          <w:tab w:leader="none" w:pos="186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2006 Act, the Company may keep an overseas branch register in any country, territory or place. The Board may (subject to the 2006 Act) make and vary such regulations as it may think fit in relation to the keeping of any such overseas branch register, including any regulations regarding the transfer of shares from such overseas branch register to the register, the transfer of shares from the register to such overseas branch register or the inspection of the overseas branch register.</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UNTRACED MEMBERS</w:t>
      </w:r>
    </w:p>
    <w:p>
      <w:pPr>
        <w:spacing w:after="0" w:line="216" w:lineRule="exact"/>
        <w:rPr>
          <w:sz w:val="20"/>
          <w:szCs w:val="20"/>
          <w:color w:val="auto"/>
        </w:rPr>
      </w:pPr>
    </w:p>
    <w:p>
      <w:pPr>
        <w:ind w:left="840" w:hanging="747"/>
        <w:spacing w:after="0"/>
        <w:tabs>
          <w:tab w:leader="none" w:pos="840"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of shares of untraced members</w:t>
      </w:r>
    </w:p>
    <w:p>
      <w:pPr>
        <w:spacing w:after="0" w:line="71" w:lineRule="exact"/>
        <w:rPr>
          <w:rFonts w:ascii="Times New Roman" w:cs="Times New Roman" w:eastAsia="Times New Roman" w:hAnsi="Times New Roman"/>
          <w:sz w:val="20"/>
          <w:szCs w:val="20"/>
          <w:b w:val="1"/>
          <w:bCs w:val="1"/>
          <w:color w:val="auto"/>
        </w:rPr>
      </w:pPr>
    </w:p>
    <w:p>
      <w:pPr>
        <w:ind w:left="1860" w:right="20" w:hanging="734"/>
        <w:spacing w:after="0" w:line="269" w:lineRule="auto"/>
        <w:tabs>
          <w:tab w:leader="none" w:pos="186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sell, in such manner as the Board may decide and at the best price it considers to be reasonably obtainable at that time, any share of a member,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96" w:name="page97"/>
    <w:bookmarkEnd w:id="96"/>
    <w:p>
      <w:pPr>
        <w:ind w:left="1860"/>
        <w:spacing w:after="0"/>
        <w:rPr>
          <w:sz w:val="20"/>
          <w:szCs w:val="20"/>
          <w:color w:val="auto"/>
        </w:rPr>
      </w:pPr>
      <w:r>
        <w:rPr>
          <w:rFonts w:ascii="Times New Roman" w:cs="Times New Roman" w:eastAsia="Times New Roman" w:hAnsi="Times New Roman"/>
          <w:sz w:val="20"/>
          <w:szCs w:val="20"/>
          <w:color w:val="auto"/>
        </w:rPr>
        <w:t>or any share to which a person is entitled by transmission if:</w:t>
      </w:r>
    </w:p>
    <w:p>
      <w:pPr>
        <w:spacing w:after="0" w:line="216" w:lineRule="exact"/>
        <w:rPr>
          <w:sz w:val="20"/>
          <w:szCs w:val="20"/>
          <w:color w:val="auto"/>
        </w:rPr>
      </w:pPr>
    </w:p>
    <w:p>
      <w:pPr>
        <w:ind w:left="2340" w:hanging="750"/>
        <w:spacing w:after="0" w:line="269" w:lineRule="auto"/>
        <w:tabs>
          <w:tab w:leader="none" w:pos="234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 period of 12 years at least three cash dividends have become payable in respect of the share to be sold;</w:t>
      </w:r>
    </w:p>
    <w:p>
      <w:pPr>
        <w:spacing w:after="0" w:line="172" w:lineRule="exact"/>
        <w:rPr>
          <w:rFonts w:ascii="Times New Roman" w:cs="Times New Roman" w:eastAsia="Times New Roman" w:hAnsi="Times New Roman"/>
          <w:sz w:val="20"/>
          <w:szCs w:val="20"/>
          <w:color w:val="auto"/>
        </w:rPr>
      </w:pPr>
    </w:p>
    <w:p>
      <w:pPr>
        <w:jc w:val="both"/>
        <w:ind w:left="2340" w:hanging="750"/>
        <w:spacing w:after="0" w:line="246" w:lineRule="auto"/>
        <w:tabs>
          <w:tab w:leader="none" w:pos="234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that period of 12 years no cash dividend payable in respect of the share has been claimed, no cheque, warrant, order or other payment for a dividend has been cashed, no dividend sent by means of a bank or other funds transfer system or other electronic system or means (including, in the case of uncertificated shares, a relevant system) has been paid and no communication has been received by the Company from the member or the person entitled by transmission to the share;</w:t>
      </w:r>
    </w:p>
    <w:p>
      <w:pPr>
        <w:spacing w:after="0" w:line="171" w:lineRule="exact"/>
        <w:rPr>
          <w:rFonts w:ascii="Times New Roman" w:cs="Times New Roman" w:eastAsia="Times New Roman" w:hAnsi="Times New Roman"/>
          <w:sz w:val="20"/>
          <w:szCs w:val="20"/>
          <w:color w:val="auto"/>
        </w:rPr>
      </w:pPr>
    </w:p>
    <w:p>
      <w:pPr>
        <w:jc w:val="both"/>
        <w:ind w:left="2340" w:hanging="750"/>
        <w:spacing w:after="0" w:line="245" w:lineRule="auto"/>
        <w:tabs>
          <w:tab w:leader="none" w:pos="234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the expiry of that period of 12 years the Company has sent, or caused to be sent, a notice to the registered address or last known address the Company has for the member or other person entitled by transmission to the share, giving notice of its intention to sell the share (provided that before sending such a notice, the Company shall have made, or caused to be made, such tracing enquiries for the purpose of contacting that member or other person as the Board considers to be reasonable and appropriate in the circumstances); and</w:t>
      </w:r>
    </w:p>
    <w:p>
      <w:pPr>
        <w:spacing w:after="0" w:line="184"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of three months following the sending of the notice referred to in paragraph (iii) above and after that period until the exercise of the power to sell the share, the Company has not received any communication from the member or the person entitled by transmission to the share.</w:t>
      </w:r>
    </w:p>
    <w:p>
      <w:pPr>
        <w:spacing w:after="0" w:line="174" w:lineRule="exact"/>
        <w:rPr>
          <w:rFonts w:ascii="Times New Roman" w:cs="Times New Roman" w:eastAsia="Times New Roman" w:hAnsi="Times New Roman"/>
          <w:sz w:val="20"/>
          <w:szCs w:val="20"/>
          <w:color w:val="auto"/>
        </w:rPr>
      </w:pPr>
    </w:p>
    <w:p>
      <w:pPr>
        <w:jc w:val="both"/>
        <w:ind w:left="1860" w:hanging="734"/>
        <w:spacing w:after="0" w:line="247" w:lineRule="auto"/>
        <w:tabs>
          <w:tab w:leader="none" w:pos="186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power of sale shall extend to any further share which, on or before the sending of the notice pursuant to paragraph (a)(iii) above (</w:t>
      </w:r>
      <w:r>
        <w:rPr>
          <w:rFonts w:ascii="Times New Roman" w:cs="Times New Roman" w:eastAsia="Times New Roman" w:hAnsi="Times New Roman"/>
          <w:sz w:val="20"/>
          <w:szCs w:val="20"/>
          <w:b w:val="1"/>
          <w:bCs w:val="1"/>
          <w:color w:val="auto"/>
        </w:rPr>
        <w:t>additional share</w:t>
      </w:r>
      <w:r>
        <w:rPr>
          <w:rFonts w:ascii="Times New Roman" w:cs="Times New Roman" w:eastAsia="Times New Roman" w:hAnsi="Times New Roman"/>
          <w:sz w:val="20"/>
          <w:szCs w:val="20"/>
          <w:color w:val="auto"/>
        </w:rPr>
        <w:t>), is issued in right of a share to which paragraph (a) above applies (or in right of any share to which this paragraph applies) if the conditions set out in paragraphs 145(a)(ii) to</w:t>
      </w:r>
    </w:p>
    <w:p>
      <w:pPr>
        <w:jc w:val="both"/>
        <w:ind w:left="1860" w:firstLine="6"/>
        <w:spacing w:after="0" w:line="242" w:lineRule="auto"/>
        <w:tabs>
          <w:tab w:leader="none" w:pos="2223"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are satisfied in relation to the additional share (but as if the references to a period of 12 years were references to a period beginning on the date of allotment of the original share and ending on the date of sending the notice referred to above).</w:t>
      </w:r>
    </w:p>
    <w:p>
      <w:pPr>
        <w:spacing w:after="0" w:line="186" w:lineRule="exact"/>
        <w:rPr>
          <w:rFonts w:ascii="Times New Roman" w:cs="Times New Roman" w:eastAsia="Times New Roman" w:hAnsi="Times New Roman"/>
          <w:sz w:val="20"/>
          <w:szCs w:val="20"/>
          <w:color w:val="auto"/>
        </w:rPr>
      </w:pPr>
    </w:p>
    <w:p>
      <w:pPr>
        <w:ind w:left="1880" w:hanging="754"/>
        <w:spacing w:after="0"/>
        <w:tabs>
          <w:tab w:leader="none" w:pos="188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give effect to any sale, the Board may:</w:t>
      </w:r>
    </w:p>
    <w:p>
      <w:pPr>
        <w:spacing w:after="0" w:line="215"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shares are held in certificated form, appoint any person to execute, as transferor, an instrument of transfer of the shares to, or in accordance with the directions of the buyer; and</w:t>
      </w:r>
    </w:p>
    <w:p>
      <w:pPr>
        <w:spacing w:after="0" w:line="172"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shares are held in uncertificated form, do all acts and things it considers necessary or expedient to effect the transfer of the shares to or in accordance with the directions of the buyer,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97" w:name="page98"/>
    <w:bookmarkEnd w:id="97"/>
    <w:p>
      <w:pPr>
        <w:spacing w:after="0" w:line="149" w:lineRule="exact"/>
        <w:rPr>
          <w:sz w:val="20"/>
          <w:szCs w:val="20"/>
          <w:color w:val="auto"/>
        </w:rPr>
      </w:pPr>
    </w:p>
    <w:p>
      <w:pPr>
        <w:ind w:left="1580"/>
        <w:spacing w:after="0" w:line="269" w:lineRule="auto"/>
        <w:rPr>
          <w:sz w:val="20"/>
          <w:szCs w:val="20"/>
          <w:color w:val="auto"/>
        </w:rPr>
      </w:pPr>
      <w:r>
        <w:rPr>
          <w:rFonts w:ascii="Times New Roman" w:cs="Times New Roman" w:eastAsia="Times New Roman" w:hAnsi="Times New Roman"/>
          <w:sz w:val="20"/>
          <w:szCs w:val="20"/>
          <w:color w:val="auto"/>
        </w:rPr>
        <w:t>in each case, the title of the new holder to the share not be affected by any irregularity in, or invalidity of, the proceedings relating to the sale.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40" w:top="1440" w:right="1339" w:bottom="1440" w:gutter="0" w:footer="0" w:header="0"/>
        </w:sectPr>
      </w:pPr>
    </w:p>
    <w:bookmarkStart w:id="98" w:name="page99"/>
    <w:bookmarkEnd w:id="98"/>
    <w:p>
      <w:pPr>
        <w:ind w:left="840" w:hanging="747"/>
        <w:spacing w:after="0"/>
        <w:tabs>
          <w:tab w:leader="none" w:pos="84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Application of proceeds of sale</w:t>
      </w:r>
    </w:p>
    <w:p>
      <w:pPr>
        <w:spacing w:after="0" w:line="233" w:lineRule="exact"/>
        <w:rPr>
          <w:rFonts w:ascii="Times New Roman" w:cs="Times New Roman" w:eastAsia="Times New Roman" w:hAnsi="Times New Roman"/>
          <w:sz w:val="20"/>
          <w:szCs w:val="20"/>
          <w:b w:val="1"/>
          <w:bCs w:val="1"/>
          <w:color w:val="auto"/>
        </w:rPr>
      </w:pPr>
    </w:p>
    <w:p>
      <w:pPr>
        <w:jc w:val="both"/>
        <w:ind w:left="84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net proceeds of any sale made under article 145 will be forfeited and will belong to the Company. No interest shall be payable in respect of the net proceeds and the Company shall not be required to account for any money earned on the net proceeds. The Company will not be liable in any respect to the former member or members or other person who may or would have been entitled to the share or shares by law for the proceeds of sale, and the Company may use the proceeds of sale for any purpose as the Board may decide.</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DESTRUCTION OF DOCUMENTS</w:t>
      </w:r>
    </w:p>
    <w:p>
      <w:pPr>
        <w:spacing w:after="0" w:line="216" w:lineRule="exact"/>
        <w:rPr>
          <w:sz w:val="20"/>
          <w:szCs w:val="20"/>
          <w:color w:val="auto"/>
        </w:rPr>
      </w:pPr>
    </w:p>
    <w:p>
      <w:pPr>
        <w:ind w:left="840" w:hanging="747"/>
        <w:spacing w:after="0"/>
        <w:tabs>
          <w:tab w:leader="none" w:pos="84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Destruction of documents</w:t>
      </w:r>
    </w:p>
    <w:p>
      <w:pPr>
        <w:spacing w:after="0" w:line="233" w:lineRule="exact"/>
        <w:rPr>
          <w:rFonts w:ascii="Times New Roman" w:cs="Times New Roman" w:eastAsia="Times New Roman" w:hAnsi="Times New Roman"/>
          <w:sz w:val="20"/>
          <w:szCs w:val="20"/>
          <w:b w:val="1"/>
          <w:bCs w:val="1"/>
          <w:color w:val="auto"/>
        </w:rPr>
      </w:pPr>
    </w:p>
    <w:p>
      <w:pPr>
        <w:ind w:left="1860" w:right="280" w:hanging="734"/>
        <w:spacing w:after="0" w:line="269" w:lineRule="auto"/>
        <w:tabs>
          <w:tab w:leader="none" w:pos="186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the Board may authorise or arrange the destruction of documents held by the Company as follows:</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74" w:lineRule="auto"/>
        <w:tabs>
          <w:tab w:leader="none" w:pos="2340" w:val="left"/>
        </w:tabs>
        <w:numPr>
          <w:ilvl w:val="2"/>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after the expiration of six years from the date of registration, all instruments of transfer of shares and all other documents transferring or purporting to transfer shares or representing or purporting to represent the right to be registered as the holder of shares on the faith of which entries have been made in the register;</w:t>
      </w:r>
    </w:p>
    <w:p>
      <w:pPr>
        <w:spacing w:after="0" w:line="156" w:lineRule="exact"/>
        <w:rPr>
          <w:rFonts w:ascii="Times New Roman" w:cs="Times New Roman" w:eastAsia="Times New Roman" w:hAnsi="Times New Roman"/>
          <w:sz w:val="19"/>
          <w:szCs w:val="19"/>
          <w:color w:val="auto"/>
        </w:rPr>
      </w:pPr>
    </w:p>
    <w:p>
      <w:pPr>
        <w:ind w:left="2320" w:right="20" w:hanging="730"/>
        <w:spacing w:after="0" w:line="269" w:lineRule="auto"/>
        <w:tabs>
          <w:tab w:leader="none" w:pos="2320"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expiration of one year from the date of cancellation, all registered share certificates which have been cancelled;</w:t>
      </w:r>
    </w:p>
    <w:p>
      <w:pPr>
        <w:spacing w:after="0" w:line="159" w:lineRule="exact"/>
        <w:rPr>
          <w:rFonts w:ascii="Times New Roman" w:cs="Times New Roman" w:eastAsia="Times New Roman" w:hAnsi="Times New Roman"/>
          <w:sz w:val="20"/>
          <w:szCs w:val="20"/>
          <w:color w:val="auto"/>
        </w:rPr>
      </w:pPr>
    </w:p>
    <w:p>
      <w:pPr>
        <w:ind w:left="2320" w:right="20" w:hanging="730"/>
        <w:spacing w:after="0" w:line="269" w:lineRule="auto"/>
        <w:tabs>
          <w:tab w:leader="none" w:pos="2320"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expiration of two years from the date of recording them, all dividend mandates and notifications of change of address;</w:t>
      </w:r>
    </w:p>
    <w:p>
      <w:pPr>
        <w:spacing w:after="0" w:line="159"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expiration of one year from the date of actual payment, all paid dividend warrants and cheques;</w:t>
      </w:r>
    </w:p>
    <w:p>
      <w:pPr>
        <w:spacing w:after="0" w:line="159"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appointments (or records of appointment) of proxy which have been used for the purpose of a poll at any time after the expiration of one year from the date of use; and</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appointments (or records of appointment) of proxy which have not been used for the purpose of a poll at any time after one month from the end of the meeting to which the appointment of proxy relates and at which no poll was demanded.</w:t>
      </w: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Statutes, it shall conclusively be presumed in favour of the Company that:</w:t>
      </w:r>
    </w:p>
    <w:p>
      <w:pPr>
        <w:spacing w:after="0" w:line="215" w:lineRule="exact"/>
        <w:rPr>
          <w:rFonts w:ascii="Times New Roman" w:cs="Times New Roman" w:eastAsia="Times New Roman" w:hAnsi="Times New Roman"/>
          <w:sz w:val="20"/>
          <w:szCs w:val="20"/>
          <w:color w:val="auto"/>
        </w:rPr>
      </w:pPr>
    </w:p>
    <w:p>
      <w:pPr>
        <w:ind w:left="2340" w:right="20" w:hanging="750"/>
        <w:spacing w:after="0" w:line="269" w:lineRule="auto"/>
        <w:tabs>
          <w:tab w:leader="none" w:pos="2340"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entry in the register purporting to have been made on the basis of an instrument of transfer or other document so destroyed was duly and properly made;</w:t>
      </w:r>
    </w:p>
    <w:p>
      <w:pPr>
        <w:spacing w:after="0" w:line="15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instrument of transfer so destroyed was a valid and effective instrument duly and properly registered;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09" w:right="459" w:bottom="1440" w:gutter="0" w:footer="0" w:header="0"/>
        </w:sectPr>
      </w:pPr>
    </w:p>
    <w:bookmarkStart w:id="99" w:name="page100"/>
    <w:bookmarkEnd w:id="99"/>
    <w:p>
      <w:pPr>
        <w:ind w:left="2340" w:hanging="750"/>
        <w:spacing w:after="0"/>
        <w:tabs>
          <w:tab w:leader="none" w:pos="234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share certificate so destroyed was a valid certificate duly and properly cancelled;</w:t>
      </w:r>
    </w:p>
    <w:p>
      <w:pPr>
        <w:spacing w:after="0" w:line="215" w:lineRule="exact"/>
        <w:rPr>
          <w:rFonts w:ascii="Times New Roman" w:cs="Times New Roman" w:eastAsia="Times New Roman" w:hAnsi="Times New Roman"/>
          <w:sz w:val="20"/>
          <w:szCs w:val="20"/>
          <w:color w:val="auto"/>
        </w:rPr>
      </w:pPr>
    </w:p>
    <w:p>
      <w:pPr>
        <w:ind w:left="2340" w:hanging="750"/>
        <w:spacing w:after="0" w:line="269" w:lineRule="auto"/>
        <w:tabs>
          <w:tab w:leader="none" w:pos="234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other document mentioned in paragraph (a) above so destroyed was a valid and effective document in accordance with the particulars of it recorded in the books and records of the Company; and</w:t>
      </w:r>
    </w:p>
    <w:p>
      <w:pPr>
        <w:spacing w:after="0" w:line="172"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paid dividend warrant and cheque so destroyed was duly paid.</w:t>
      </w:r>
    </w:p>
    <w:p>
      <w:pPr>
        <w:spacing w:after="0" w:line="215" w:lineRule="exact"/>
        <w:rPr>
          <w:rFonts w:ascii="Times New Roman" w:cs="Times New Roman" w:eastAsia="Times New Roman" w:hAnsi="Times New Roman"/>
          <w:sz w:val="20"/>
          <w:szCs w:val="20"/>
          <w:color w:val="auto"/>
        </w:rPr>
      </w:pPr>
    </w:p>
    <w:p>
      <w:pPr>
        <w:ind w:left="1860" w:right="20" w:hanging="734"/>
        <w:spacing w:after="0" w:line="269" w:lineRule="auto"/>
        <w:tabs>
          <w:tab w:leader="none" w:pos="18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paragraph (b) above shall apply only to the destruction of a document in good faith and without notice of any claim (regardless of the parties to it) to which the document might be relevant.</w:t>
      </w:r>
    </w:p>
    <w:p>
      <w:pPr>
        <w:spacing w:after="0" w:line="159" w:lineRule="exact"/>
        <w:rPr>
          <w:rFonts w:ascii="Times New Roman" w:cs="Times New Roman" w:eastAsia="Times New Roman" w:hAnsi="Times New Roman"/>
          <w:sz w:val="20"/>
          <w:szCs w:val="20"/>
          <w:color w:val="auto"/>
        </w:rPr>
      </w:pPr>
    </w:p>
    <w:p>
      <w:pPr>
        <w:jc w:val="both"/>
        <w:ind w:left="1860" w:hanging="734"/>
        <w:spacing w:after="0" w:line="254" w:lineRule="auto"/>
        <w:tabs>
          <w:tab w:leader="none" w:pos="18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article shall be construed as imposing on the Company or the Board any liability in respect of the destruction of any document earlier than as stated in paragraph (a) above or in any other circumstances in which liability would not attach to the Company or the Board in the absence of this article.</w:t>
      </w:r>
    </w:p>
    <w:p>
      <w:pPr>
        <w:spacing w:after="0" w:line="174" w:lineRule="exact"/>
        <w:rPr>
          <w:rFonts w:ascii="Times New Roman" w:cs="Times New Roman" w:eastAsia="Times New Roman" w:hAnsi="Times New Roman"/>
          <w:sz w:val="20"/>
          <w:szCs w:val="20"/>
          <w:color w:val="auto"/>
        </w:rPr>
      </w:pPr>
    </w:p>
    <w:p>
      <w:pPr>
        <w:ind w:left="1860" w:hanging="734"/>
        <w:spacing w:after="0"/>
        <w:tabs>
          <w:tab w:leader="none" w:pos="18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article to the destruction of any document include references to its disposal in any manner.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00" w:name="page101"/>
    <w:bookmarkEnd w:id="100"/>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WINDING UP</w:t>
      </w:r>
    </w:p>
    <w:p>
      <w:pPr>
        <w:spacing w:after="0" w:line="229" w:lineRule="exact"/>
        <w:rPr>
          <w:sz w:val="20"/>
          <w:szCs w:val="20"/>
          <w:color w:val="auto"/>
        </w:rPr>
      </w:pPr>
    </w:p>
    <w:p>
      <w:pPr>
        <w:ind w:left="840" w:hanging="747"/>
        <w:spacing w:after="0"/>
        <w:tabs>
          <w:tab w:leader="none" w:pos="84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Powers to distribute </w:t>
      </w:r>
      <w:r>
        <w:rPr>
          <w:rFonts w:ascii="Times New Roman" w:cs="Times New Roman" w:eastAsia="Times New Roman" w:hAnsi="Times New Roman"/>
          <w:sz w:val="20"/>
          <w:szCs w:val="20"/>
          <w:b w:val="1"/>
          <w:bCs w:val="1"/>
          <w:i w:val="1"/>
          <w:iCs w:val="1"/>
          <w:color w:val="auto"/>
        </w:rPr>
        <w:t>in specie</w:t>
      </w:r>
    </w:p>
    <w:p>
      <w:pPr>
        <w:spacing w:after="0" w:line="219" w:lineRule="exact"/>
        <w:rPr>
          <w:rFonts w:ascii="Times New Roman" w:cs="Times New Roman" w:eastAsia="Times New Roman" w:hAnsi="Times New Roman"/>
          <w:sz w:val="20"/>
          <w:szCs w:val="20"/>
          <w:b w:val="1"/>
          <w:bCs w:val="1"/>
          <w:color w:val="auto"/>
        </w:rPr>
      </w:pPr>
    </w:p>
    <w:p>
      <w:pPr>
        <w:ind w:left="84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Company is being wound up (whether the liquidation is voluntary, under supervision or by the Court or otherwise), the liquidator may, with the authority of a special resolution of the Company and any other authority required by the Statutes:</w:t>
      </w:r>
    </w:p>
    <w:p>
      <w:pPr>
        <w:spacing w:after="0" w:line="155" w:lineRule="exact"/>
        <w:rPr>
          <w:rFonts w:ascii="Times New Roman" w:cs="Times New Roman" w:eastAsia="Times New Roman" w:hAnsi="Times New Roman"/>
          <w:sz w:val="20"/>
          <w:szCs w:val="20"/>
          <w:b w:val="1"/>
          <w:bCs w:val="1"/>
          <w:color w:val="auto"/>
        </w:rPr>
      </w:pPr>
    </w:p>
    <w:p>
      <w:pPr>
        <w:jc w:val="both"/>
        <w:ind w:left="2340" w:right="20" w:hanging="750"/>
        <w:spacing w:after="0" w:line="256" w:lineRule="auto"/>
        <w:tabs>
          <w:tab w:leader="none" w:pos="234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divide among the members </w:t>
      </w:r>
      <w:r>
        <w:rPr>
          <w:rFonts w:ascii="Times New Roman" w:cs="Times New Roman" w:eastAsia="Times New Roman" w:hAnsi="Times New Roman"/>
          <w:sz w:val="20"/>
          <w:szCs w:val="20"/>
          <w:i w:val="1"/>
          <w:iCs w:val="1"/>
          <w:color w:val="auto"/>
        </w:rPr>
        <w:t>in specie</w:t>
      </w:r>
      <w:r>
        <w:rPr>
          <w:rFonts w:ascii="Times New Roman" w:cs="Times New Roman" w:eastAsia="Times New Roman" w:hAnsi="Times New Roman"/>
          <w:sz w:val="20"/>
          <w:szCs w:val="20"/>
          <w:color w:val="auto"/>
        </w:rPr>
        <w:t xml:space="preserve"> the whole or any part of the assets of the Company and, for that purpose, value any assets and determine how the division shall be carried out as between the members or different classes of members; or</w:t>
      </w:r>
    </w:p>
    <w:p>
      <w:pPr>
        <w:spacing w:after="0" w:line="172" w:lineRule="exact"/>
        <w:rPr>
          <w:rFonts w:ascii="Times New Roman" w:cs="Times New Roman" w:eastAsia="Times New Roman" w:hAnsi="Times New Roman"/>
          <w:sz w:val="20"/>
          <w:szCs w:val="20"/>
          <w:color w:val="auto"/>
        </w:rPr>
      </w:pPr>
    </w:p>
    <w:p>
      <w:pPr>
        <w:jc w:val="both"/>
        <w:ind w:left="2340" w:hanging="750"/>
        <w:spacing w:after="0" w:line="254" w:lineRule="auto"/>
        <w:tabs>
          <w:tab w:leader="none" w:pos="234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 the whole or any part of the assets in trustees upon such trusts for the benefit of members as the liquidator, with the like sanction, shall think fit but no member shall be compelled to accept any assets upon which there is any liability.</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INDEMNITY AND INSURANCE, ETC.</w:t>
      </w:r>
    </w:p>
    <w:p>
      <w:pPr>
        <w:spacing w:after="0" w:line="229" w:lineRule="exact"/>
        <w:rPr>
          <w:sz w:val="20"/>
          <w:szCs w:val="20"/>
          <w:color w:val="auto"/>
        </w:rPr>
      </w:pPr>
    </w:p>
    <w:p>
      <w:pPr>
        <w:ind w:left="840" w:hanging="747"/>
        <w:spacing w:after="0"/>
        <w:tabs>
          <w:tab w:leader="none" w:pos="84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indemnity, insurance and defence</w:t>
      </w:r>
    </w:p>
    <w:p>
      <w:pPr>
        <w:spacing w:after="0" w:line="219" w:lineRule="exact"/>
        <w:rPr>
          <w:rFonts w:ascii="Times New Roman" w:cs="Times New Roman" w:eastAsia="Times New Roman" w:hAnsi="Times New Roman"/>
          <w:sz w:val="20"/>
          <w:szCs w:val="20"/>
          <w:b w:val="1"/>
          <w:bCs w:val="1"/>
          <w:color w:val="auto"/>
        </w:rPr>
      </w:pPr>
    </w:p>
    <w:p>
      <w:pPr>
        <w:jc w:val="both"/>
        <w:ind w:left="1860" w:hanging="734"/>
        <w:spacing w:after="0" w:line="263" w:lineRule="auto"/>
        <w:tabs>
          <w:tab w:leader="none" w:pos="1860"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the 2006 Act, but without prejudice to any indemnity to which the person concerned may otherwise be entitled, every director or other officer of the Company shall be indemnified out of the assets of the Company against any liability incurred by him for negligence, default, breach of duty, breach of trust or otherwise in relation to the affairs of the Company or of an associated company, or in connection with the activities of the Company, or of an associated company, as a trustee of an occupational pension scheme (as defined in section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01" w:name="page102"/>
    <w:bookmarkEnd w:id="101"/>
    <w:p>
      <w:pPr>
        <w:jc w:val="both"/>
        <w:ind w:left="1880"/>
        <w:spacing w:after="0" w:line="254" w:lineRule="auto"/>
        <w:rPr>
          <w:sz w:val="20"/>
          <w:szCs w:val="20"/>
          <w:color w:val="auto"/>
        </w:rPr>
      </w:pPr>
      <w:r>
        <w:rPr>
          <w:rFonts w:ascii="Times New Roman" w:cs="Times New Roman" w:eastAsia="Times New Roman" w:hAnsi="Times New Roman"/>
          <w:sz w:val="20"/>
          <w:szCs w:val="20"/>
          <w:color w:val="auto"/>
        </w:rPr>
        <w:t>235(6) of the 2006 Act), provided that this article shall be deemed not to provide for, or entitle any such person to, indemnification to the extent that it would cause this article, or any element of it, to be treated as void under the 2006 Act or otherwise unlawful under the 2006 Act.</w:t>
      </w:r>
    </w:p>
    <w:p>
      <w:pPr>
        <w:spacing w:after="0" w:line="174" w:lineRule="exact"/>
        <w:rPr>
          <w:sz w:val="20"/>
          <w:szCs w:val="20"/>
          <w:color w:val="auto"/>
        </w:rPr>
      </w:pPr>
    </w:p>
    <w:p>
      <w:pPr>
        <w:ind w:left="1860" w:hanging="734"/>
        <w:spacing w:after="0" w:line="269" w:lineRule="auto"/>
        <w:tabs>
          <w:tab w:leader="none" w:pos="18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foregoing, the Board may exercise all the powers of the Company to purchase and maintain insurance for or for the benefit of any person who is or was:</w:t>
      </w:r>
    </w:p>
    <w:p>
      <w:pPr>
        <w:spacing w:after="0" w:line="159" w:lineRule="exact"/>
        <w:rPr>
          <w:rFonts w:ascii="Times New Roman" w:cs="Times New Roman" w:eastAsia="Times New Roman" w:hAnsi="Times New Roman"/>
          <w:sz w:val="20"/>
          <w:szCs w:val="20"/>
          <w:color w:val="auto"/>
        </w:rPr>
      </w:pPr>
    </w:p>
    <w:p>
      <w:pPr>
        <w:jc w:val="both"/>
        <w:ind w:left="2340" w:hanging="750"/>
        <w:spacing w:after="0" w:line="249" w:lineRule="auto"/>
        <w:tabs>
          <w:tab w:leader="none" w:pos="234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officer, employee or auditor of the Company or any body which is or was the holding company or subsidiary undertaking of the Company, or in which the Company or such holding company or subsidiary undertaking has or had any interest (whether direct or indirect) or with which the Company or such holding company or subsidiary undertaking is or was in any way allied or associated; or</w:t>
      </w:r>
    </w:p>
    <w:p>
      <w:pPr>
        <w:spacing w:after="0" w:line="179" w:lineRule="exact"/>
        <w:rPr>
          <w:rFonts w:ascii="Times New Roman" w:cs="Times New Roman" w:eastAsia="Times New Roman" w:hAnsi="Times New Roman"/>
          <w:sz w:val="20"/>
          <w:szCs w:val="20"/>
          <w:color w:val="auto"/>
        </w:rPr>
      </w:pPr>
    </w:p>
    <w:p>
      <w:pPr>
        <w:ind w:left="2340" w:hanging="750"/>
        <w:spacing w:after="0"/>
        <w:tabs>
          <w:tab w:leader="none" w:pos="234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trustee of any pension fund in which employees of the Company or any other body referred to in paragraph</w:t>
      </w:r>
    </w:p>
    <w:p>
      <w:pPr>
        <w:spacing w:after="0" w:line="21" w:lineRule="exact"/>
        <w:rPr>
          <w:rFonts w:ascii="Times New Roman" w:cs="Times New Roman" w:eastAsia="Times New Roman" w:hAnsi="Times New Roman"/>
          <w:sz w:val="20"/>
          <w:szCs w:val="20"/>
          <w:color w:val="auto"/>
        </w:rPr>
      </w:pPr>
    </w:p>
    <w:p>
      <w:pPr>
        <w:ind w:left="2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above are or have been interested,</w:t>
      </w:r>
    </w:p>
    <w:p>
      <w:pPr>
        <w:spacing w:after="0" w:line="194" w:lineRule="exact"/>
        <w:rPr>
          <w:sz w:val="20"/>
          <w:szCs w:val="20"/>
          <w:color w:val="auto"/>
        </w:rPr>
      </w:pPr>
    </w:p>
    <w:p>
      <w:pPr>
        <w:jc w:val="both"/>
        <w:ind w:left="1580"/>
        <w:spacing w:after="0" w:line="254" w:lineRule="auto"/>
        <w:rPr>
          <w:sz w:val="20"/>
          <w:szCs w:val="20"/>
          <w:color w:val="auto"/>
        </w:rPr>
      </w:pPr>
      <w:r>
        <w:rPr>
          <w:rFonts w:ascii="Times New Roman" w:cs="Times New Roman" w:eastAsia="Times New Roman" w:hAnsi="Times New Roman"/>
          <w:sz w:val="20"/>
          <w:szCs w:val="20"/>
          <w:color w:val="auto"/>
        </w:rPr>
        <w:t>including without limitation insurance against any liability incurred by such person in respect of any act or omission in the actual or purported execution or discharge of his duties or in the exercise or purported exercise of his powers or otherwise in relation to his duties, powers or offices in relation to the relevant body or fund.</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FORUM SELECTION</w:t>
      </w:r>
    </w:p>
    <w:p>
      <w:pPr>
        <w:spacing w:after="0" w:line="216" w:lineRule="exact"/>
        <w:rPr>
          <w:sz w:val="20"/>
          <w:szCs w:val="20"/>
          <w:color w:val="auto"/>
        </w:rPr>
      </w:pPr>
    </w:p>
    <w:p>
      <w:pPr>
        <w:ind w:left="840" w:hanging="747"/>
        <w:spacing w:after="0"/>
        <w:tabs>
          <w:tab w:leader="none" w:pos="84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Forum Selection</w:t>
      </w:r>
    </w:p>
    <w:p>
      <w:pPr>
        <w:spacing w:after="0" w:line="233" w:lineRule="exact"/>
        <w:rPr>
          <w:sz w:val="20"/>
          <w:szCs w:val="20"/>
          <w:color w:val="auto"/>
        </w:rPr>
      </w:pPr>
    </w:p>
    <w:p>
      <w:pPr>
        <w:ind w:left="840" w:hanging="747"/>
        <w:spacing w:after="0" w:line="269" w:lineRule="auto"/>
        <w:tabs>
          <w:tab w:leader="none" w:pos="8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Courts of England and Wales shall, to the fullest extent permitted by law, be the sole and exclusive forum for:</w:t>
      </w:r>
    </w:p>
    <w:p>
      <w:pPr>
        <w:spacing w:after="0" w:line="159" w:lineRule="exact"/>
        <w:rPr>
          <w:rFonts w:ascii="Times New Roman" w:cs="Times New Roman" w:eastAsia="Times New Roman" w:hAnsi="Times New Roman"/>
          <w:sz w:val="20"/>
          <w:szCs w:val="20"/>
          <w:color w:val="auto"/>
        </w:rPr>
      </w:pPr>
    </w:p>
    <w:p>
      <w:pPr>
        <w:ind w:left="1600" w:hanging="758"/>
        <w:spacing w:after="0"/>
        <w:tabs>
          <w:tab w:leader="none" w:pos="160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behalf of the Company;</w:t>
      </w:r>
    </w:p>
    <w:p>
      <w:pPr>
        <w:spacing w:after="0" w:line="215" w:lineRule="exact"/>
        <w:rPr>
          <w:rFonts w:ascii="Times New Roman" w:cs="Times New Roman" w:eastAsia="Times New Roman" w:hAnsi="Times New Roman"/>
          <w:sz w:val="20"/>
          <w:szCs w:val="20"/>
          <w:color w:val="auto"/>
        </w:rPr>
      </w:pPr>
    </w:p>
    <w:p>
      <w:pPr>
        <w:jc w:val="both"/>
        <w:ind w:left="1580" w:hanging="738"/>
        <w:spacing w:after="0" w:line="254" w:lineRule="auto"/>
        <w:tabs>
          <w:tab w:leader="none" w:pos="158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including any action commenced by a member of the Company in its own name or on behalf of the Company, asserting a claim of breach of any fiduciary or other duty owed by any director, officer or other employee of the Company (including but not limited to duties arising under the 2006 Act); and/or</w:t>
      </w:r>
    </w:p>
    <w:p>
      <w:pPr>
        <w:spacing w:after="0" w:line="174" w:lineRule="exact"/>
        <w:rPr>
          <w:rFonts w:ascii="Times New Roman" w:cs="Times New Roman" w:eastAsia="Times New Roman" w:hAnsi="Times New Roman"/>
          <w:sz w:val="20"/>
          <w:szCs w:val="20"/>
          <w:color w:val="auto"/>
        </w:rPr>
      </w:pPr>
    </w:p>
    <w:p>
      <w:pPr>
        <w:jc w:val="both"/>
        <w:ind w:left="1580" w:hanging="738"/>
        <w:spacing w:after="0" w:line="246" w:lineRule="auto"/>
        <w:tabs>
          <w:tab w:leader="none" w:pos="158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arising out of or in connection with these articles (pursuant to any provision of the laws of England and Wales or these articles (as either may be may be amended from time to time)) or otherwise in any way relating to the constitution or conduct of the Company, other than any such action in any way relating to the conduct of the Company arising out of a breach of any federal law of the United States of America or the laws of any State of the United States of America.</w:t>
      </w:r>
    </w:p>
    <w:p>
      <w:pPr>
        <w:spacing w:after="0" w:line="184" w:lineRule="exact"/>
        <w:rPr>
          <w:rFonts w:ascii="Times New Roman" w:cs="Times New Roman" w:eastAsia="Times New Roman" w:hAnsi="Times New Roman"/>
          <w:sz w:val="20"/>
          <w:szCs w:val="20"/>
          <w:color w:val="auto"/>
        </w:rPr>
      </w:pPr>
    </w:p>
    <w:p>
      <w:pPr>
        <w:jc w:val="both"/>
        <w:ind w:left="840" w:hanging="747"/>
        <w:spacing w:after="0" w:line="254" w:lineRule="auto"/>
        <w:tabs>
          <w:tab w:leader="none" w:pos="8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United States Securities Act of 1933, as amended or any successor thereto.</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02" w:name="page103"/>
    <w:bookmarkEnd w:id="102"/>
    <w:p>
      <w:pPr>
        <w:ind w:left="840" w:hanging="747"/>
        <w:spacing w:after="0" w:line="269" w:lineRule="auto"/>
        <w:tabs>
          <w:tab w:leader="none" w:pos="84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nothing contained in this article 150 shall apply to any action brought to enforce a duty or liability created by the Exchange Act or any successor thereto.</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1294130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13" w:right="7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NOVATION AGREEMENT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THIS NOVATION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March 25 , 2025,</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GROUPBY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(hereinafter referred to as “</w:t>
      </w:r>
      <w:r>
        <w:rPr>
          <w:rFonts w:ascii="Arial" w:cs="Arial" w:eastAsia="Arial" w:hAnsi="Arial"/>
          <w:sz w:val="22"/>
          <w:szCs w:val="22"/>
          <w:b w:val="1"/>
          <w:bCs w:val="1"/>
          <w:color w:val="auto"/>
        </w:rPr>
        <w:t>GroupBy</w:t>
      </w:r>
      <w:r>
        <w:rPr>
          <w:rFonts w:ascii="Arial" w:cs="Arial" w:eastAsia="Arial" w:hAnsi="Arial"/>
          <w:sz w:val="22"/>
          <w:szCs w:val="22"/>
          <w:color w:val="auto"/>
        </w:rPr>
        <w:t>”)</w:t>
      </w:r>
    </w:p>
    <w:p>
      <w:pPr>
        <w:spacing w:after="0" w:line="21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and</w:t>
      </w:r>
    </w:p>
    <w:p>
      <w:pPr>
        <w:spacing w:after="0" w:line="231"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GROUPBY USA INC.</w:t>
      </w:r>
    </w:p>
    <w:p>
      <w:pPr>
        <w:spacing w:after="0" w:line="12"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(hereinafter referred to as “</w:t>
      </w:r>
      <w:r>
        <w:rPr>
          <w:rFonts w:ascii="Arial" w:cs="Arial" w:eastAsia="Arial" w:hAnsi="Arial"/>
          <w:sz w:val="22"/>
          <w:szCs w:val="22"/>
          <w:b w:val="1"/>
          <w:bCs w:val="1"/>
          <w:color w:val="auto"/>
        </w:rPr>
        <w:t>GroupBy USA</w:t>
      </w:r>
      <w:r>
        <w:rPr>
          <w:rFonts w:ascii="Arial" w:cs="Arial" w:eastAsia="Arial" w:hAnsi="Arial"/>
          <w:sz w:val="22"/>
          <w:szCs w:val="22"/>
          <w:color w:val="auto"/>
        </w:rPr>
        <w:t>”)</w:t>
      </w:r>
    </w:p>
    <w:p>
      <w:pPr>
        <w:spacing w:after="0" w:line="21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and</w:t>
      </w: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GROUPBY INTERNATIONAL LTD.</w:t>
      </w:r>
    </w:p>
    <w:p>
      <w:pPr>
        <w:spacing w:after="0" w:line="12" w:lineRule="exact"/>
        <w:rPr>
          <w:sz w:val="20"/>
          <w:szCs w:val="20"/>
          <w:color w:val="auto"/>
        </w:rPr>
      </w:pPr>
    </w:p>
    <w:p>
      <w:pPr>
        <w:jc w:val="center"/>
        <w:ind w:right="40"/>
        <w:spacing w:after="0" w:line="251" w:lineRule="auto"/>
        <w:rPr>
          <w:sz w:val="20"/>
          <w:szCs w:val="20"/>
          <w:color w:val="auto"/>
        </w:rPr>
      </w:pPr>
      <w:r>
        <w:rPr>
          <w:rFonts w:ascii="Arial" w:cs="Arial" w:eastAsia="Arial" w:hAnsi="Arial"/>
          <w:sz w:val="22"/>
          <w:szCs w:val="22"/>
          <w:color w:val="auto"/>
        </w:rPr>
        <w:t>(hereinafter referred to as “</w:t>
      </w:r>
      <w:r>
        <w:rPr>
          <w:rFonts w:ascii="Arial" w:cs="Arial" w:eastAsia="Arial" w:hAnsi="Arial"/>
          <w:sz w:val="22"/>
          <w:szCs w:val="22"/>
          <w:b w:val="1"/>
          <w:bCs w:val="1"/>
          <w:color w:val="auto"/>
        </w:rPr>
        <w:t>GroupBy International</w:t>
      </w:r>
      <w:r>
        <w:rPr>
          <w:rFonts w:ascii="Arial" w:cs="Arial" w:eastAsia="Arial" w:hAnsi="Arial"/>
          <w:sz w:val="22"/>
          <w:szCs w:val="22"/>
          <w:color w:val="auto"/>
        </w:rPr>
        <w:t>” and collectively with GroupBy and GroupBy USA, the “</w:t>
      </w:r>
      <w:r>
        <w:rPr>
          <w:rFonts w:ascii="Arial" w:cs="Arial" w:eastAsia="Arial" w:hAnsi="Arial"/>
          <w:sz w:val="22"/>
          <w:szCs w:val="22"/>
          <w:b w:val="1"/>
          <w:bCs w:val="1"/>
          <w:color w:val="auto"/>
        </w:rPr>
        <w:t>Loan</w:t>
      </w:r>
      <w:r>
        <w:rPr>
          <w:rFonts w:ascii="Arial" w:cs="Arial" w:eastAsia="Arial" w:hAnsi="Arial"/>
          <w:sz w:val="22"/>
          <w:szCs w:val="22"/>
          <w:color w:val="auto"/>
        </w:rPr>
        <w:t xml:space="preserv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REZOLVE AI LIMITED</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(hereinafter referred to as “</w:t>
      </w:r>
      <w:r>
        <w:rPr>
          <w:rFonts w:ascii="Arial" w:cs="Arial" w:eastAsia="Arial" w:hAnsi="Arial"/>
          <w:sz w:val="22"/>
          <w:szCs w:val="22"/>
          <w:b w:val="1"/>
          <w:bCs w:val="1"/>
          <w:color w:val="auto"/>
        </w:rPr>
        <w:t>Rezolve</w:t>
      </w:r>
      <w:r>
        <w:rPr>
          <w:rFonts w:ascii="Arial" w:cs="Arial" w:eastAsia="Arial" w:hAnsi="Arial"/>
          <w:sz w:val="22"/>
          <w:szCs w:val="22"/>
          <w:color w:val="auto"/>
        </w:rPr>
        <w:t>”)</w:t>
      </w:r>
    </w:p>
    <w:p>
      <w:pPr>
        <w:spacing w:after="0" w:line="21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and</w:t>
      </w:r>
    </w:p>
    <w:p>
      <w:pPr>
        <w:spacing w:after="0" w:line="231"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WESTERN ALLIANCE BANK</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(hereinafter referred to as “</w:t>
      </w:r>
      <w:r>
        <w:rPr>
          <w:rFonts w:ascii="Arial" w:cs="Arial" w:eastAsia="Arial" w:hAnsi="Arial"/>
          <w:sz w:val="22"/>
          <w:szCs w:val="22"/>
          <w:b w:val="1"/>
          <w:bCs w:val="1"/>
          <w:color w:val="auto"/>
        </w:rPr>
        <w:t>WAB</w:t>
      </w:r>
      <w:r>
        <w:rPr>
          <w:rFonts w:ascii="Arial" w:cs="Arial" w:eastAsia="Arial" w:hAnsi="Arial"/>
          <w:sz w:val="22"/>
          <w:szCs w:val="22"/>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5" w:lineRule="exact"/>
        <w:rPr>
          <w:sz w:val="20"/>
          <w:szCs w:val="20"/>
          <w:color w:val="auto"/>
        </w:rPr>
      </w:pPr>
    </w:p>
    <w:p>
      <w:pPr>
        <w:jc w:val="both"/>
        <w:ind w:left="380" w:hanging="372"/>
        <w:spacing w:after="0" w:line="235" w:lineRule="auto"/>
        <w:tabs>
          <w:tab w:leader="none" w:pos="3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Each of the Loan Parties are party to that certain Loan and Security Agreement, dated as of December 17, 2021, by and among GroupBy and GroupBy USA, as borrowers, GroupBy International, as guarantor, and Sterling National Bank, as lender, as amended by (i) that certain Forbearance and First Amendment to Loan and Security Agreement, dated as of April 17, 2024, (ii) that certain Amended and Restated Forbearance Agreement and First Amendment to Loan and Security Agreement, executed on August 7, 2024 and effective as of July 15, 2024, (iii) that certain Second Amended and Restated Forbearance Agreement and First Amendment to Loan and Security Agreement, executed on September 27, 2024 and effective as of August 29, 2024, (iv) that certain Third Amended and Restated Forbearance Agreement and First Amendment to Loan and Security Agreement, executed on December 27, 2024 and effective as of October 25, 2024, in each case by and among the Loan Parties and WAB (as assignee of Webster Bank, National Association, as successor-by-merger to Sterling National Bank) (collectively, the “</w:t>
      </w:r>
      <w:r>
        <w:rPr>
          <w:rFonts w:ascii="Arial" w:cs="Arial" w:eastAsia="Arial" w:hAnsi="Arial"/>
          <w:sz w:val="22"/>
          <w:szCs w:val="22"/>
          <w:b w:val="1"/>
          <w:bCs w:val="1"/>
          <w:color w:val="auto"/>
        </w:rPr>
        <w:t>Loan Agreement</w:t>
      </w:r>
      <w:r>
        <w:rPr>
          <w:rFonts w:ascii="Arial" w:cs="Arial" w:eastAsia="Arial" w:hAnsi="Arial"/>
          <w:sz w:val="22"/>
          <w:szCs w:val="22"/>
          <w:color w:val="auto"/>
        </w:rPr>
        <w:t>”) and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931545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4" w:name="page105"/>
    <w:bookmarkEnd w:id="104"/>
    <w:p>
      <w:pPr>
        <w:ind w:left="380"/>
        <w:spacing w:after="0" w:line="270" w:lineRule="auto"/>
        <w:rPr>
          <w:sz w:val="20"/>
          <w:szCs w:val="20"/>
          <w:color w:val="auto"/>
        </w:rPr>
      </w:pPr>
      <w:r>
        <w:rPr>
          <w:rFonts w:ascii="Arial" w:cs="Arial" w:eastAsia="Arial" w:hAnsi="Arial"/>
          <w:sz w:val="22"/>
          <w:szCs w:val="22"/>
          <w:color w:val="auto"/>
        </w:rPr>
        <w:t xml:space="preserve">documents listed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 Loan Agreement, together with the documents listed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attached hereto, the “</w:t>
      </w:r>
      <w:r>
        <w:rPr>
          <w:rFonts w:ascii="Arial" w:cs="Arial" w:eastAsia="Arial" w:hAnsi="Arial"/>
          <w:sz w:val="22"/>
          <w:szCs w:val="22"/>
          <w:b w:val="1"/>
          <w:bCs w:val="1"/>
          <w:color w:val="auto"/>
        </w:rPr>
        <w:t>Loan Documents</w:t>
      </w:r>
      <w:r>
        <w:rPr>
          <w:rFonts w:ascii="Arial" w:cs="Arial" w:eastAsia="Arial" w:hAnsi="Arial"/>
          <w:sz w:val="22"/>
          <w:szCs w:val="22"/>
          <w:color w:val="auto"/>
        </w:rPr>
        <w:t>”).</w:t>
      </w:r>
    </w:p>
    <w:p>
      <w:pPr>
        <w:spacing w:after="0" w:line="25" w:lineRule="exact"/>
        <w:rPr>
          <w:sz w:val="20"/>
          <w:szCs w:val="20"/>
          <w:color w:val="auto"/>
        </w:rPr>
      </w:pPr>
    </w:p>
    <w:p>
      <w:pPr>
        <w:ind w:left="380" w:hanging="372"/>
        <w:spacing w:after="0"/>
        <w:tabs>
          <w:tab w:leader="none" w:pos="3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As of the Effective Date (as defined below):</w:t>
      </w:r>
    </w:p>
    <w:p>
      <w:pPr>
        <w:spacing w:after="0" w:line="98" w:lineRule="exact"/>
        <w:rPr>
          <w:rFonts w:ascii="Arial" w:cs="Arial" w:eastAsia="Arial" w:hAnsi="Arial"/>
          <w:sz w:val="22"/>
          <w:szCs w:val="22"/>
          <w:color w:val="auto"/>
        </w:rPr>
      </w:pPr>
    </w:p>
    <w:p>
      <w:pPr>
        <w:jc w:val="both"/>
        <w:ind w:left="760" w:hanging="3"/>
        <w:spacing w:after="0"/>
        <w:tabs>
          <w:tab w:leader="none" w:pos="124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GroupBy USA wishes to novate all of its benefits, obligations and liabilities under the Loan Documents to GroupBy International, and GroupBy International has agreed to assume all of the benefits, obligations and liabilities of the GroupBy USA under the Loan Documents on such terms and conditions as set forth in this Agreement; and</w:t>
      </w:r>
    </w:p>
    <w:p>
      <w:pPr>
        <w:spacing w:after="0" w:line="68" w:lineRule="exact"/>
        <w:rPr>
          <w:rFonts w:ascii="Arial" w:cs="Arial" w:eastAsia="Arial" w:hAnsi="Arial"/>
          <w:sz w:val="22"/>
          <w:szCs w:val="22"/>
          <w:color w:val="auto"/>
        </w:rPr>
      </w:pPr>
    </w:p>
    <w:p>
      <w:pPr>
        <w:jc w:val="both"/>
        <w:ind w:left="760" w:hanging="3"/>
        <w:spacing w:after="0"/>
        <w:tabs>
          <w:tab w:leader="none" w:pos="124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following the novation specified in recital (B)(1) above, GroupBy International and GroupBy each wish to novate all of their benefits, obligations and liabilities under the Loan Documents to Rezolve, and Rezolve has agreed to assume all of the benefits, obligations and liabilities of GroupBy International and GroupBy under the Loan Documents on such terms and conditions as set forth in this Agreement.</w:t>
      </w:r>
    </w:p>
    <w:p>
      <w:pPr>
        <w:spacing w:after="0" w:line="66" w:lineRule="exact"/>
        <w:rPr>
          <w:sz w:val="20"/>
          <w:szCs w:val="20"/>
          <w:color w:val="auto"/>
        </w:rPr>
      </w:pPr>
    </w:p>
    <w:p>
      <w:pPr>
        <w:ind w:firstLine="371"/>
        <w:spacing w:after="0" w:line="261"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hereto and the mutual covenants and agreements herein</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the parties hereto mutually covenant and agree as follows:</w:t>
      </w:r>
    </w:p>
    <w:p>
      <w:pPr>
        <w:spacing w:after="0" w:line="46" w:lineRule="exact"/>
        <w:rPr>
          <w:sz w:val="20"/>
          <w:szCs w:val="20"/>
          <w:color w:val="auto"/>
        </w:rPr>
      </w:pPr>
    </w:p>
    <w:p>
      <w:pPr>
        <w:ind w:left="380" w:hanging="372"/>
        <w:spacing w:after="0" w:line="259" w:lineRule="auto"/>
        <w:tabs>
          <w:tab w:leader="none" w:pos="3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All capitalized terms used herein but not otherwise defined shall have the meaning attributed thereto in the Loan Documents.</w:t>
      </w:r>
    </w:p>
    <w:p>
      <w:pPr>
        <w:spacing w:after="0" w:line="48" w:lineRule="exact"/>
        <w:rPr>
          <w:rFonts w:ascii="Arial" w:cs="Arial" w:eastAsia="Arial" w:hAnsi="Arial"/>
          <w:sz w:val="22"/>
          <w:szCs w:val="22"/>
          <w:color w:val="auto"/>
        </w:rPr>
      </w:pPr>
    </w:p>
    <w:p>
      <w:pPr>
        <w:jc w:val="both"/>
        <w:ind w:left="380" w:hanging="372"/>
        <w:spacing w:after="0" w:line="250" w:lineRule="auto"/>
        <w:tabs>
          <w:tab w:leader="none" w:pos="38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This Agreement shall have no effect until the earlier of: (i) the date upon which the U.S. Securities and Exchange Commission declares a resale Registration Statement on Form F-1 effective with respect to the Subscription Shares and (ii) the date that is two (2) Trading Days after the date that WAB delivers a written request to the Company to issue unregistered Subscription Shares to WAB, which request may be delivered by WAB at any time after July 8, 2025 (subject to paragraph 3 below) (the “</w:t>
      </w:r>
      <w:r>
        <w:rPr>
          <w:rFonts w:ascii="Arial" w:cs="Arial" w:eastAsia="Arial" w:hAnsi="Arial"/>
          <w:sz w:val="21"/>
          <w:szCs w:val="21"/>
          <w:b w:val="1"/>
          <w:bCs w:val="1"/>
          <w:color w:val="auto"/>
        </w:rPr>
        <w:t>Effective Date</w:t>
      </w:r>
      <w:r>
        <w:rPr>
          <w:rFonts w:ascii="Arial" w:cs="Arial" w:eastAsia="Arial" w:hAnsi="Arial"/>
          <w:sz w:val="21"/>
          <w:szCs w:val="21"/>
          <w:color w:val="auto"/>
        </w:rPr>
        <w:t>”). For the purposes of this Agreement: (i) "</w:t>
      </w:r>
      <w:r>
        <w:rPr>
          <w:rFonts w:ascii="Arial" w:cs="Arial" w:eastAsia="Arial" w:hAnsi="Arial"/>
          <w:sz w:val="21"/>
          <w:szCs w:val="21"/>
          <w:b w:val="1"/>
          <w:bCs w:val="1"/>
          <w:color w:val="auto"/>
        </w:rPr>
        <w:t>Trading Day</w:t>
      </w:r>
      <w:r>
        <w:rPr>
          <w:rFonts w:ascii="Arial" w:cs="Arial" w:eastAsia="Arial" w:hAnsi="Arial"/>
          <w:sz w:val="21"/>
          <w:szCs w:val="21"/>
          <w:color w:val="auto"/>
        </w:rPr>
        <w:t>" and (ii) "</w:t>
      </w:r>
      <w:r>
        <w:rPr>
          <w:rFonts w:ascii="Arial" w:cs="Arial" w:eastAsia="Arial" w:hAnsi="Arial"/>
          <w:sz w:val="21"/>
          <w:szCs w:val="21"/>
          <w:b w:val="1"/>
          <w:bCs w:val="1"/>
          <w:color w:val="auto"/>
        </w:rPr>
        <w:t>Subscription Shares</w:t>
      </w:r>
      <w:r>
        <w:rPr>
          <w:rFonts w:ascii="Arial" w:cs="Arial" w:eastAsia="Arial" w:hAnsi="Arial"/>
          <w:sz w:val="21"/>
          <w:szCs w:val="21"/>
          <w:color w:val="auto"/>
        </w:rPr>
        <w:t>" each has the meaning given to it in the subscription letter, entered into between WAB and Rezolve on the date of this Agreement (the “</w:t>
      </w:r>
      <w:r>
        <w:rPr>
          <w:rFonts w:ascii="Arial" w:cs="Arial" w:eastAsia="Arial" w:hAnsi="Arial"/>
          <w:sz w:val="21"/>
          <w:szCs w:val="21"/>
          <w:b w:val="1"/>
          <w:bCs w:val="1"/>
          <w:color w:val="auto"/>
        </w:rPr>
        <w:t>Subscription Letter</w:t>
      </w:r>
      <w:r>
        <w:rPr>
          <w:rFonts w:ascii="Arial" w:cs="Arial" w:eastAsia="Arial" w:hAnsi="Arial"/>
          <w:sz w:val="21"/>
          <w:szCs w:val="21"/>
          <w:color w:val="auto"/>
        </w:rPr>
        <w:t>”).</w:t>
      </w:r>
    </w:p>
    <w:p>
      <w:pPr>
        <w:spacing w:after="0" w:line="48" w:lineRule="exact"/>
        <w:rPr>
          <w:rFonts w:ascii="Arial" w:cs="Arial" w:eastAsia="Arial" w:hAnsi="Arial"/>
          <w:sz w:val="21"/>
          <w:szCs w:val="21"/>
          <w:color w:val="auto"/>
        </w:rPr>
      </w:pPr>
    </w:p>
    <w:p>
      <w:pPr>
        <w:ind w:left="380" w:hanging="372"/>
        <w:spacing w:after="0" w:line="259" w:lineRule="auto"/>
        <w:tabs>
          <w:tab w:leader="none" w:pos="3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 the event that the Effective Date has not taken place by 23:59 (UK time) on August 15, 2025, this Agreement shall terminate and cease to have any effect.</w:t>
      </w:r>
    </w:p>
    <w:p>
      <w:pPr>
        <w:spacing w:after="0" w:line="48" w:lineRule="exact"/>
        <w:rPr>
          <w:rFonts w:ascii="Arial" w:cs="Arial" w:eastAsia="Arial" w:hAnsi="Arial"/>
          <w:sz w:val="22"/>
          <w:szCs w:val="22"/>
          <w:color w:val="auto"/>
        </w:rPr>
      </w:pPr>
    </w:p>
    <w:p>
      <w:pPr>
        <w:jc w:val="both"/>
        <w:ind w:left="380" w:hanging="372"/>
        <w:spacing w:after="0" w:line="236" w:lineRule="auto"/>
        <w:tabs>
          <w:tab w:leader="none" w:pos="3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As of the Effective Date, GroupBy USA hereby novates to GroupBy International all of GroupBy USA’s rights, benefits and obligations and liabilities under the Loan Documents (the “</w:t>
      </w:r>
      <w:r>
        <w:rPr>
          <w:rFonts w:ascii="Arial" w:cs="Arial" w:eastAsia="Arial" w:hAnsi="Arial"/>
          <w:sz w:val="22"/>
          <w:szCs w:val="22"/>
          <w:b w:val="1"/>
          <w:bCs w:val="1"/>
          <w:color w:val="auto"/>
        </w:rPr>
        <w:t>First Novation</w:t>
      </w:r>
      <w:r>
        <w:rPr>
          <w:rFonts w:ascii="Arial" w:cs="Arial" w:eastAsia="Arial" w:hAnsi="Arial"/>
          <w:sz w:val="22"/>
          <w:szCs w:val="22"/>
          <w:color w:val="auto"/>
        </w:rPr>
        <w:t>”), and GroupBy International hereby accepts the novation set forth herein and undertakes, covenants and agrees with GroupBy USA and WAB that from and after the First Novation, it shall be bound by, observe and perform the terms, conditions and obligations contained in the Loan Documents, to the same extent as though and to the intent and purpose that GroupBy International is a party thereto in the place and stead of GroupBy USA.</w:t>
      </w:r>
    </w:p>
    <w:p>
      <w:pPr>
        <w:spacing w:after="0" w:line="73" w:lineRule="exact"/>
        <w:rPr>
          <w:rFonts w:ascii="Arial" w:cs="Arial" w:eastAsia="Arial" w:hAnsi="Arial"/>
          <w:sz w:val="22"/>
          <w:szCs w:val="22"/>
          <w:color w:val="auto"/>
        </w:rPr>
      </w:pPr>
    </w:p>
    <w:p>
      <w:pPr>
        <w:ind w:left="380" w:hanging="372"/>
        <w:spacing w:after="0"/>
        <w:tabs>
          <w:tab w:leader="none" w:pos="3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From and with effect from the First Novation taking place, except as otherwise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5" w:name="page106"/>
    <w:bookmarkEnd w:id="105"/>
    <w:p>
      <w:pPr>
        <w:ind w:left="1132" w:hanging="383"/>
        <w:spacing w:after="0" w:line="259" w:lineRule="auto"/>
        <w:tabs>
          <w:tab w:leader="none" w:pos="1132" w:val="left"/>
        </w:tabs>
        <w:numPr>
          <w:ilvl w:val="1"/>
          <w:numId w:val="200"/>
        </w:numPr>
        <w:rPr>
          <w:rFonts w:ascii="Arial" w:cs="Arial" w:eastAsia="Arial" w:hAnsi="Arial"/>
          <w:sz w:val="22"/>
          <w:szCs w:val="22"/>
          <w:color w:val="auto"/>
        </w:rPr>
      </w:pPr>
      <w:r>
        <w:rPr>
          <w:rFonts w:ascii="Arial" w:cs="Arial" w:eastAsia="Arial" w:hAnsi="Arial"/>
          <w:sz w:val="22"/>
          <w:szCs w:val="22"/>
          <w:color w:val="auto"/>
        </w:rPr>
        <w:t>GroupBy USA and WAB hereby mutually release each other from their respective obligations under the Loan Documents; and</w:t>
      </w:r>
    </w:p>
    <w:p>
      <w:pPr>
        <w:spacing w:after="0" w:line="48" w:lineRule="exact"/>
        <w:rPr>
          <w:rFonts w:ascii="Arial" w:cs="Arial" w:eastAsia="Arial" w:hAnsi="Arial"/>
          <w:sz w:val="22"/>
          <w:szCs w:val="22"/>
          <w:color w:val="auto"/>
        </w:rPr>
      </w:pPr>
    </w:p>
    <w:p>
      <w:pPr>
        <w:ind w:left="1132" w:hanging="383"/>
        <w:spacing w:after="0" w:line="259" w:lineRule="auto"/>
        <w:tabs>
          <w:tab w:leader="none" w:pos="1132" w:val="left"/>
        </w:tabs>
        <w:numPr>
          <w:ilvl w:val="1"/>
          <w:numId w:val="200"/>
        </w:numPr>
        <w:rPr>
          <w:rFonts w:ascii="Arial" w:cs="Arial" w:eastAsia="Arial" w:hAnsi="Arial"/>
          <w:sz w:val="22"/>
          <w:szCs w:val="22"/>
          <w:color w:val="auto"/>
        </w:rPr>
      </w:pPr>
      <w:r>
        <w:rPr>
          <w:rFonts w:ascii="Arial" w:cs="Arial" w:eastAsia="Arial" w:hAnsi="Arial"/>
          <w:sz w:val="22"/>
          <w:szCs w:val="22"/>
          <w:color w:val="auto"/>
        </w:rPr>
        <w:t>WAB releases and discharges GroupBy USA from all future claims and demands whatsoever in respect of the Loan Documents and accepts the liability of GroupBy International under the Loan Documents.</w:t>
      </w:r>
    </w:p>
    <w:p>
      <w:pPr>
        <w:spacing w:after="0" w:line="48" w:lineRule="exact"/>
        <w:rPr>
          <w:rFonts w:ascii="Arial" w:cs="Arial" w:eastAsia="Arial" w:hAnsi="Arial"/>
          <w:sz w:val="22"/>
          <w:szCs w:val="22"/>
          <w:color w:val="auto"/>
        </w:rPr>
      </w:pPr>
    </w:p>
    <w:p>
      <w:pPr>
        <w:jc w:val="both"/>
        <w:ind w:left="372" w:hanging="372"/>
        <w:spacing w:after="0" w:line="250" w:lineRule="auto"/>
        <w:tabs>
          <w:tab w:leader="none" w:pos="37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As consideration for the First Novation, GroupBy USA agrees to issue to GroupBy International, on the Effective Date, 100 shares of Common Stock in the capital of GroupBy USA (the “</w:t>
      </w:r>
      <w:r>
        <w:rPr>
          <w:rFonts w:ascii="Arial" w:cs="Arial" w:eastAsia="Arial" w:hAnsi="Arial"/>
          <w:sz w:val="22"/>
          <w:szCs w:val="22"/>
          <w:b w:val="1"/>
          <w:bCs w:val="1"/>
          <w:color w:val="auto"/>
        </w:rPr>
        <w:t>First Novation Consideration</w:t>
      </w:r>
      <w:r>
        <w:rPr>
          <w:rFonts w:ascii="Arial" w:cs="Arial" w:eastAsia="Arial" w:hAnsi="Arial"/>
          <w:sz w:val="22"/>
          <w:szCs w:val="22"/>
          <w:color w:val="auto"/>
        </w:rPr>
        <w:t xml:space="preserve"> </w:t>
      </w: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46" w:lineRule="exact"/>
        <w:rPr>
          <w:rFonts w:ascii="Arial" w:cs="Arial" w:eastAsia="Arial" w:hAnsi="Arial"/>
          <w:sz w:val="22"/>
          <w:szCs w:val="22"/>
          <w:color w:val="auto"/>
        </w:rPr>
      </w:pPr>
    </w:p>
    <w:p>
      <w:pPr>
        <w:jc w:val="both"/>
        <w:ind w:left="372" w:hanging="372"/>
        <w:spacing w:after="0" w:line="236" w:lineRule="auto"/>
        <w:tabs>
          <w:tab w:leader="none" w:pos="37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Immediately following the First Novation, GroupBy International hereby novates to Rezolve all of GroupBy International’s rights, benefits, obligations and liabilities under the Loan Documents (the “</w:t>
      </w:r>
      <w:r>
        <w:rPr>
          <w:rFonts w:ascii="Arial" w:cs="Arial" w:eastAsia="Arial" w:hAnsi="Arial"/>
          <w:sz w:val="22"/>
          <w:szCs w:val="22"/>
          <w:b w:val="1"/>
          <w:bCs w:val="1"/>
          <w:color w:val="auto"/>
        </w:rPr>
        <w:t>Second Novation</w:t>
      </w:r>
      <w:r>
        <w:rPr>
          <w:rFonts w:ascii="Arial" w:cs="Arial" w:eastAsia="Arial" w:hAnsi="Arial"/>
          <w:sz w:val="22"/>
          <w:szCs w:val="22"/>
          <w:color w:val="auto"/>
        </w:rPr>
        <w:t>”), and Rezolve hereby accepts the novation set forth herein and undertakes, covenants and agrees with GroupBy International and WAB that from and after the Second Novation, it shall be bound by, observe and perform the terms, conditions and obligations contained in the Loan Documents, to the same extent as though and to the intent and purpose that Rezolve is a party thereto in the place and stead of GroupBy International.</w:t>
      </w:r>
    </w:p>
    <w:p>
      <w:pPr>
        <w:spacing w:after="0" w:line="73" w:lineRule="exact"/>
        <w:rPr>
          <w:rFonts w:ascii="Arial" w:cs="Arial" w:eastAsia="Arial" w:hAnsi="Arial"/>
          <w:sz w:val="22"/>
          <w:szCs w:val="22"/>
          <w:color w:val="auto"/>
        </w:rPr>
      </w:pPr>
    </w:p>
    <w:p>
      <w:pPr>
        <w:ind w:left="372" w:hanging="372"/>
        <w:spacing w:after="0"/>
        <w:tabs>
          <w:tab w:leader="none" w:pos="37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From and with effect from the Second Novation taking place, except as otherwise expressly set forth herein:</w:t>
      </w:r>
    </w:p>
    <w:p>
      <w:pPr>
        <w:spacing w:after="0" w:line="98" w:lineRule="exact"/>
        <w:rPr>
          <w:rFonts w:ascii="Arial" w:cs="Arial" w:eastAsia="Arial" w:hAnsi="Arial"/>
          <w:sz w:val="22"/>
          <w:szCs w:val="22"/>
          <w:color w:val="auto"/>
        </w:rPr>
      </w:pPr>
    </w:p>
    <w:p>
      <w:pPr>
        <w:ind w:left="1132" w:hanging="383"/>
        <w:spacing w:after="0" w:line="259" w:lineRule="auto"/>
        <w:tabs>
          <w:tab w:leader="none" w:pos="1132" w:val="left"/>
        </w:tabs>
        <w:numPr>
          <w:ilvl w:val="1"/>
          <w:numId w:val="201"/>
        </w:numPr>
        <w:rPr>
          <w:rFonts w:ascii="Arial" w:cs="Arial" w:eastAsia="Arial" w:hAnsi="Arial"/>
          <w:sz w:val="22"/>
          <w:szCs w:val="22"/>
          <w:color w:val="auto"/>
        </w:rPr>
      </w:pPr>
      <w:r>
        <w:rPr>
          <w:rFonts w:ascii="Arial" w:cs="Arial" w:eastAsia="Arial" w:hAnsi="Arial"/>
          <w:sz w:val="22"/>
          <w:szCs w:val="22"/>
          <w:color w:val="auto"/>
        </w:rPr>
        <w:t>GroupBy International and WAB hereby mutually release each other from their respective obligations under the Loan Documents; and</w:t>
      </w:r>
    </w:p>
    <w:p>
      <w:pPr>
        <w:spacing w:after="0" w:line="48" w:lineRule="exact"/>
        <w:rPr>
          <w:rFonts w:ascii="Arial" w:cs="Arial" w:eastAsia="Arial" w:hAnsi="Arial"/>
          <w:sz w:val="22"/>
          <w:szCs w:val="22"/>
          <w:color w:val="auto"/>
        </w:rPr>
      </w:pPr>
    </w:p>
    <w:p>
      <w:pPr>
        <w:ind w:left="1132" w:right="20" w:hanging="383"/>
        <w:spacing w:after="0" w:line="259" w:lineRule="auto"/>
        <w:tabs>
          <w:tab w:leader="none" w:pos="1132" w:val="left"/>
        </w:tabs>
        <w:numPr>
          <w:ilvl w:val="1"/>
          <w:numId w:val="201"/>
        </w:numPr>
        <w:rPr>
          <w:rFonts w:ascii="Arial" w:cs="Arial" w:eastAsia="Arial" w:hAnsi="Arial"/>
          <w:sz w:val="22"/>
          <w:szCs w:val="22"/>
          <w:color w:val="auto"/>
        </w:rPr>
      </w:pPr>
      <w:r>
        <w:rPr>
          <w:rFonts w:ascii="Arial" w:cs="Arial" w:eastAsia="Arial" w:hAnsi="Arial"/>
          <w:sz w:val="22"/>
          <w:szCs w:val="22"/>
          <w:color w:val="auto"/>
        </w:rPr>
        <w:t>WAB releases and discharges GroupBy International from all future claims and demands whatsoever in respect of the Loan Documents and accepts the liability of Rezolve under the Loan Documents.</w:t>
      </w:r>
    </w:p>
    <w:p>
      <w:pPr>
        <w:spacing w:after="0" w:line="48" w:lineRule="exact"/>
        <w:rPr>
          <w:rFonts w:ascii="Arial" w:cs="Arial" w:eastAsia="Arial" w:hAnsi="Arial"/>
          <w:sz w:val="22"/>
          <w:szCs w:val="22"/>
          <w:color w:val="auto"/>
        </w:rPr>
      </w:pPr>
    </w:p>
    <w:p>
      <w:pPr>
        <w:jc w:val="both"/>
        <w:ind w:left="372" w:hanging="372"/>
        <w:spacing w:after="0" w:line="250" w:lineRule="auto"/>
        <w:tabs>
          <w:tab w:leader="none" w:pos="37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As consideration for the Second Novation, GroupBy International agrees to issue to Rezolve, on the Effective Date, 100 Class A Common shares in the capital of GroupBy International (the “</w:t>
      </w:r>
      <w:r>
        <w:rPr>
          <w:rFonts w:ascii="Arial" w:cs="Arial" w:eastAsia="Arial" w:hAnsi="Arial"/>
          <w:sz w:val="22"/>
          <w:szCs w:val="22"/>
          <w:b w:val="1"/>
          <w:bCs w:val="1"/>
          <w:color w:val="auto"/>
        </w:rPr>
        <w:t>Second Novation</w:t>
      </w:r>
      <w:r>
        <w:rPr>
          <w:rFonts w:ascii="Arial" w:cs="Arial" w:eastAsia="Arial" w:hAnsi="Arial"/>
          <w:sz w:val="22"/>
          <w:szCs w:val="22"/>
          <w:color w:val="auto"/>
        </w:rPr>
        <w:t xml:space="preserve"> </w:t>
      </w:r>
      <w:r>
        <w:rPr>
          <w:rFonts w:ascii="Arial" w:cs="Arial" w:eastAsia="Arial" w:hAnsi="Arial"/>
          <w:sz w:val="22"/>
          <w:szCs w:val="22"/>
          <w:b w:val="1"/>
          <w:bCs w:val="1"/>
          <w:color w:val="auto"/>
        </w:rPr>
        <w:t>Consideration Shares</w:t>
      </w:r>
      <w:r>
        <w:rPr>
          <w:rFonts w:ascii="Arial" w:cs="Arial" w:eastAsia="Arial" w:hAnsi="Arial"/>
          <w:sz w:val="22"/>
          <w:szCs w:val="22"/>
          <w:color w:val="auto"/>
        </w:rPr>
        <w:t>”).</w:t>
      </w:r>
    </w:p>
    <w:p>
      <w:pPr>
        <w:spacing w:after="0" w:line="46" w:lineRule="exact"/>
        <w:rPr>
          <w:rFonts w:ascii="Arial" w:cs="Arial" w:eastAsia="Arial" w:hAnsi="Arial"/>
          <w:sz w:val="22"/>
          <w:szCs w:val="22"/>
          <w:color w:val="auto"/>
        </w:rPr>
      </w:pPr>
    </w:p>
    <w:p>
      <w:pPr>
        <w:jc w:val="both"/>
        <w:ind w:left="372" w:hanging="372"/>
        <w:spacing w:after="0" w:line="236" w:lineRule="auto"/>
        <w:tabs>
          <w:tab w:leader="none" w:pos="37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As of the Effective Date, GroupBy hereby novates to Rezolve all of GroupBy’s rights, benefits, obligations and liabilities under the Loan Documents (the “</w:t>
      </w:r>
      <w:r>
        <w:rPr>
          <w:rFonts w:ascii="Arial" w:cs="Arial" w:eastAsia="Arial" w:hAnsi="Arial"/>
          <w:sz w:val="22"/>
          <w:szCs w:val="22"/>
          <w:b w:val="1"/>
          <w:bCs w:val="1"/>
          <w:color w:val="auto"/>
        </w:rPr>
        <w:t>Third Novation</w:t>
      </w:r>
      <w:r>
        <w:rPr>
          <w:rFonts w:ascii="Arial" w:cs="Arial" w:eastAsia="Arial" w:hAnsi="Arial"/>
          <w:sz w:val="22"/>
          <w:szCs w:val="22"/>
          <w:color w:val="auto"/>
        </w:rPr>
        <w:t>”), and Rezolve hereby accepts the novation set forth herein and undertakes, covenants and agrees with GroupBy and WAB that from and after the Effective Date, it shall be bound by, observe and perform the terms, conditions and obligations contained in the Loan Documents, to the same extent as though and to the intent and purpose that Rezolve is a party thereto in the place and stead of GroupBy.</w:t>
      </w:r>
    </w:p>
    <w:p>
      <w:pPr>
        <w:spacing w:after="0" w:line="73" w:lineRule="exact"/>
        <w:rPr>
          <w:rFonts w:ascii="Arial" w:cs="Arial" w:eastAsia="Arial" w:hAnsi="Arial"/>
          <w:sz w:val="22"/>
          <w:szCs w:val="22"/>
          <w:color w:val="auto"/>
        </w:rPr>
      </w:pPr>
    </w:p>
    <w:p>
      <w:pPr>
        <w:ind w:left="372" w:hanging="372"/>
        <w:spacing w:after="0"/>
        <w:tabs>
          <w:tab w:leader="none" w:pos="37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From and with effect from the Third Novation taking place, except as otherwise expressly set forth herein:</w:t>
      </w:r>
    </w:p>
    <w:p>
      <w:pPr>
        <w:spacing w:after="0" w:line="98" w:lineRule="exact"/>
        <w:rPr>
          <w:rFonts w:ascii="Arial" w:cs="Arial" w:eastAsia="Arial" w:hAnsi="Arial"/>
          <w:sz w:val="22"/>
          <w:szCs w:val="22"/>
          <w:color w:val="auto"/>
        </w:rPr>
      </w:pPr>
    </w:p>
    <w:p>
      <w:pPr>
        <w:ind w:left="1132" w:right="20" w:hanging="383"/>
        <w:spacing w:after="0" w:line="259" w:lineRule="auto"/>
        <w:tabs>
          <w:tab w:leader="none" w:pos="1132" w:val="left"/>
        </w:tabs>
        <w:numPr>
          <w:ilvl w:val="1"/>
          <w:numId w:val="201"/>
        </w:numPr>
        <w:rPr>
          <w:rFonts w:ascii="Arial" w:cs="Arial" w:eastAsia="Arial" w:hAnsi="Arial"/>
          <w:sz w:val="22"/>
          <w:szCs w:val="22"/>
          <w:color w:val="auto"/>
        </w:rPr>
      </w:pPr>
      <w:r>
        <w:rPr>
          <w:rFonts w:ascii="Arial" w:cs="Arial" w:eastAsia="Arial" w:hAnsi="Arial"/>
          <w:sz w:val="22"/>
          <w:szCs w:val="22"/>
          <w:color w:val="auto"/>
        </w:rPr>
        <w:t>GroupBy and WAB hereby mutually release each other from their respective obligations under the Loan Documents; and</w:t>
      </w:r>
    </w:p>
    <w:p>
      <w:pPr>
        <w:spacing w:after="0" w:line="48" w:lineRule="exact"/>
        <w:rPr>
          <w:rFonts w:ascii="Arial" w:cs="Arial" w:eastAsia="Arial" w:hAnsi="Arial"/>
          <w:sz w:val="22"/>
          <w:szCs w:val="22"/>
          <w:color w:val="auto"/>
        </w:rPr>
      </w:pPr>
    </w:p>
    <w:p>
      <w:pPr>
        <w:ind w:left="1132" w:right="20" w:hanging="383"/>
        <w:spacing w:after="0" w:line="259" w:lineRule="auto"/>
        <w:tabs>
          <w:tab w:leader="none" w:pos="1132" w:val="left"/>
        </w:tabs>
        <w:numPr>
          <w:ilvl w:val="1"/>
          <w:numId w:val="201"/>
        </w:numPr>
        <w:rPr>
          <w:rFonts w:ascii="Arial" w:cs="Arial" w:eastAsia="Arial" w:hAnsi="Arial"/>
          <w:sz w:val="22"/>
          <w:szCs w:val="22"/>
          <w:color w:val="auto"/>
        </w:rPr>
      </w:pPr>
      <w:r>
        <w:rPr>
          <w:rFonts w:ascii="Arial" w:cs="Arial" w:eastAsia="Arial" w:hAnsi="Arial"/>
          <w:sz w:val="22"/>
          <w:szCs w:val="22"/>
          <w:color w:val="auto"/>
        </w:rPr>
        <w:t>WAB releases and discharges GroupBy from all future claims and demands whatsoever in respect of the Loan Documents and accepts the liability of Rezolve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925830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06" w:name="page107"/>
    <w:bookmarkEnd w:id="106"/>
    <w:p>
      <w:pPr>
        <w:jc w:val="both"/>
        <w:ind w:left="372" w:right="20" w:hanging="372"/>
        <w:spacing w:after="0" w:line="267" w:lineRule="auto"/>
        <w:tabs>
          <w:tab w:leader="none" w:pos="372" w:val="left"/>
        </w:tabs>
        <w:numPr>
          <w:ilvl w:val="0"/>
          <w:numId w:val="202"/>
        </w:numPr>
        <w:rPr>
          <w:rFonts w:ascii="Arial" w:cs="Arial" w:eastAsia="Arial" w:hAnsi="Arial"/>
          <w:sz w:val="21"/>
          <w:szCs w:val="21"/>
          <w:color w:val="auto"/>
        </w:rPr>
      </w:pPr>
      <w:r>
        <w:rPr>
          <w:rFonts w:ascii="Arial" w:cs="Arial" w:eastAsia="Arial" w:hAnsi="Arial"/>
          <w:sz w:val="21"/>
          <w:szCs w:val="21"/>
          <w:color w:val="auto"/>
        </w:rPr>
        <w:t>As consideration for Third Novation, GroupBy agrees to issue to Rezolve, on the Effective Date, 100 Class A Common shares in the capital of GroupBy (the “</w:t>
      </w:r>
      <w:r>
        <w:rPr>
          <w:rFonts w:ascii="Arial" w:cs="Arial" w:eastAsia="Arial" w:hAnsi="Arial"/>
          <w:sz w:val="21"/>
          <w:szCs w:val="21"/>
          <w:b w:val="1"/>
          <w:bCs w:val="1"/>
          <w:color w:val="auto"/>
        </w:rPr>
        <w:t>Third Novation Consideration Shares</w:t>
      </w:r>
      <w:r>
        <w:rPr>
          <w:rFonts w:ascii="Arial" w:cs="Arial" w:eastAsia="Arial" w:hAnsi="Arial"/>
          <w:sz w:val="21"/>
          <w:szCs w:val="21"/>
          <w:color w:val="auto"/>
        </w:rPr>
        <w:t>” and collectively with the First Novation Consideration Shares and Second Novation Consideration Shares, the “</w:t>
      </w:r>
      <w:r>
        <w:rPr>
          <w:rFonts w:ascii="Arial" w:cs="Arial" w:eastAsia="Arial" w:hAnsi="Arial"/>
          <w:sz w:val="21"/>
          <w:szCs w:val="21"/>
          <w:b w:val="1"/>
          <w:bCs w:val="1"/>
          <w:color w:val="auto"/>
        </w:rPr>
        <w:t>Consideration Shares</w:t>
      </w:r>
      <w:r>
        <w:rPr>
          <w:rFonts w:ascii="Arial" w:cs="Arial" w:eastAsia="Arial" w:hAnsi="Arial"/>
          <w:sz w:val="21"/>
          <w:szCs w:val="21"/>
          <w:color w:val="auto"/>
        </w:rPr>
        <w:t>”).</w:t>
      </w:r>
      <w:r>
        <w:rPr>
          <w:rFonts w:ascii="Arial" w:cs="Arial" w:eastAsia="Arial" w:hAnsi="Arial"/>
          <w:sz w:val="27"/>
          <w:szCs w:val="27"/>
          <w:color w:val="auto"/>
          <w:vertAlign w:val="superscript"/>
        </w:rPr>
        <w:t>1</w:t>
      </w:r>
    </w:p>
    <w:p>
      <w:pPr>
        <w:spacing w:after="0" w:line="1" w:lineRule="exact"/>
        <w:rPr>
          <w:rFonts w:ascii="Arial" w:cs="Arial" w:eastAsia="Arial" w:hAnsi="Arial"/>
          <w:sz w:val="21"/>
          <w:szCs w:val="21"/>
          <w:color w:val="auto"/>
        </w:rPr>
      </w:pPr>
    </w:p>
    <w:p>
      <w:pPr>
        <w:ind w:left="372" w:hanging="372"/>
        <w:spacing w:after="0"/>
        <w:tabs>
          <w:tab w:leader="none" w:pos="372" w:val="left"/>
        </w:tabs>
        <w:numPr>
          <w:ilvl w:val="0"/>
          <w:numId w:val="202"/>
        </w:numPr>
        <w:rPr>
          <w:rFonts w:ascii="Arial" w:cs="Arial" w:eastAsia="Arial" w:hAnsi="Arial"/>
          <w:sz w:val="22"/>
          <w:szCs w:val="22"/>
          <w:color w:val="auto"/>
        </w:rPr>
      </w:pPr>
      <w:r>
        <w:rPr>
          <w:rFonts w:ascii="Arial" w:cs="Arial" w:eastAsia="Arial" w:hAnsi="Arial"/>
          <w:sz w:val="22"/>
          <w:szCs w:val="22"/>
          <w:color w:val="auto"/>
        </w:rPr>
        <w:t>Notwithstanding any other provisions of this Agreement,</w:t>
      </w:r>
    </w:p>
    <w:p>
      <w:pPr>
        <w:spacing w:after="0" w:line="78" w:lineRule="exact"/>
        <w:rPr>
          <w:rFonts w:ascii="Arial" w:cs="Arial" w:eastAsia="Arial" w:hAnsi="Arial"/>
          <w:sz w:val="22"/>
          <w:szCs w:val="22"/>
          <w:color w:val="auto"/>
        </w:rPr>
      </w:pPr>
    </w:p>
    <w:p>
      <w:pPr>
        <w:ind w:left="1132" w:hanging="383"/>
        <w:spacing w:after="0" w:line="259" w:lineRule="auto"/>
        <w:tabs>
          <w:tab w:leader="none" w:pos="113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any obligations under any deposit (or similar bank) account agreements between WAB and any Loan Party shall survive;</w:t>
      </w:r>
    </w:p>
    <w:p>
      <w:pPr>
        <w:spacing w:after="0" w:line="48" w:lineRule="exact"/>
        <w:rPr>
          <w:rFonts w:ascii="Arial" w:cs="Arial" w:eastAsia="Arial" w:hAnsi="Arial"/>
          <w:sz w:val="22"/>
          <w:szCs w:val="22"/>
          <w:color w:val="auto"/>
        </w:rPr>
      </w:pPr>
    </w:p>
    <w:p>
      <w:pPr>
        <w:jc w:val="both"/>
        <w:ind w:left="1132" w:hanging="383"/>
        <w:spacing w:after="0" w:line="245" w:lineRule="auto"/>
        <w:tabs>
          <w:tab w:leader="none" w:pos="113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Loan Parties shall remain liable for any obligations that are expressly specified in any Loan Document as surviving that respective Loan Document’s termination, including without limitation, any indemnity obligations set forth in the Loan Documents;</w:t>
      </w:r>
    </w:p>
    <w:p>
      <w:pPr>
        <w:spacing w:after="0" w:line="62" w:lineRule="exact"/>
        <w:rPr>
          <w:rFonts w:ascii="Arial" w:cs="Arial" w:eastAsia="Arial" w:hAnsi="Arial"/>
          <w:sz w:val="22"/>
          <w:szCs w:val="22"/>
          <w:color w:val="auto"/>
        </w:rPr>
      </w:pPr>
    </w:p>
    <w:p>
      <w:pPr>
        <w:jc w:val="both"/>
        <w:ind w:left="1132" w:hanging="383"/>
        <w:spacing w:after="0" w:line="234" w:lineRule="auto"/>
        <w:tabs>
          <w:tab w:leader="none" w:pos="113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to the extent that any payments or proceeds or other consideration (or any portion thereof) received by WAB with respect to the Obligations shall be subsequently invalidated, declared to be fraudulent or a fraudulent conveyance or preferential, set aside or required to be repaid to a trustee, receiver, debtor-in-possession or any other creditor party under any bankruptcy law, state or federal law, common law or equitable cause, then solely if and to the extent that the payment or proceeds or other consideration is rescinded or must otherwise be restored by WAB, whether as a result of any proceedings in bankruptcy or reorganization or otherwise, the Obligations or part thereof which were intended to be satisfied shall be revived and continue to be in full force and effect, as if the payment or proceeds or other consideration had never been received by WAB, and this letter shall in no way impair the claims of WAB with respect to the revived Obligations; and</w:t>
      </w:r>
    </w:p>
    <w:p>
      <w:pPr>
        <w:spacing w:after="0" w:line="71" w:lineRule="exact"/>
        <w:rPr>
          <w:rFonts w:ascii="Arial" w:cs="Arial" w:eastAsia="Arial" w:hAnsi="Arial"/>
          <w:sz w:val="22"/>
          <w:szCs w:val="22"/>
          <w:color w:val="auto"/>
        </w:rPr>
      </w:pPr>
    </w:p>
    <w:p>
      <w:pPr>
        <w:jc w:val="both"/>
        <w:ind w:left="1132" w:hanging="383"/>
        <w:spacing w:after="0" w:line="243" w:lineRule="auto"/>
        <w:tabs>
          <w:tab w:leader="none" w:pos="113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parties shall not be required to take any actions to release or terminate any security interest, liens, pledges or similar encumbrances granted by the Loan Parties to WAB to secure the Obligations except as provided in the Forbearance, Payout, Release and Undertaking, dated the date hereof, by and among Rezolve, the Loan Parties and WAB (the “</w:t>
      </w:r>
      <w:r>
        <w:rPr>
          <w:rFonts w:ascii="Arial" w:cs="Arial" w:eastAsia="Arial" w:hAnsi="Arial"/>
          <w:sz w:val="22"/>
          <w:szCs w:val="22"/>
          <w:b w:val="1"/>
          <w:bCs w:val="1"/>
          <w:color w:val="auto"/>
        </w:rPr>
        <w:t>Payout Agreement</w:t>
      </w:r>
      <w:r>
        <w:rPr>
          <w:rFonts w:ascii="Arial" w:cs="Arial" w:eastAsia="Arial" w:hAnsi="Arial"/>
          <w:sz w:val="22"/>
          <w:szCs w:val="22"/>
          <w:color w:val="auto"/>
        </w:rPr>
        <w:t>”).</w:t>
      </w:r>
    </w:p>
    <w:p>
      <w:pPr>
        <w:spacing w:after="0" w:line="55" w:lineRule="exact"/>
        <w:rPr>
          <w:rFonts w:ascii="Arial" w:cs="Arial" w:eastAsia="Arial" w:hAnsi="Arial"/>
          <w:sz w:val="22"/>
          <w:szCs w:val="22"/>
          <w:color w:val="auto"/>
        </w:rPr>
      </w:pPr>
    </w:p>
    <w:p>
      <w:pPr>
        <w:ind w:left="372" w:hanging="372"/>
        <w:spacing w:after="0" w:line="259" w:lineRule="auto"/>
        <w:tabs>
          <w:tab w:leader="none" w:pos="372"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Loan Parties, jointly and severally, hereby represent and warrant to Rezolve and WAB, which representations and warranties shall survive the execution of this Agreement, as follows:</w:t>
      </w:r>
    </w:p>
    <w:p>
      <w:pPr>
        <w:spacing w:after="0" w:line="48" w:lineRule="exact"/>
        <w:rPr>
          <w:rFonts w:ascii="Arial" w:cs="Arial" w:eastAsia="Arial" w:hAnsi="Arial"/>
          <w:sz w:val="22"/>
          <w:szCs w:val="22"/>
          <w:color w:val="auto"/>
        </w:rPr>
      </w:pPr>
    </w:p>
    <w:p>
      <w:pPr>
        <w:ind w:left="1132" w:hanging="383"/>
        <w:spacing w:after="0" w:line="259" w:lineRule="auto"/>
        <w:tabs>
          <w:tab w:leader="none" w:pos="113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Loan Parties have all necessary power and authority to enter into this Agreement and to perform the terms, covenants and conditions set out in this Agreement;</w:t>
      </w:r>
    </w:p>
    <w:p>
      <w:pPr>
        <w:spacing w:after="0" w:line="48" w:lineRule="exact"/>
        <w:rPr>
          <w:rFonts w:ascii="Arial" w:cs="Arial" w:eastAsia="Arial" w:hAnsi="Arial"/>
          <w:sz w:val="22"/>
          <w:szCs w:val="22"/>
          <w:color w:val="auto"/>
        </w:rPr>
      </w:pPr>
    </w:p>
    <w:p>
      <w:pPr>
        <w:jc w:val="both"/>
        <w:ind w:left="1132" w:hanging="383"/>
        <w:spacing w:after="0"/>
        <w:tabs>
          <w:tab w:leader="none" w:pos="113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this Agreement constitutes the legal, valid and binding obligation of the Loan Parties, enforceable against the Loan Parties in accordance with its terms, except as the enforcement thereof may be subject to (i) the effect of any applicable bankruptcy, insolvency, reorganization, moratorium or similar law affecting creditors’ rights generally and (ii)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168846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58" w:lineRule="exact"/>
        <w:rPr>
          <w:sz w:val="20"/>
          <w:szCs w:val="20"/>
          <w:color w:val="auto"/>
        </w:rPr>
      </w:pPr>
    </w:p>
    <w:p>
      <w:pPr>
        <w:ind w:left="92" w:hanging="92"/>
        <w:spacing w:after="0"/>
        <w:tabs>
          <w:tab w:leader="none" w:pos="92" w:val="left"/>
        </w:tabs>
        <w:numPr>
          <w:ilvl w:val="0"/>
          <w:numId w:val="203"/>
        </w:numPr>
        <w:rPr>
          <w:rFonts w:ascii="Calibri" w:cs="Calibri" w:eastAsia="Calibri" w:hAnsi="Calibri"/>
          <w:sz w:val="24"/>
          <w:szCs w:val="24"/>
          <w:color w:val="auto"/>
          <w:vertAlign w:val="superscript"/>
        </w:rPr>
      </w:pPr>
      <w:r>
        <w:rPr>
          <w:rFonts w:ascii="Arial" w:cs="Arial" w:eastAsia="Arial" w:hAnsi="Arial"/>
          <w:sz w:val="16"/>
          <w:szCs w:val="16"/>
          <w:color w:val="auto"/>
        </w:rPr>
        <w:t>NTD: GroupBy/Fasken to produce and provide all required waivers/corporate authorizations for the issuance of shares as contemplated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888365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07" w:name="page108"/>
    <w:bookmarkEnd w:id="107"/>
    <w:p>
      <w:pPr>
        <w:ind w:left="1132"/>
        <w:spacing w:after="0"/>
        <w:rPr>
          <w:sz w:val="20"/>
          <w:szCs w:val="20"/>
          <w:color w:val="auto"/>
        </w:rPr>
      </w:pPr>
      <w:r>
        <w:rPr>
          <w:rFonts w:ascii="Arial" w:cs="Arial" w:eastAsia="Arial" w:hAnsi="Arial"/>
          <w:sz w:val="22"/>
          <w:szCs w:val="22"/>
          <w:color w:val="auto"/>
        </w:rPr>
        <w:t>(regardless of whether such enforcement is sought in a proceeding in equity or at law);</w:t>
      </w:r>
    </w:p>
    <w:p>
      <w:pPr>
        <w:spacing w:after="0" w:line="98" w:lineRule="exact"/>
        <w:rPr>
          <w:sz w:val="20"/>
          <w:szCs w:val="20"/>
          <w:color w:val="auto"/>
        </w:rPr>
      </w:pPr>
    </w:p>
    <w:p>
      <w:pPr>
        <w:jc w:val="both"/>
        <w:ind w:left="1132" w:right="20" w:hanging="383"/>
        <w:spacing w:after="0"/>
        <w:tabs>
          <w:tab w:leader="none" w:pos="1132"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execution, delivery and performance of and compliance with this Agreement by the Loan Parties will not violate or conflict with, or result in a default under, any terms of any of the Loan Parties’ organizational documents, any of its agreements or any applicable law, rule, regulation or order or require any consent or approval which has not been obtained’</w:t>
      </w: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jc w:val="both"/>
        <w:ind w:left="1132" w:hanging="383"/>
        <w:spacing w:after="0" w:line="245" w:lineRule="auto"/>
        <w:tabs>
          <w:tab w:leader="none" w:pos="1132" w:val="left"/>
        </w:tabs>
        <w:numPr>
          <w:ilvl w:val="1"/>
          <w:numId w:val="204"/>
        </w:numPr>
        <w:rPr>
          <w:rFonts w:ascii="Arial" w:cs="Arial" w:eastAsia="Arial" w:hAnsi="Arial"/>
          <w:sz w:val="22"/>
          <w:szCs w:val="22"/>
          <w:color w:val="auto"/>
        </w:rPr>
      </w:pPr>
      <w:r>
        <w:rPr>
          <w:rFonts w:ascii="Arial" w:cs="Arial" w:eastAsia="Arial" w:hAnsi="Arial"/>
          <w:sz w:val="22"/>
          <w:szCs w:val="22"/>
          <w:color w:val="auto"/>
        </w:rPr>
        <w:t>except for the Events of Default that have occurred and are continuing under the Loan Documents, and that WAB has no obligation to make any further Loans or other loans or extensions of credit to the Loan Parties under the Loan Documents, the Loan Documents are valid and subsisting agreements; and</w:t>
      </w:r>
    </w:p>
    <w:p>
      <w:pPr>
        <w:spacing w:after="0" w:line="62" w:lineRule="exact"/>
        <w:rPr>
          <w:rFonts w:ascii="Arial" w:cs="Arial" w:eastAsia="Arial" w:hAnsi="Arial"/>
          <w:sz w:val="22"/>
          <w:szCs w:val="22"/>
          <w:color w:val="auto"/>
        </w:rPr>
      </w:pPr>
    </w:p>
    <w:p>
      <w:pPr>
        <w:jc w:val="both"/>
        <w:ind w:left="1132" w:hanging="383"/>
        <w:spacing w:after="0"/>
        <w:tabs>
          <w:tab w:leader="none" w:pos="1132"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Consideration Shares, when issued, sold and delivered in accordance with the terms and for the consideration set forth in this Agreement, will be validly issued, fully paid and non-assessable and free and clear of all liens, encumbrances or restrictions on transfer other than restrictions on transfer under applicable securities laws and liens or encumbrances created by or imposed by Rezolve.</w:t>
      </w:r>
    </w:p>
    <w:p>
      <w:pPr>
        <w:spacing w:after="0" w:line="68" w:lineRule="exact"/>
        <w:rPr>
          <w:rFonts w:ascii="Arial" w:cs="Arial" w:eastAsia="Arial" w:hAnsi="Arial"/>
          <w:sz w:val="22"/>
          <w:szCs w:val="22"/>
          <w:color w:val="auto"/>
        </w:rPr>
      </w:pPr>
    </w:p>
    <w:p>
      <w:pPr>
        <w:ind w:left="372" w:hanging="372"/>
        <w:spacing w:after="0" w:line="267" w:lineRule="auto"/>
        <w:tabs>
          <w:tab w:leader="none" w:pos="37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Rezolve hereby represents and warrants to WAB, which representations and warranties shall survive the execution of this Agreement, as follows:</w:t>
      </w:r>
      <w:r>
        <w:rPr>
          <w:rFonts w:ascii="Arial" w:cs="Arial" w:eastAsia="Arial" w:hAnsi="Arial"/>
          <w:sz w:val="28"/>
          <w:szCs w:val="28"/>
          <w:color w:val="auto"/>
          <w:vertAlign w:val="superscript"/>
        </w:rPr>
        <w:t>2</w:t>
      </w:r>
    </w:p>
    <w:p>
      <w:pPr>
        <w:spacing w:after="0" w:line="1" w:lineRule="exact"/>
        <w:rPr>
          <w:rFonts w:ascii="Arial" w:cs="Arial" w:eastAsia="Arial" w:hAnsi="Arial"/>
          <w:sz w:val="22"/>
          <w:szCs w:val="22"/>
          <w:color w:val="auto"/>
        </w:rPr>
      </w:pPr>
    </w:p>
    <w:p>
      <w:pPr>
        <w:ind w:left="1132" w:right="20" w:hanging="383"/>
        <w:spacing w:after="0"/>
        <w:tabs>
          <w:tab w:leader="none" w:pos="1132" w:val="left"/>
        </w:tabs>
        <w:numPr>
          <w:ilvl w:val="1"/>
          <w:numId w:val="205"/>
        </w:numPr>
        <w:rPr>
          <w:rFonts w:ascii="Arial" w:cs="Arial" w:eastAsia="Arial" w:hAnsi="Arial"/>
          <w:sz w:val="22"/>
          <w:szCs w:val="22"/>
          <w:color w:val="auto"/>
        </w:rPr>
      </w:pPr>
      <w:r>
        <w:rPr>
          <w:rFonts w:ascii="Arial" w:cs="Arial" w:eastAsia="Arial" w:hAnsi="Arial"/>
          <w:sz w:val="22"/>
          <w:szCs w:val="22"/>
          <w:color w:val="auto"/>
        </w:rPr>
        <w:t>Rezolve has all necessary power and authority to enter into this Agreement and to perform the terms, covenants and conditions set out in this Agreement;</w:t>
      </w:r>
    </w:p>
    <w:p>
      <w:pPr>
        <w:spacing w:after="0" w:line="68" w:lineRule="exact"/>
        <w:rPr>
          <w:rFonts w:ascii="Arial" w:cs="Arial" w:eastAsia="Arial" w:hAnsi="Arial"/>
          <w:sz w:val="22"/>
          <w:szCs w:val="22"/>
          <w:color w:val="auto"/>
        </w:rPr>
      </w:pPr>
    </w:p>
    <w:p>
      <w:pPr>
        <w:jc w:val="both"/>
        <w:ind w:left="1132" w:hanging="383"/>
        <w:spacing w:after="0" w:line="238" w:lineRule="auto"/>
        <w:tabs>
          <w:tab w:leader="none" w:pos="1132"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this Agreement constitutes the legal, valid and binding obligation of Rezolve, enforceable against Rezolve in accordance with its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 and</w:t>
      </w:r>
    </w:p>
    <w:p>
      <w:pPr>
        <w:spacing w:after="0" w:line="68" w:lineRule="exact"/>
        <w:rPr>
          <w:rFonts w:ascii="Arial" w:cs="Arial" w:eastAsia="Arial" w:hAnsi="Arial"/>
          <w:sz w:val="22"/>
          <w:szCs w:val="22"/>
          <w:color w:val="auto"/>
        </w:rPr>
      </w:pPr>
    </w:p>
    <w:p>
      <w:pPr>
        <w:jc w:val="both"/>
        <w:ind w:left="1132" w:hanging="383"/>
        <w:spacing w:after="0"/>
        <w:tabs>
          <w:tab w:leader="none" w:pos="1132"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the execution, delivery and performance of and compliance with this Agreement by Rezolve will not violate or conflict with, or result in a default under, any terms of Rezolve’s organizational documents, any of its agreements or any applicable law, rule, regulation or order or require any consent or approval which has not been obtained.</w:t>
      </w:r>
    </w:p>
    <w:p>
      <w:pPr>
        <w:spacing w:after="0" w:line="68" w:lineRule="exact"/>
        <w:rPr>
          <w:rFonts w:ascii="Arial" w:cs="Arial" w:eastAsia="Arial" w:hAnsi="Arial"/>
          <w:sz w:val="22"/>
          <w:szCs w:val="22"/>
          <w:color w:val="auto"/>
        </w:rPr>
      </w:pPr>
    </w:p>
    <w:p>
      <w:pPr>
        <w:ind w:left="372" w:hanging="372"/>
        <w:spacing w:after="0" w:line="259" w:lineRule="auto"/>
        <w:tabs>
          <w:tab w:leader="none" w:pos="37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WAB hereby represents and warrants to Rezolve and the Loan Parties, which representations and warranties shall survive the execution of this Agreement, as follows:</w:t>
      </w:r>
    </w:p>
    <w:p>
      <w:pPr>
        <w:spacing w:after="0" w:line="48" w:lineRule="exact"/>
        <w:rPr>
          <w:rFonts w:ascii="Arial" w:cs="Arial" w:eastAsia="Arial" w:hAnsi="Arial"/>
          <w:sz w:val="22"/>
          <w:szCs w:val="22"/>
          <w:color w:val="auto"/>
        </w:rPr>
      </w:pPr>
    </w:p>
    <w:p>
      <w:pPr>
        <w:jc w:val="both"/>
        <w:ind w:left="1132" w:right="20" w:hanging="383"/>
        <w:spacing w:after="0" w:line="245" w:lineRule="auto"/>
        <w:tabs>
          <w:tab w:leader="none" w:pos="1132" w:val="left"/>
        </w:tabs>
        <w:numPr>
          <w:ilvl w:val="1"/>
          <w:numId w:val="205"/>
        </w:numPr>
        <w:rPr>
          <w:rFonts w:ascii="Arial" w:cs="Arial" w:eastAsia="Arial" w:hAnsi="Arial"/>
          <w:sz w:val="22"/>
          <w:szCs w:val="22"/>
          <w:color w:val="auto"/>
        </w:rPr>
      </w:pPr>
      <w:r>
        <w:rPr>
          <w:rFonts w:ascii="Arial" w:cs="Arial" w:eastAsia="Arial" w:hAnsi="Arial"/>
          <w:sz w:val="22"/>
          <w:szCs w:val="22"/>
          <w:color w:val="auto"/>
        </w:rPr>
        <w:t>Rezolve and the Loan Parties have no obligations, indebtedness or other liabilities to WAB other than those described in or arising with respect to the Loan Documents (other than those under any deposit (or similar bank)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168846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30" w:lineRule="exact"/>
        <w:rPr>
          <w:sz w:val="20"/>
          <w:szCs w:val="20"/>
          <w:color w:val="auto"/>
        </w:rPr>
      </w:pPr>
    </w:p>
    <w:p>
      <w:pPr>
        <w:ind w:left="-8" w:right="20" w:firstLine="8"/>
        <w:spacing w:after="0" w:line="216" w:lineRule="auto"/>
        <w:tabs>
          <w:tab w:leader="none" w:pos="93" w:val="left"/>
        </w:tabs>
        <w:numPr>
          <w:ilvl w:val="0"/>
          <w:numId w:val="206"/>
        </w:numPr>
        <w:rPr>
          <w:rFonts w:ascii="Calibri" w:cs="Calibri" w:eastAsia="Calibri" w:hAnsi="Calibri"/>
          <w:sz w:val="24"/>
          <w:szCs w:val="24"/>
          <w:color w:val="auto"/>
          <w:vertAlign w:val="superscript"/>
        </w:rPr>
      </w:pPr>
      <w:r>
        <w:rPr>
          <w:rFonts w:ascii="Arial" w:cs="Arial" w:eastAsia="Arial" w:hAnsi="Arial"/>
          <w:sz w:val="16"/>
          <w:szCs w:val="16"/>
          <w:color w:val="auto"/>
        </w:rPr>
        <w:t>NTD: Taylor Wessing to produce and provide all required corporate authorizations for the assumption of the transactions contemplated in this Agreement, the Novation Agreement and the Subscription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872490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08" w:name="page109"/>
    <w:bookmarkEnd w:id="108"/>
    <w:p>
      <w:pPr>
        <w:ind w:left="1132"/>
        <w:spacing w:after="0" w:line="259" w:lineRule="auto"/>
        <w:rPr>
          <w:sz w:val="20"/>
          <w:szCs w:val="20"/>
          <w:color w:val="auto"/>
        </w:rPr>
      </w:pPr>
      <w:r>
        <w:rPr>
          <w:rFonts w:ascii="Arial" w:cs="Arial" w:eastAsia="Arial" w:hAnsi="Arial"/>
          <w:sz w:val="22"/>
          <w:szCs w:val="22"/>
          <w:color w:val="auto"/>
        </w:rPr>
        <w:t>agreements with WAB and those under this Agreement, the Subscription Letter and the Payout Agreement);</w:t>
      </w:r>
    </w:p>
    <w:p>
      <w:pPr>
        <w:spacing w:after="0" w:line="48" w:lineRule="exact"/>
        <w:rPr>
          <w:sz w:val="20"/>
          <w:szCs w:val="20"/>
          <w:color w:val="auto"/>
        </w:rPr>
      </w:pPr>
    </w:p>
    <w:p>
      <w:pPr>
        <w:ind w:left="1132" w:right="20" w:hanging="383"/>
        <w:spacing w:after="0" w:line="259" w:lineRule="auto"/>
        <w:tabs>
          <w:tab w:leader="none" w:pos="113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the obligations, indebtedness and other liabilities described in the Loan Documents are not secured by any collateral other than the collateral described in the Loan Documents;</w:t>
      </w:r>
    </w:p>
    <w:p>
      <w:pPr>
        <w:spacing w:after="0" w:line="48" w:lineRule="exact"/>
        <w:rPr>
          <w:rFonts w:ascii="Arial" w:cs="Arial" w:eastAsia="Arial" w:hAnsi="Arial"/>
          <w:sz w:val="22"/>
          <w:szCs w:val="22"/>
          <w:color w:val="auto"/>
        </w:rPr>
      </w:pPr>
    </w:p>
    <w:p>
      <w:pPr>
        <w:jc w:val="both"/>
        <w:ind w:left="1132" w:hanging="383"/>
        <w:spacing w:after="0"/>
        <w:tabs>
          <w:tab w:leader="none" w:pos="113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WAB is the sole holder of the Obligations, has not made any pledge or assignment of any Loan Documents or any Obligations to any person, has not granted any person a security interest in any Loan Documents or any Obligations, and has not granted to any person a participation interest in any Loan Documents or any Obligations;</w:t>
      </w:r>
    </w:p>
    <w:p>
      <w:pPr>
        <w:spacing w:after="0" w:line="68" w:lineRule="exact"/>
        <w:rPr>
          <w:rFonts w:ascii="Arial" w:cs="Arial" w:eastAsia="Arial" w:hAnsi="Arial"/>
          <w:sz w:val="22"/>
          <w:szCs w:val="22"/>
          <w:color w:val="auto"/>
        </w:rPr>
      </w:pPr>
    </w:p>
    <w:p>
      <w:pPr>
        <w:ind w:left="1132" w:hanging="383"/>
        <w:spacing w:after="0" w:line="259" w:lineRule="auto"/>
        <w:tabs>
          <w:tab w:leader="none" w:pos="113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consents to the each of the First Novation, Second Novation and Third Novation of the Loan Documents as provided herein;</w:t>
      </w:r>
    </w:p>
    <w:p>
      <w:pPr>
        <w:spacing w:after="0" w:line="48" w:lineRule="exact"/>
        <w:rPr>
          <w:rFonts w:ascii="Arial" w:cs="Arial" w:eastAsia="Arial" w:hAnsi="Arial"/>
          <w:sz w:val="22"/>
          <w:szCs w:val="22"/>
          <w:color w:val="auto"/>
        </w:rPr>
      </w:pPr>
    </w:p>
    <w:p>
      <w:pPr>
        <w:jc w:val="both"/>
        <w:ind w:left="1132" w:hanging="383"/>
        <w:spacing w:after="0" w:line="245" w:lineRule="auto"/>
        <w:tabs>
          <w:tab w:leader="none" w:pos="113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WAB has all necessary power and authority to enter into this Agreement and to perform the terms, covenants and conditions set out in this Agreement and to consent to the First Novation, Second Novation and Third Novation of the Loan Documents as provided herein;</w:t>
      </w:r>
    </w:p>
    <w:p>
      <w:pPr>
        <w:spacing w:after="0" w:line="62" w:lineRule="exact"/>
        <w:rPr>
          <w:rFonts w:ascii="Arial" w:cs="Arial" w:eastAsia="Arial" w:hAnsi="Arial"/>
          <w:sz w:val="22"/>
          <w:szCs w:val="22"/>
          <w:color w:val="auto"/>
        </w:rPr>
      </w:pPr>
    </w:p>
    <w:p>
      <w:pPr>
        <w:jc w:val="both"/>
        <w:ind w:left="1132" w:hanging="383"/>
        <w:spacing w:after="0" w:line="238" w:lineRule="auto"/>
        <w:tabs>
          <w:tab w:leader="none" w:pos="113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this Agreement constitutes the legal, valid and binding obligation of WAB, enforceable against WAB in accordance with its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68" w:lineRule="exact"/>
        <w:rPr>
          <w:rFonts w:ascii="Arial" w:cs="Arial" w:eastAsia="Arial" w:hAnsi="Arial"/>
          <w:sz w:val="22"/>
          <w:szCs w:val="22"/>
          <w:color w:val="auto"/>
        </w:rPr>
      </w:pPr>
    </w:p>
    <w:p>
      <w:pPr>
        <w:jc w:val="both"/>
        <w:ind w:left="1132" w:hanging="383"/>
        <w:spacing w:after="0"/>
        <w:tabs>
          <w:tab w:leader="none" w:pos="113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the execution, delivery and performance of and compliance with this Agreement by WAB will not violate or conflict with, or result in a default under, any terms of WAB's organizational documents, any of its agreements or any applicable law, rule, regulation or order or require any consent or approval which has not been obtained; and</w:t>
      </w:r>
    </w:p>
    <w:p>
      <w:pPr>
        <w:spacing w:after="0" w:line="68" w:lineRule="exact"/>
        <w:rPr>
          <w:rFonts w:ascii="Arial" w:cs="Arial" w:eastAsia="Arial" w:hAnsi="Arial"/>
          <w:sz w:val="22"/>
          <w:szCs w:val="22"/>
          <w:color w:val="auto"/>
        </w:rPr>
      </w:pPr>
    </w:p>
    <w:p>
      <w:pPr>
        <w:jc w:val="both"/>
        <w:ind w:left="1132" w:hanging="383"/>
        <w:spacing w:after="0"/>
        <w:tabs>
          <w:tab w:leader="none" w:pos="113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covenants and agrees with Rezolve that from and after the Effective Date, Rezolve shall be entitled to hold and enforce all of the privileges, rights and benefits of the Loan Parties as provided for in the Loan Documents to the same extent as though and to the intent and purpose that Rezolve is a party thereto in the place and stead of the Loan Parties.</w:t>
      </w:r>
    </w:p>
    <w:p>
      <w:pPr>
        <w:spacing w:after="0" w:line="68" w:lineRule="exact"/>
        <w:rPr>
          <w:rFonts w:ascii="Arial" w:cs="Arial" w:eastAsia="Arial" w:hAnsi="Arial"/>
          <w:sz w:val="22"/>
          <w:szCs w:val="22"/>
          <w:color w:val="auto"/>
        </w:rPr>
      </w:pPr>
    </w:p>
    <w:p>
      <w:pPr>
        <w:jc w:val="both"/>
        <w:ind w:left="372" w:hanging="372"/>
        <w:spacing w:after="0"/>
        <w:tabs>
          <w:tab w:leader="none" w:pos="372" w:val="left"/>
        </w:tabs>
        <w:numPr>
          <w:ilvl w:val="0"/>
          <w:numId w:val="208"/>
        </w:numPr>
        <w:rPr>
          <w:rFonts w:ascii="Arial" w:cs="Arial" w:eastAsia="Arial" w:hAnsi="Arial"/>
          <w:sz w:val="22"/>
          <w:szCs w:val="22"/>
          <w:color w:val="auto"/>
        </w:rPr>
      </w:pPr>
      <w:r>
        <w:rPr>
          <w:rFonts w:ascii="Arial" w:cs="Arial" w:eastAsia="Arial" w:hAnsi="Arial"/>
          <w:sz w:val="22"/>
          <w:szCs w:val="22"/>
          <w:color w:val="auto"/>
        </w:rPr>
        <w:t>Rezolve and each of the Loan Parties acknowledges and agrees that the Loans under the Loan Documents have matured and that Events of Default have occurred and are continuing under the Loan Documents, and that WAB has no obligation to make any further Loans or other loans or extensions of credit to Rezolve or the Loan Parties under the Loan Documents.</w:t>
      </w:r>
    </w:p>
    <w:p>
      <w:pPr>
        <w:spacing w:after="0" w:line="68" w:lineRule="exact"/>
        <w:rPr>
          <w:rFonts w:ascii="Arial" w:cs="Arial" w:eastAsia="Arial" w:hAnsi="Arial"/>
          <w:sz w:val="22"/>
          <w:szCs w:val="22"/>
          <w:color w:val="auto"/>
        </w:rPr>
      </w:pPr>
    </w:p>
    <w:p>
      <w:pPr>
        <w:jc w:val="both"/>
        <w:ind w:left="372" w:hanging="372"/>
        <w:spacing w:after="0" w:line="238" w:lineRule="auto"/>
        <w:tabs>
          <w:tab w:leader="none" w:pos="372" w:val="left"/>
        </w:tabs>
        <w:numPr>
          <w:ilvl w:val="0"/>
          <w:numId w:val="208"/>
        </w:numPr>
        <w:rPr>
          <w:rFonts w:ascii="Arial" w:cs="Arial" w:eastAsia="Arial" w:hAnsi="Arial"/>
          <w:sz w:val="22"/>
          <w:szCs w:val="22"/>
          <w:color w:val="auto"/>
        </w:rPr>
      </w:pPr>
      <w:r>
        <w:rPr>
          <w:rFonts w:ascii="Arial" w:cs="Arial" w:eastAsia="Arial" w:hAnsi="Arial"/>
          <w:sz w:val="22"/>
          <w:szCs w:val="22"/>
          <w:color w:val="auto"/>
        </w:rPr>
        <w:t>WAB, the Loan Parties and Rezolve each covenant and agree that they shall and will, from time to time and at all times hereafter, at the request of any other party hereto, execute such further assurances and do all such further acts as may be reasonably required to effectuate the terms of this Agreement. Without limiting the foregoing, WAB, the Loan Parties and Rezolve shall execute and deliver, in recordable form as appropriate, such additional documents, notices and instruments of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939165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09" w:name="page110"/>
    <w:bookmarkEnd w:id="109"/>
    <w:p>
      <w:pPr>
        <w:ind w:left="380"/>
        <w:spacing w:after="0" w:line="259" w:lineRule="auto"/>
        <w:rPr>
          <w:sz w:val="20"/>
          <w:szCs w:val="20"/>
          <w:color w:val="auto"/>
        </w:rPr>
      </w:pPr>
      <w:r>
        <w:rPr>
          <w:rFonts w:ascii="Arial" w:cs="Arial" w:eastAsia="Arial" w:hAnsi="Arial"/>
          <w:sz w:val="22"/>
          <w:szCs w:val="22"/>
          <w:color w:val="auto"/>
        </w:rPr>
        <w:t>continuation or novation as Rezolve may request for the purpose of further confirming the First Novation, Second Novation and Third Novation of the Loan Documents as provided herein.</w:t>
      </w:r>
    </w:p>
    <w:p>
      <w:pPr>
        <w:spacing w:after="0" w:line="48" w:lineRule="exact"/>
        <w:rPr>
          <w:sz w:val="20"/>
          <w:szCs w:val="20"/>
          <w:color w:val="auto"/>
        </w:rPr>
      </w:pPr>
    </w:p>
    <w:p>
      <w:pPr>
        <w:jc w:val="both"/>
        <w:ind w:left="380" w:hanging="372"/>
        <w:spacing w:after="0" w:line="262" w:lineRule="auto"/>
        <w:tabs>
          <w:tab w:leader="none" w:pos="38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This Agreement may be signed in as many counterparts as may be necessary and may be delivered by facsimile or other electronic means, including in electronic PDF format, and each of such counterparts so signed will be deemed to be an original, and such copies together will cause to be one and the same Agreement.</w:t>
      </w:r>
    </w:p>
    <w:p>
      <w:pPr>
        <w:spacing w:after="0" w:line="46" w:lineRule="exact"/>
        <w:rPr>
          <w:rFonts w:ascii="Arial" w:cs="Arial" w:eastAsia="Arial" w:hAnsi="Arial"/>
          <w:sz w:val="21"/>
          <w:szCs w:val="21"/>
          <w:color w:val="auto"/>
        </w:rPr>
      </w:pPr>
    </w:p>
    <w:p>
      <w:pPr>
        <w:jc w:val="both"/>
        <w:ind w:left="380" w:hanging="372"/>
        <w:spacing w:after="0" w:line="262" w:lineRule="auto"/>
        <w:tabs>
          <w:tab w:leader="none" w:pos="38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parties hereto and their respective successors and assigns; provided that no party hereto may assign its rights or obligations under this Agreement without the prior written consent of the other parties hereto, and any such purported assignment is null and void.</w:t>
      </w:r>
    </w:p>
    <w:p>
      <w:pPr>
        <w:spacing w:after="0" w:line="46" w:lineRule="exact"/>
        <w:rPr>
          <w:rFonts w:ascii="Arial" w:cs="Arial" w:eastAsia="Arial" w:hAnsi="Arial"/>
          <w:sz w:val="21"/>
          <w:szCs w:val="21"/>
          <w:color w:val="auto"/>
        </w:rPr>
      </w:pPr>
    </w:p>
    <w:p>
      <w:pPr>
        <w:ind w:left="380" w:hanging="372"/>
        <w:spacing w:after="0" w:line="259" w:lineRule="auto"/>
        <w:tabs>
          <w:tab w:leader="none" w:pos="3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The provisions of Sections 8.2, 8.9, 8.13, 8.16, 8.17, 8.18, 8.19, 8.20, 8.21 and 8.24 of the Loan Agreement shall apply to this Agreement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and are incorporated herein by reference.</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Remainder of page intentionally left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0" w:name="page111"/>
    <w:bookmarkEnd w:id="110"/>
    <w:p>
      <w:pPr>
        <w:spacing w:after="0" w:line="278" w:lineRule="exact"/>
        <w:rPr>
          <w:sz w:val="20"/>
          <w:szCs w:val="20"/>
          <w:color w:val="auto"/>
        </w:rPr>
      </w:pPr>
    </w:p>
    <w:p>
      <w:pPr>
        <w:ind w:firstLine="400"/>
        <w:spacing w:after="0" w:line="261"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and delivered this Novation Agreement as of the day</w:t>
      </w:r>
      <w:r>
        <w:rPr>
          <w:rFonts w:ascii="Arial" w:cs="Arial" w:eastAsia="Arial" w:hAnsi="Arial"/>
          <w:sz w:val="22"/>
          <w:szCs w:val="22"/>
          <w:b w:val="1"/>
          <w:bCs w:val="1"/>
          <w:color w:val="auto"/>
        </w:rPr>
        <w:t xml:space="preserve"> </w:t>
      </w:r>
      <w:r>
        <w:rPr>
          <w:rFonts w:ascii="Arial" w:cs="Arial" w:eastAsia="Arial" w:hAnsi="Arial"/>
          <w:sz w:val="22"/>
          <w:szCs w:val="22"/>
          <w:color w:val="auto"/>
        </w:rPr>
        <w:t>and year first above written.</w:t>
      </w:r>
    </w:p>
    <w:p>
      <w:pPr>
        <w:spacing w:after="0" w:line="152"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GROUPBY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22"/>
          <w:szCs w:val="22"/>
          <w:color w:val="242424"/>
        </w:rPr>
        <w:t xml:space="preserve">Per: </w:t>
      </w:r>
      <w:r>
        <w:rPr>
          <w:rFonts w:ascii="Arial" w:cs="Arial" w:eastAsia="Arial" w:hAnsi="Arial"/>
          <w:sz w:val="22"/>
          <w:szCs w:val="22"/>
          <w:u w:val="single" w:color="auto"/>
          <w:color w:val="242424"/>
        </w:rPr>
        <w:t>/s/ Srikant Nayak</w:t>
      </w:r>
    </w:p>
    <w:p>
      <w:pPr>
        <w:ind w:left="4500"/>
        <w:spacing w:after="0"/>
        <w:rPr>
          <w:sz w:val="20"/>
          <w:szCs w:val="20"/>
          <w:color w:val="auto"/>
        </w:rPr>
      </w:pPr>
      <w:r>
        <w:rPr>
          <w:rFonts w:ascii="Arial" w:cs="Arial" w:eastAsia="Arial" w:hAnsi="Arial"/>
          <w:sz w:val="22"/>
          <w:szCs w:val="22"/>
          <w:color w:val="242424"/>
        </w:rPr>
        <w:t>Name</w:t>
      </w:r>
      <w:r>
        <w:rPr>
          <w:rFonts w:ascii="Arial" w:cs="Arial" w:eastAsia="Arial" w:hAnsi="Arial"/>
          <w:sz w:val="22"/>
          <w:szCs w:val="22"/>
          <w:color w:val="4B4B4B"/>
        </w:rPr>
        <w:t>: Srikant Nayak</w:t>
      </w:r>
    </w:p>
    <w:p>
      <w:pPr>
        <w:ind w:left="4500"/>
        <w:spacing w:after="0"/>
        <w:tabs>
          <w:tab w:leader="none" w:pos="5440" w:val="left"/>
        </w:tabs>
        <w:rPr>
          <w:sz w:val="20"/>
          <w:szCs w:val="20"/>
          <w:color w:val="auto"/>
        </w:rPr>
      </w:pPr>
      <w:r>
        <w:rPr>
          <w:rFonts w:ascii="Arial" w:cs="Arial" w:eastAsia="Arial" w:hAnsi="Arial"/>
          <w:sz w:val="22"/>
          <w:szCs w:val="22"/>
          <w:color w:val="242424"/>
        </w:rPr>
        <w:t>Title:</w:t>
      </w:r>
      <w:r>
        <w:rPr>
          <w:sz w:val="20"/>
          <w:szCs w:val="20"/>
          <w:color w:val="auto"/>
        </w:rPr>
        <w:tab/>
      </w:r>
      <w:r>
        <w:rPr>
          <w:rFonts w:ascii="Arial" w:cs="Arial" w:eastAsia="Arial" w:hAnsi="Arial"/>
          <w:sz w:val="22"/>
          <w:szCs w:val="22"/>
          <w:color w:val="242424"/>
        </w:rPr>
        <w:t>Authorized Signatory</w:t>
      </w:r>
    </w:p>
    <w:p>
      <w:pPr>
        <w:spacing w:after="0" w:line="200" w:lineRule="exact"/>
        <w:rPr>
          <w:sz w:val="20"/>
          <w:szCs w:val="20"/>
          <w:color w:val="auto"/>
        </w:rPr>
      </w:pPr>
    </w:p>
    <w:p>
      <w:pPr>
        <w:spacing w:after="0" w:line="30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GROUPBY USA INC.</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22"/>
          <w:szCs w:val="22"/>
          <w:color w:val="242424"/>
        </w:rPr>
        <w:t xml:space="preserve">Per: </w:t>
      </w:r>
      <w:r>
        <w:rPr>
          <w:rFonts w:ascii="Arial" w:cs="Arial" w:eastAsia="Arial" w:hAnsi="Arial"/>
          <w:sz w:val="22"/>
          <w:szCs w:val="22"/>
          <w:u w:val="single" w:color="auto"/>
          <w:color w:val="242424"/>
        </w:rPr>
        <w:t>/s/ Srikant Nayak</w:t>
      </w:r>
    </w:p>
    <w:p>
      <w:pPr>
        <w:ind w:left="4500"/>
        <w:spacing w:after="0"/>
        <w:rPr>
          <w:sz w:val="20"/>
          <w:szCs w:val="20"/>
          <w:color w:val="auto"/>
        </w:rPr>
      </w:pPr>
      <w:r>
        <w:rPr>
          <w:rFonts w:ascii="Arial" w:cs="Arial" w:eastAsia="Arial" w:hAnsi="Arial"/>
          <w:sz w:val="22"/>
          <w:szCs w:val="22"/>
          <w:color w:val="242424"/>
        </w:rPr>
        <w:t>Name</w:t>
      </w:r>
      <w:r>
        <w:rPr>
          <w:rFonts w:ascii="Arial" w:cs="Arial" w:eastAsia="Arial" w:hAnsi="Arial"/>
          <w:sz w:val="22"/>
          <w:szCs w:val="22"/>
          <w:color w:val="4B4B4B"/>
        </w:rPr>
        <w:t>: Srikant Nayak</w:t>
      </w:r>
    </w:p>
    <w:p>
      <w:pPr>
        <w:ind w:left="4500"/>
        <w:spacing w:after="0"/>
        <w:tabs>
          <w:tab w:leader="none" w:pos="5440" w:val="left"/>
        </w:tabs>
        <w:rPr>
          <w:sz w:val="20"/>
          <w:szCs w:val="20"/>
          <w:color w:val="auto"/>
        </w:rPr>
      </w:pPr>
      <w:r>
        <w:rPr>
          <w:rFonts w:ascii="Arial" w:cs="Arial" w:eastAsia="Arial" w:hAnsi="Arial"/>
          <w:sz w:val="22"/>
          <w:szCs w:val="22"/>
          <w:color w:val="242424"/>
        </w:rPr>
        <w:t>Title:</w:t>
      </w:r>
      <w:r>
        <w:rPr>
          <w:sz w:val="20"/>
          <w:szCs w:val="20"/>
          <w:color w:val="auto"/>
        </w:rPr>
        <w:tab/>
      </w:r>
      <w:r>
        <w:rPr>
          <w:rFonts w:ascii="Arial" w:cs="Arial" w:eastAsia="Arial" w:hAnsi="Arial"/>
          <w:sz w:val="22"/>
          <w:szCs w:val="22"/>
          <w:color w:val="242424"/>
        </w:rPr>
        <w:t>Authorized Signatory</w:t>
      </w:r>
    </w:p>
    <w:p>
      <w:pPr>
        <w:spacing w:after="0" w:line="200" w:lineRule="exact"/>
        <w:rPr>
          <w:sz w:val="20"/>
          <w:szCs w:val="20"/>
          <w:color w:val="auto"/>
        </w:rPr>
      </w:pPr>
    </w:p>
    <w:p>
      <w:pPr>
        <w:spacing w:after="0" w:line="308"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GROUPBY INTERNATIONAL LTD.</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22"/>
          <w:szCs w:val="22"/>
          <w:color w:val="242424"/>
        </w:rPr>
        <w:t xml:space="preserve">Per: </w:t>
      </w:r>
      <w:r>
        <w:rPr>
          <w:rFonts w:ascii="Arial" w:cs="Arial" w:eastAsia="Arial" w:hAnsi="Arial"/>
          <w:sz w:val="22"/>
          <w:szCs w:val="22"/>
          <w:u w:val="single" w:color="auto"/>
          <w:color w:val="242424"/>
        </w:rPr>
        <w:t>/s/ Srikant Nayak</w:t>
      </w:r>
    </w:p>
    <w:p>
      <w:pPr>
        <w:ind w:left="4500"/>
        <w:spacing w:after="0"/>
        <w:rPr>
          <w:sz w:val="20"/>
          <w:szCs w:val="20"/>
          <w:color w:val="auto"/>
        </w:rPr>
      </w:pPr>
      <w:r>
        <w:rPr>
          <w:rFonts w:ascii="Arial" w:cs="Arial" w:eastAsia="Arial" w:hAnsi="Arial"/>
          <w:sz w:val="22"/>
          <w:szCs w:val="22"/>
          <w:color w:val="242424"/>
        </w:rPr>
        <w:t>Name</w:t>
      </w:r>
      <w:r>
        <w:rPr>
          <w:rFonts w:ascii="Arial" w:cs="Arial" w:eastAsia="Arial" w:hAnsi="Arial"/>
          <w:sz w:val="22"/>
          <w:szCs w:val="22"/>
          <w:color w:val="4B4B4B"/>
        </w:rPr>
        <w:t>: Srikant Nayak</w:t>
      </w:r>
    </w:p>
    <w:p>
      <w:pPr>
        <w:ind w:left="4500"/>
        <w:spacing w:after="0"/>
        <w:tabs>
          <w:tab w:leader="none" w:pos="5440" w:val="left"/>
        </w:tabs>
        <w:rPr>
          <w:sz w:val="20"/>
          <w:szCs w:val="20"/>
          <w:color w:val="auto"/>
        </w:rPr>
      </w:pPr>
      <w:r>
        <w:rPr>
          <w:rFonts w:ascii="Arial" w:cs="Arial" w:eastAsia="Arial" w:hAnsi="Arial"/>
          <w:sz w:val="22"/>
          <w:szCs w:val="22"/>
          <w:color w:val="242424"/>
        </w:rPr>
        <w:t>Title:</w:t>
      </w:r>
      <w:r>
        <w:rPr>
          <w:sz w:val="20"/>
          <w:szCs w:val="20"/>
          <w:color w:val="auto"/>
        </w:rPr>
        <w:tab/>
      </w:r>
      <w:r>
        <w:rPr>
          <w:rFonts w:ascii="Arial" w:cs="Arial" w:eastAsia="Arial" w:hAnsi="Arial"/>
          <w:sz w:val="22"/>
          <w:szCs w:val="22"/>
          <w:color w:val="242424"/>
        </w:rPr>
        <w:t>Authorized Signatory</w:t>
      </w:r>
    </w:p>
    <w:p>
      <w:pPr>
        <w:spacing w:after="0" w:line="200" w:lineRule="exact"/>
        <w:rPr>
          <w:sz w:val="20"/>
          <w:szCs w:val="20"/>
          <w:color w:val="auto"/>
        </w:rPr>
      </w:pPr>
    </w:p>
    <w:p>
      <w:pPr>
        <w:spacing w:after="0" w:line="30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232323"/>
        </w:rPr>
        <w:t>REZOLVE AI LIMITED</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22"/>
          <w:szCs w:val="22"/>
          <w:color w:val="242424"/>
        </w:rPr>
        <w:t xml:space="preserve">Per: </w:t>
      </w:r>
      <w:r>
        <w:rPr>
          <w:rFonts w:ascii="Arial" w:cs="Arial" w:eastAsia="Arial" w:hAnsi="Arial"/>
          <w:sz w:val="22"/>
          <w:szCs w:val="22"/>
          <w:u w:val="single" w:color="auto"/>
          <w:color w:val="242424"/>
        </w:rPr>
        <w:t>/s/ Daniel Wagner</w:t>
      </w:r>
    </w:p>
    <w:p>
      <w:pPr>
        <w:ind w:left="4500"/>
        <w:spacing w:after="0"/>
        <w:rPr>
          <w:sz w:val="20"/>
          <w:szCs w:val="20"/>
          <w:color w:val="auto"/>
        </w:rPr>
      </w:pPr>
      <w:r>
        <w:rPr>
          <w:rFonts w:ascii="Arial" w:cs="Arial" w:eastAsia="Arial" w:hAnsi="Arial"/>
          <w:sz w:val="22"/>
          <w:szCs w:val="22"/>
          <w:color w:val="242424"/>
        </w:rPr>
        <w:t>Name</w:t>
      </w:r>
      <w:r>
        <w:rPr>
          <w:rFonts w:ascii="Arial" w:cs="Arial" w:eastAsia="Arial" w:hAnsi="Arial"/>
          <w:sz w:val="22"/>
          <w:szCs w:val="22"/>
          <w:color w:val="4B4B4B"/>
        </w:rPr>
        <w:t>: Daniel Wagner</w:t>
      </w:r>
    </w:p>
    <w:p>
      <w:pPr>
        <w:ind w:left="4500"/>
        <w:spacing w:after="0"/>
        <w:rPr>
          <w:sz w:val="20"/>
          <w:szCs w:val="20"/>
          <w:color w:val="auto"/>
        </w:rPr>
      </w:pPr>
      <w:r>
        <w:rPr>
          <w:rFonts w:ascii="Arial" w:cs="Arial" w:eastAsia="Arial" w:hAnsi="Arial"/>
          <w:sz w:val="22"/>
          <w:szCs w:val="22"/>
          <w:color w:val="242424"/>
        </w:rPr>
        <w:t>Title: Chief Executive Officer</w:t>
      </w:r>
    </w:p>
    <w:p>
      <w:pPr>
        <w:spacing w:after="0" w:line="200" w:lineRule="exact"/>
        <w:rPr>
          <w:sz w:val="20"/>
          <w:szCs w:val="20"/>
          <w:color w:val="auto"/>
        </w:rPr>
      </w:pPr>
    </w:p>
    <w:p>
      <w:pPr>
        <w:spacing w:after="0" w:line="30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242424"/>
        </w:rPr>
        <w:t>WESTERN ALLIANCE BANK</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22"/>
          <w:szCs w:val="22"/>
          <w:color w:val="242424"/>
        </w:rPr>
        <w:t xml:space="preserve">Per: </w:t>
      </w:r>
      <w:r>
        <w:rPr>
          <w:rFonts w:ascii="Arial" w:cs="Arial" w:eastAsia="Arial" w:hAnsi="Arial"/>
          <w:sz w:val="22"/>
          <w:szCs w:val="22"/>
          <w:u w:val="single" w:color="auto"/>
          <w:color w:val="242424"/>
        </w:rPr>
        <w:t>/s/ Josh Roberts</w:t>
      </w:r>
    </w:p>
    <w:p>
      <w:pPr>
        <w:ind w:left="4500"/>
        <w:spacing w:after="0"/>
        <w:rPr>
          <w:sz w:val="20"/>
          <w:szCs w:val="20"/>
          <w:color w:val="auto"/>
        </w:rPr>
      </w:pPr>
      <w:r>
        <w:rPr>
          <w:rFonts w:ascii="Arial" w:cs="Arial" w:eastAsia="Arial" w:hAnsi="Arial"/>
          <w:sz w:val="22"/>
          <w:szCs w:val="22"/>
          <w:color w:val="242424"/>
        </w:rPr>
        <w:t>Name</w:t>
      </w:r>
      <w:r>
        <w:rPr>
          <w:rFonts w:ascii="Arial" w:cs="Arial" w:eastAsia="Arial" w:hAnsi="Arial"/>
          <w:sz w:val="22"/>
          <w:szCs w:val="22"/>
          <w:color w:val="4B4B4B"/>
        </w:rPr>
        <w:t>: Josh Roberts</w:t>
      </w:r>
    </w:p>
    <w:p>
      <w:pPr>
        <w:ind w:left="4500"/>
        <w:spacing w:after="0"/>
        <w:rPr>
          <w:sz w:val="20"/>
          <w:szCs w:val="20"/>
          <w:color w:val="auto"/>
        </w:rPr>
      </w:pPr>
      <w:r>
        <w:rPr>
          <w:rFonts w:ascii="Arial" w:cs="Arial" w:eastAsia="Arial" w:hAnsi="Arial"/>
          <w:sz w:val="22"/>
          <w:szCs w:val="22"/>
          <w:color w:val="242424"/>
        </w:rPr>
        <w:t>Title: Senior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1996440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Subscription for shares in the capital of Rezolve AI Limited</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The Directors</w:t>
      </w:r>
    </w:p>
    <w:p>
      <w:pPr>
        <w:spacing w:after="0"/>
        <w:rPr>
          <w:sz w:val="20"/>
          <w:szCs w:val="20"/>
          <w:color w:val="auto"/>
        </w:rPr>
      </w:pPr>
      <w:r>
        <w:rPr>
          <w:rFonts w:ascii="Arial" w:cs="Arial" w:eastAsia="Arial" w:hAnsi="Arial"/>
          <w:sz w:val="22"/>
          <w:szCs w:val="22"/>
          <w:color w:val="auto"/>
        </w:rPr>
        <w:t>Rezolve AI Limited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5 New Street Square</w:t>
      </w:r>
    </w:p>
    <w:p>
      <w:pPr>
        <w:spacing w:after="0" w:line="231" w:lineRule="auto"/>
        <w:rPr>
          <w:sz w:val="20"/>
          <w:szCs w:val="20"/>
          <w:color w:val="auto"/>
        </w:rPr>
      </w:pPr>
      <w:r>
        <w:rPr>
          <w:rFonts w:ascii="Arial" w:cs="Arial" w:eastAsia="Arial" w:hAnsi="Arial"/>
          <w:sz w:val="22"/>
          <w:szCs w:val="22"/>
          <w:color w:val="auto"/>
        </w:rPr>
        <w:t>London</w:t>
      </w:r>
    </w:p>
    <w:p>
      <w:pPr>
        <w:spacing w:after="0" w:line="230" w:lineRule="auto"/>
        <w:rPr>
          <w:sz w:val="20"/>
          <w:szCs w:val="20"/>
          <w:color w:val="auto"/>
        </w:rPr>
      </w:pPr>
      <w:r>
        <w:rPr>
          <w:rFonts w:ascii="Arial" w:cs="Arial" w:eastAsia="Arial" w:hAnsi="Arial"/>
          <w:sz w:val="22"/>
          <w:szCs w:val="22"/>
          <w:color w:val="auto"/>
        </w:rPr>
        <w:t>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EC4A 3TW</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For the attention of [________]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March 25, 2025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22"/>
          <w:szCs w:val="22"/>
          <w:b w:val="1"/>
          <w:bCs w:val="1"/>
          <w:color w:val="auto"/>
        </w:rPr>
        <w:t>Letter relating to the subscription for fully paid up new Ordinary Shares of the Company in relation to the settlement of the Obligations (this "Subscription Letter")</w:t>
      </w:r>
    </w:p>
    <w:p>
      <w:pPr>
        <w:spacing w:after="0" w:line="129" w:lineRule="exact"/>
        <w:rPr>
          <w:sz w:val="20"/>
          <w:szCs w:val="20"/>
          <w:color w:val="auto"/>
        </w:rPr>
      </w:pPr>
    </w:p>
    <w:p>
      <w:pPr>
        <w:jc w:val="both"/>
        <w:ind w:left="380" w:hanging="372"/>
        <w:spacing w:after="0"/>
        <w:tabs>
          <w:tab w:leader="none" w:pos="3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Western Alliance Bank, an Arizona corporation (“</w:t>
      </w:r>
      <w:r>
        <w:rPr>
          <w:rFonts w:ascii="Arial" w:cs="Arial" w:eastAsia="Arial" w:hAnsi="Arial"/>
          <w:sz w:val="22"/>
          <w:szCs w:val="22"/>
          <w:b w:val="1"/>
          <w:bCs w:val="1"/>
          <w:color w:val="auto"/>
        </w:rPr>
        <w:t>WAB</w:t>
      </w:r>
      <w:r>
        <w:rPr>
          <w:rFonts w:ascii="Arial" w:cs="Arial" w:eastAsia="Arial" w:hAnsi="Arial"/>
          <w:sz w:val="22"/>
          <w:szCs w:val="22"/>
          <w:color w:val="auto"/>
        </w:rPr>
        <w:t>”), applies for the issue and allotment of the Subscription Shares, which are to be issued and allotted on the Allotment Time, in consideration for full and final settlement of the Obligations (the "</w:t>
      </w:r>
      <w:r>
        <w:rPr>
          <w:rFonts w:ascii="Arial" w:cs="Arial" w:eastAsia="Arial" w:hAnsi="Arial"/>
          <w:sz w:val="22"/>
          <w:szCs w:val="22"/>
          <w:b w:val="1"/>
          <w:bCs w:val="1"/>
          <w:color w:val="auto"/>
        </w:rPr>
        <w:t>Subscription</w:t>
      </w:r>
      <w:r>
        <w:rPr>
          <w:rFonts w:ascii="Arial" w:cs="Arial" w:eastAsia="Arial" w:hAnsi="Arial"/>
          <w:sz w:val="22"/>
          <w:szCs w:val="22"/>
          <w:color w:val="auto"/>
        </w:rPr>
        <w:t>"). The Subscription is made on and subject to the terms of this Subscription Letter, and subject to the articles of association of the Company.</w:t>
      </w:r>
    </w:p>
    <w:p>
      <w:pPr>
        <w:spacing w:after="0" w:line="178" w:lineRule="exact"/>
        <w:rPr>
          <w:rFonts w:ascii="Arial" w:cs="Arial" w:eastAsia="Arial" w:hAnsi="Arial"/>
          <w:sz w:val="22"/>
          <w:szCs w:val="22"/>
          <w:color w:val="auto"/>
        </w:rPr>
      </w:pPr>
    </w:p>
    <w:p>
      <w:pPr>
        <w:jc w:val="both"/>
        <w:ind w:left="380" w:hanging="372"/>
        <w:spacing w:after="0" w:line="245" w:lineRule="auto"/>
        <w:tabs>
          <w:tab w:leader="none" w:pos="3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 satisfaction of the application in paragraph 1, WAB authorises the Company at the Allotment Time to instruct Computershare, the Company's transfer agent, to: (i) issue and record the Subscription Shares as of the Allotment Time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460" w:type="dxa"/>
            <w:vAlign w:val="bottom"/>
          </w:tcPr>
          <w:p>
            <w:pPr>
              <w:spacing w:after="0"/>
              <w:rPr>
                <w:sz w:val="20"/>
                <w:szCs w:val="20"/>
                <w:color w:val="auto"/>
              </w:rPr>
            </w:pPr>
            <w:r>
              <w:rPr>
                <w:rFonts w:ascii="Arial" w:cs="Arial" w:eastAsia="Arial" w:hAnsi="Arial"/>
                <w:sz w:val="22"/>
                <w:szCs w:val="22"/>
                <w:color w:val="auto"/>
              </w:rPr>
              <w:t>If available:</w:t>
            </w: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460" w:type="dxa"/>
            <w:vAlign w:val="bottom"/>
            <w:tcBorders>
              <w:left w:val="single" w:sz="8" w:color="auto"/>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DTC</w:t>
            </w:r>
          </w:p>
        </w:tc>
        <w:tc>
          <w:tcPr>
            <w:tcW w:w="3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b w:val="1"/>
                <w:bCs w:val="1"/>
                <w:color w:val="auto"/>
              </w:rPr>
              <w:t>Participant</w:t>
            </w:r>
          </w:p>
        </w:tc>
        <w:tc>
          <w:tcPr>
            <w:tcW w:w="3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DTC</w:t>
            </w: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b w:val="1"/>
                <w:bCs w:val="1"/>
                <w:color w:val="auto"/>
              </w:rPr>
              <w:t>DTC</w:t>
            </w:r>
          </w:p>
        </w:tc>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Holder</w:t>
            </w:r>
          </w:p>
        </w:tc>
        <w:tc>
          <w:tcPr>
            <w:tcW w:w="14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b w:val="1"/>
                <w:bCs w:val="1"/>
                <w:color w:val="auto"/>
              </w:rPr>
              <w:t>DTC</w:t>
            </w:r>
          </w:p>
        </w:tc>
        <w:tc>
          <w:tcPr>
            <w:tcW w:w="14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b w:val="1"/>
                <w:bCs w:val="1"/>
                <w:color w:val="auto"/>
              </w:rPr>
              <w:t>Contact</w:t>
            </w:r>
          </w:p>
        </w:tc>
        <w:tc>
          <w:tcPr>
            <w:tcW w:w="3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b w:val="1"/>
                <w:bCs w:val="1"/>
                <w:color w:val="auto"/>
              </w:rPr>
              <w:t>DTC Participant Contact Email</w:t>
            </w: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b w:val="1"/>
                <w:bCs w:val="1"/>
                <w:color w:val="auto"/>
              </w:rPr>
              <w:t>Participant</w:t>
            </w:r>
          </w:p>
        </w:tc>
        <w:tc>
          <w:tcPr>
            <w:tcW w:w="144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b w:val="1"/>
                <w:bCs w:val="1"/>
                <w:color w:val="auto"/>
              </w:rPr>
              <w:t>Telephone</w:t>
            </w: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b w:val="1"/>
                <w:bCs w:val="1"/>
                <w:color w:val="auto"/>
              </w:rPr>
              <w:t>Participant</w:t>
            </w:r>
          </w:p>
        </w:tc>
        <w:tc>
          <w:tcPr>
            <w:tcW w:w="15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b w:val="1"/>
                <w:bCs w:val="1"/>
                <w:color w:val="auto"/>
              </w:rPr>
              <w:t>Participant</w:t>
            </w:r>
          </w:p>
        </w:tc>
        <w:tc>
          <w:tcPr>
            <w:tcW w:w="15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b w:val="1"/>
                <w:bCs w:val="1"/>
                <w:color w:val="auto"/>
              </w:rPr>
              <w:t>Account</w:t>
            </w:r>
          </w:p>
        </w:tc>
        <w:tc>
          <w:tcPr>
            <w:tcW w:w="144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b w:val="1"/>
                <w:bCs w:val="1"/>
                <w:color w:val="auto"/>
              </w:rPr>
              <w:t xml:space="preserve">Address </w:t>
            </w:r>
            <w:r>
              <w:rPr>
                <w:rFonts w:ascii="Arial" w:cs="Arial" w:eastAsia="Arial" w:hAnsi="Arial"/>
                <w:sz w:val="22"/>
                <w:szCs w:val="22"/>
                <w:color w:val="auto"/>
              </w:rPr>
              <w:t>(for an individual, not</w:t>
            </w: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b w:val="1"/>
                <w:bCs w:val="1"/>
                <w:color w:val="auto"/>
              </w:rPr>
              <w:t>Contact</w:t>
            </w:r>
          </w:p>
        </w:tc>
        <w:tc>
          <w:tcPr>
            <w:tcW w:w="144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b w:val="1"/>
                <w:bCs w:val="1"/>
                <w:color w:val="auto"/>
              </w:rPr>
              <w:t xml:space="preserve">No. </w:t>
            </w:r>
            <w:r>
              <w:rPr>
                <w:rFonts w:ascii="Arial" w:cs="Arial" w:eastAsia="Arial" w:hAnsi="Arial"/>
                <w:sz w:val="22"/>
                <w:szCs w:val="22"/>
                <w:color w:val="auto"/>
              </w:rPr>
              <w:t>(for an</w:t>
            </w: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No.</w:t>
            </w: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b w:val="1"/>
                <w:bCs w:val="1"/>
                <w:color w:val="auto"/>
              </w:rPr>
              <w:t>Firm Names</w:t>
            </w:r>
          </w:p>
        </w:tc>
        <w:tc>
          <w:tcPr>
            <w:tcW w:w="1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Name</w:t>
            </w:r>
          </w:p>
        </w:tc>
        <w:tc>
          <w:tcPr>
            <w:tcW w:w="144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bucket address)</w:t>
            </w:r>
          </w:p>
        </w:tc>
        <w:tc>
          <w:tcPr>
            <w:tcW w:w="0" w:type="dxa"/>
            <w:vAlign w:val="bottom"/>
          </w:tcPr>
          <w:p>
            <w:pPr>
              <w:spacing w:after="0"/>
              <w:rPr>
                <w:sz w:val="1"/>
                <w:szCs w:val="1"/>
                <w:color w:val="auto"/>
              </w:rPr>
            </w:pPr>
          </w:p>
        </w:tc>
      </w:tr>
      <w:tr>
        <w:trPr>
          <w:trHeight w:val="176"/>
        </w:trPr>
        <w:tc>
          <w:tcPr>
            <w:tcW w:w="1460" w:type="dxa"/>
            <w:vAlign w:val="bottom"/>
            <w:tcBorders>
              <w:left w:val="single" w:sz="8" w:color="auto"/>
              <w:right w:val="single" w:sz="8" w:color="auto"/>
            </w:tcBorders>
            <w:vMerge w:val="continue"/>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1560" w:type="dxa"/>
            <w:vAlign w:val="bottom"/>
            <w:tcBorders>
              <w:right w:val="single" w:sz="8" w:color="auto"/>
            </w:tcBorders>
            <w:vMerge w:val="continue"/>
          </w:tcPr>
          <w:p>
            <w:pPr>
              <w:spacing w:after="0"/>
              <w:rPr>
                <w:sz w:val="15"/>
                <w:szCs w:val="15"/>
                <w:color w:val="auto"/>
              </w:rPr>
            </w:pPr>
          </w:p>
        </w:tc>
        <w:tc>
          <w:tcPr>
            <w:tcW w:w="1440" w:type="dxa"/>
            <w:vAlign w:val="bottom"/>
            <w:tcBorders>
              <w:right w:val="single" w:sz="8" w:color="auto"/>
            </w:tcBorders>
            <w:vMerge w:val="restart"/>
          </w:tcPr>
          <w:p>
            <w:pPr>
              <w:ind w:left="80"/>
              <w:spacing w:after="0" w:line="245" w:lineRule="exact"/>
              <w:rPr>
                <w:sz w:val="20"/>
                <w:szCs w:val="20"/>
                <w:color w:val="auto"/>
              </w:rPr>
            </w:pPr>
            <w:r>
              <w:rPr>
                <w:rFonts w:ascii="Arial" w:cs="Arial" w:eastAsia="Arial" w:hAnsi="Arial"/>
                <w:sz w:val="22"/>
                <w:szCs w:val="22"/>
                <w:b w:val="1"/>
                <w:bCs w:val="1"/>
                <w:color w:val="auto"/>
              </w:rPr>
              <w:t>Name</w:t>
            </w:r>
          </w:p>
        </w:tc>
        <w:tc>
          <w:tcPr>
            <w:tcW w:w="1440" w:type="dxa"/>
            <w:vAlign w:val="bottom"/>
            <w:tcBorders>
              <w:right w:val="single" w:sz="8" w:color="auto"/>
            </w:tcBorders>
            <w:vMerge w:val="restart"/>
          </w:tcPr>
          <w:p>
            <w:pPr>
              <w:ind w:left="80"/>
              <w:spacing w:after="0" w:line="245" w:lineRule="exact"/>
              <w:rPr>
                <w:sz w:val="20"/>
                <w:szCs w:val="20"/>
                <w:color w:val="auto"/>
              </w:rPr>
            </w:pPr>
            <w:r>
              <w:rPr>
                <w:rFonts w:ascii="Arial" w:cs="Arial" w:eastAsia="Arial" w:hAnsi="Arial"/>
                <w:sz w:val="22"/>
                <w:szCs w:val="22"/>
                <w:color w:val="auto"/>
              </w:rPr>
              <w:t>individual,</w:t>
            </w:r>
          </w:p>
        </w:tc>
        <w:tc>
          <w:tcPr>
            <w:tcW w:w="38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6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3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not generic</w:t>
            </w:r>
          </w:p>
        </w:tc>
        <w:tc>
          <w:tcPr>
            <w:tcW w:w="3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60" w:type="dxa"/>
            <w:vAlign w:val="bottom"/>
            <w:tcBorders>
              <w:left w:val="single" w:sz="8" w:color="auto"/>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helpline)</w:t>
            </w:r>
          </w:p>
        </w:tc>
        <w:tc>
          <w:tcPr>
            <w:tcW w:w="3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0"/>
        </w:trPr>
        <w:tc>
          <w:tcPr>
            <w:tcW w:w="1460" w:type="dxa"/>
            <w:vAlign w:val="bottom"/>
            <w:tcBorders>
              <w:left w:val="single" w:sz="8" w:color="auto"/>
              <w:right w:val="single" w:sz="8" w:color="auto"/>
            </w:tcBorders>
          </w:tcPr>
          <w:p>
            <w:pPr>
              <w:spacing w:after="0"/>
              <w:rPr>
                <w:sz w:val="24"/>
                <w:szCs w:val="24"/>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BK of</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Western</w:t>
            </w:r>
          </w:p>
        </w:tc>
        <w:tc>
          <w:tcPr>
            <w:tcW w:w="14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60" w:type="dxa"/>
            <w:vAlign w:val="bottom"/>
            <w:tcBorders>
              <w:left w:val="single" w:sz="8" w:color="auto"/>
              <w:right w:val="single" w:sz="8" w:color="auto"/>
            </w:tcBorders>
          </w:tcPr>
          <w:p>
            <w:pPr>
              <w:spacing w:after="0"/>
              <w:rPr>
                <w:sz w:val="20"/>
                <w:szCs w:val="20"/>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NYC/MSACAT</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Alliance Bank</w:t>
            </w:r>
          </w:p>
        </w:tc>
        <w:tc>
          <w:tcPr>
            <w:tcW w:w="14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460" w:type="dxa"/>
            <w:vAlign w:val="bottom"/>
            <w:tcBorders>
              <w:left w:val="single" w:sz="8" w:color="auto"/>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If the foregoing deposit/withdrawal at custodian (or DWAC) is not available, then in the name of GTU Ops Inc.; and (ii) further issue depository receipts to WAB as confirmation of WAB’s beneficial interest in the Subscription Shares and mail to WAB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909320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13" w:name="page114"/>
    <w:bookmarkEnd w:id="113"/>
    <w:tbl>
      <w:tblPr>
        <w:tblLayout w:type="fixed"/>
        <w:tblInd w:w="1370" w:type="dxa"/>
        <w:tblCellMar>
          <w:top w:w="0" w:type="dxa"/>
          <w:left w:w="0" w:type="dxa"/>
          <w:bottom w:w="0" w:type="dxa"/>
          <w:right w:w="0" w:type="dxa"/>
        </w:tblCellMar>
      </w:tblPr>
      <w:tr>
        <w:trPr>
          <w:trHeight w:val="461"/>
        </w:trPr>
        <w:tc>
          <w:tcPr>
            <w:tcW w:w="34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Name of Person/Entity</w:t>
            </w:r>
          </w:p>
        </w:tc>
        <w:tc>
          <w:tcPr>
            <w:tcW w:w="3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Address</w:t>
            </w:r>
          </w:p>
        </w:tc>
        <w:tc>
          <w:tcPr>
            <w:tcW w:w="1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EIN/SSN#</w:t>
            </w:r>
          </w:p>
        </w:tc>
        <w:tc>
          <w:tcPr>
            <w:tcW w:w="0" w:type="dxa"/>
            <w:vAlign w:val="bottom"/>
          </w:tcPr>
          <w:p>
            <w:pPr>
              <w:spacing w:after="0"/>
              <w:rPr>
                <w:sz w:val="1"/>
                <w:szCs w:val="1"/>
                <w:color w:val="auto"/>
              </w:rPr>
            </w:pPr>
          </w:p>
        </w:tc>
      </w:tr>
      <w:tr>
        <w:trPr>
          <w:trHeight w:val="186"/>
        </w:trPr>
        <w:tc>
          <w:tcPr>
            <w:tcW w:w="34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440" w:type="dxa"/>
            <w:vAlign w:val="bottom"/>
            <w:tcBorders>
              <w:left w:val="single" w:sz="8" w:color="auto"/>
              <w:right w:val="single" w:sz="8" w:color="auto"/>
            </w:tcBorders>
            <w:vMerge w:val="restart"/>
          </w:tcPr>
          <w:p>
            <w:pPr>
              <w:ind w:left="840"/>
              <w:spacing w:after="0"/>
              <w:rPr>
                <w:sz w:val="20"/>
                <w:szCs w:val="20"/>
                <w:color w:val="auto"/>
              </w:rPr>
            </w:pPr>
            <w:r>
              <w:rPr>
                <w:rFonts w:ascii="Arial" w:cs="Arial" w:eastAsia="Arial" w:hAnsi="Arial"/>
                <w:sz w:val="18"/>
                <w:szCs w:val="18"/>
                <w:color w:val="auto"/>
              </w:rPr>
              <w:t>Western Alliance Bank</w:t>
            </w:r>
          </w:p>
        </w:tc>
        <w:tc>
          <w:tcPr>
            <w:tcW w:w="326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6"/>
                <w:szCs w:val="16"/>
                <w:color w:val="auto"/>
              </w:rPr>
              <w:t>One East Washington St., Suite 1400</w:t>
            </w: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tcBorders>
              <w:left w:val="single" w:sz="8" w:color="auto"/>
              <w:right w:val="single" w:sz="8" w:color="auto"/>
            </w:tcBorders>
            <w:vMerge w:val="continue"/>
          </w:tcPr>
          <w:p>
            <w:pPr>
              <w:spacing w:after="0"/>
              <w:rPr>
                <w:sz w:val="12"/>
                <w:szCs w:val="12"/>
                <w:color w:val="auto"/>
              </w:rPr>
            </w:pPr>
          </w:p>
        </w:tc>
        <w:tc>
          <w:tcPr>
            <w:tcW w:w="3260" w:type="dxa"/>
            <w:vAlign w:val="bottom"/>
            <w:tcBorders>
              <w:right w:val="single" w:sz="8" w:color="auto"/>
            </w:tcBorders>
            <w:vMerge w:val="restart"/>
          </w:tcPr>
          <w:p>
            <w:pPr>
              <w:ind w:left="820"/>
              <w:spacing w:after="0"/>
              <w:rPr>
                <w:sz w:val="20"/>
                <w:szCs w:val="20"/>
                <w:color w:val="auto"/>
              </w:rPr>
            </w:pPr>
            <w:r>
              <w:rPr>
                <w:rFonts w:ascii="Arial" w:cs="Arial" w:eastAsia="Arial" w:hAnsi="Arial"/>
                <w:sz w:val="18"/>
                <w:szCs w:val="18"/>
                <w:color w:val="auto"/>
              </w:rPr>
              <w:t>Phoenix, AZ 85004</w:t>
            </w: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40" w:type="dxa"/>
            <w:vAlign w:val="bottom"/>
            <w:tcBorders>
              <w:left w:val="single" w:sz="8" w:color="auto"/>
              <w:bottom w:val="single" w:sz="8" w:color="auto"/>
              <w:right w:val="single" w:sz="8" w:color="auto"/>
            </w:tcBorders>
          </w:tcPr>
          <w:p>
            <w:pPr>
              <w:spacing w:after="0"/>
              <w:rPr>
                <w:sz w:val="7"/>
                <w:szCs w:val="7"/>
                <w:color w:val="auto"/>
              </w:rPr>
            </w:pPr>
          </w:p>
        </w:tc>
        <w:tc>
          <w:tcPr>
            <w:tcW w:w="3260" w:type="dxa"/>
            <w:vAlign w:val="bottom"/>
            <w:tcBorders>
              <w:bottom w:val="single" w:sz="8" w:color="auto"/>
              <w:right w:val="single" w:sz="8" w:color="auto"/>
            </w:tcBorders>
            <w:vMerge w:val="continue"/>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Noting that WAB (or its designee) will hold the beneficial interest in the Subscription Shares, WAB authorises the Company to enter GTU Ops Inc.'s name in the Company's register of members as the holder of legal title of the Subscription Shares.</w:t>
      </w:r>
    </w:p>
    <w:p>
      <w:pPr>
        <w:spacing w:after="0" w:line="170" w:lineRule="exact"/>
        <w:rPr>
          <w:sz w:val="20"/>
          <w:szCs w:val="20"/>
          <w:color w:val="auto"/>
        </w:rPr>
      </w:pPr>
    </w:p>
    <w:p>
      <w:pPr>
        <w:jc w:val="both"/>
        <w:ind w:left="380" w:hanging="372"/>
        <w:spacing w:after="0" w:line="238" w:lineRule="auto"/>
        <w:tabs>
          <w:tab w:leader="none" w:pos="38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 consideration for the allotment of the Subscription Shares in accordance with the provisions of this Subscription Letter, WAB will irrevocably and unconditionally release and discharge the Company from the Obligations owed by the Company to WAB under the terms of the Loan Documents by operation of the Novation Agreement, pursuant to and in accordance with the terms of that certain Forbearance, Payout, Release and Undertaking, dated the date hereof, between the Company, the Original Borrowers; GroupBy International Ltd. and WAB (the “</w:t>
      </w:r>
      <w:r>
        <w:rPr>
          <w:rFonts w:ascii="Arial" w:cs="Arial" w:eastAsia="Arial" w:hAnsi="Arial"/>
          <w:sz w:val="22"/>
          <w:szCs w:val="22"/>
          <w:b w:val="1"/>
          <w:bCs w:val="1"/>
          <w:color w:val="auto"/>
        </w:rPr>
        <w:t>Payoff Agreement</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jc w:val="both"/>
        <w:ind w:left="380" w:hanging="372"/>
        <w:spacing w:after="0" w:line="233" w:lineRule="auto"/>
        <w:tabs>
          <w:tab w:leader="none" w:pos="38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 Subject to the terms and conditions of this Subscription Letter, the Company shall (i) as soon as practicable, but in no case later than April 15, 2025, prepare and file with the Commission an initial Registration Statement covering the resale by WAB of the Subscription Shares in accordance with applicable Commission rules, regulations and interpretations so as to permit the resale of such Subscription Shares by WAB under Rule 415 at then prevailing market prices (and not fixed prices). The Registration Statement shall contain “Selling Shareholders” and “Plan of Distribution” sections (or similar captioned sections). The Company shall use its commercially reasonable best efforts to have the Registration Statement declared effective by the Commission as soon as practicable, but in no event later than the Effectiveness Deadline. By 9:30 am on the Business Day following the date of effectiveness, the Company shall file with the Commission in accordance with Rule 424 under the 1933 Act the final Prospectus to be used in connection with sales pursuant to such Registration Statement. Prior to the filing of the Registration Statement with the Commission, the Company shall furnish a draft of the Registration Statement to WAB for its review and comment. WAB shall furnish comments on the Registration Statement to the Company within two (2) Business Days of the receipt thereof from the Company.</w:t>
      </w:r>
    </w:p>
    <w:p>
      <w:pPr>
        <w:spacing w:after="0" w:line="182" w:lineRule="exact"/>
        <w:rPr>
          <w:sz w:val="20"/>
          <w:szCs w:val="20"/>
          <w:color w:val="auto"/>
        </w:rPr>
      </w:pPr>
    </w:p>
    <w:p>
      <w:pPr>
        <w:jc w:val="both"/>
        <w:ind w:left="380" w:firstLine="2"/>
        <w:spacing w:after="0" w:line="248" w:lineRule="auto"/>
        <w:tabs>
          <w:tab w:leader="none" w:pos="709" w:val="left"/>
        </w:tabs>
        <w:numPr>
          <w:ilvl w:val="0"/>
          <w:numId w:val="212"/>
        </w:numPr>
        <w:rPr>
          <w:rFonts w:ascii="Arial" w:cs="Arial" w:eastAsia="Arial" w:hAnsi="Arial"/>
          <w:sz w:val="21"/>
          <w:szCs w:val="21"/>
          <w:color w:val="auto"/>
        </w:rPr>
      </w:pPr>
      <w:r>
        <w:rPr>
          <w:rFonts w:ascii="Arial" w:cs="Arial" w:eastAsia="Arial" w:hAnsi="Arial"/>
          <w:sz w:val="21"/>
          <w:szCs w:val="21"/>
          <w:color w:val="auto"/>
        </w:rPr>
        <w:t>If at any time all Subscription Shares are not covered by a Registration Statement filed pursuant to paragraph 4(a) or otherwise, the Company shall use its commercially reasonable efforts to file with the Commission one or more additional Registration Statements so as to cover all of the Subscription Shares not covered by such initial Registration Statement, in each case as soon as practicable (taking into account any position of the staff of the Commission with respect to the date on which the staff of the Commission will permit such additional Registration Statement(s) to be filed with the Commission and the rules and regulations of the Commission). The Company shall use its commercially reasonable efforts to cause each such new Registration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to become effective as soon as reasonably practicable following the filling thereof with the Commission.</w:t>
      </w:r>
    </w:p>
    <w:p>
      <w:pPr>
        <w:spacing w:after="0" w:line="206" w:lineRule="exact"/>
        <w:rPr>
          <w:sz w:val="20"/>
          <w:szCs w:val="20"/>
          <w:color w:val="auto"/>
        </w:rPr>
      </w:pPr>
    </w:p>
    <w:p>
      <w:pPr>
        <w:jc w:val="both"/>
        <w:ind w:firstLine="2"/>
        <w:spacing w:after="0" w:line="232" w:lineRule="auto"/>
        <w:tabs>
          <w:tab w:leader="none" w:pos="4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During the Registration Period, the Company shall (i) promptly prepare and file with the Commission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Commission additional Registration Statements in order to register for resale under the Securities Act all of the Subscription Shares; (iii) cause the related Prospectus to be amended or supplemented by any required Prospectus supplement (subject to the terms of this Subscription Letter), and as so supplemented or amended to be filed pursuant to Rule 424; (iv) respond as promptly as reasonably possible to any comments received from the Commission with respect to a Registration Statement or any amendment thereto and, as promptly as reasonably possible to the extent it will not cause disclosure of material non-public information regarding the Company or cause the loss of confidential treatment by the Company (unless WAB has executed a confidentiality agreement reasonably acceptable to the Company), provide WAB with true and complete copies of all correspondence from and to the Commission relating to a Registration Statement; and (v) comply with the provisions of the Securities Act with respect to the disposition of all Subscription Shares of the Company covered by such Registration Statement until such time as all of such Subscription Shares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Subscription Letter (including pursuant to this paragraph) by reason of the Company’s filing a report on Form 20-F or Form 6-K or any analogous report under the Exchange Act, the Company shall incorporate such report by reference into the Registration Statement, if applicable and permitted, or shall file such amendments or supplements with the Commission on the same day on which the Exchange Act report is filed which created the requirement for the Company to amend or supplement the Registration Statement.</w:t>
      </w:r>
    </w:p>
    <w:p>
      <w:pPr>
        <w:spacing w:after="0" w:line="180" w:lineRule="exact"/>
        <w:rPr>
          <w:rFonts w:ascii="Arial" w:cs="Arial" w:eastAsia="Arial" w:hAnsi="Arial"/>
          <w:sz w:val="22"/>
          <w:szCs w:val="22"/>
          <w:color w:val="auto"/>
        </w:rPr>
      </w:pPr>
    </w:p>
    <w:p>
      <w:pPr>
        <w:jc w:val="both"/>
        <w:ind w:firstLine="2"/>
        <w:spacing w:after="0" w:line="234" w:lineRule="auto"/>
        <w:tabs>
          <w:tab w:leader="none" w:pos="32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Notwithstanding anything contained herein, in the event that the Commission requires the Company to reduce the number of Subscription Shares to be included in a Registration Statement in order to allow the Company to rely on Rule 415 with respect to a Registration Statement, then the Company shall reduce the number of Subscription Shares to be included in such Registration Statement (after consultation with WAB as to the specific Subscription Shares to be removed therefrom) to the maximum number of securities as is permitted to be registered by the Commission. In the event of any reduction in Subscription Shares pursuant to this paragraph, the Company shall use its commercially reasonable efforts to file one or more new Registration Statements with the Commission in accordance with this paragraph 4 until such time as all Subscription Shares have been included in Registration Statements that have</w:t>
      </w:r>
    </w:p>
    <w:p>
      <w:pPr>
        <w:spacing w:after="0" w:line="196"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680085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36"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been declared effective and the Prospectuses contained therein are available for use by WAB.</w:t>
      </w:r>
    </w:p>
    <w:p>
      <w:pPr>
        <w:spacing w:after="0" w:line="206" w:lineRule="exact"/>
        <w:rPr>
          <w:sz w:val="20"/>
          <w:szCs w:val="20"/>
          <w:color w:val="auto"/>
        </w:rPr>
      </w:pPr>
    </w:p>
    <w:p>
      <w:pPr>
        <w:jc w:val="both"/>
        <w:ind w:right="20" w:firstLine="2"/>
        <w:spacing w:after="0" w:line="245" w:lineRule="auto"/>
        <w:tabs>
          <w:tab w:leader="none" w:pos="32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Company shall use its reasonable best efforts to effect such Registration of Subscription Shares pursuant to this Subscription Letter to permit the sale of such Subscription Shares in accordance with the intended plan of distribution thereof, and pursuant thereto the Company shall, as expeditiously as possible:</w:t>
      </w:r>
    </w:p>
    <w:p>
      <w:pPr>
        <w:spacing w:after="0" w:line="170" w:lineRule="exact"/>
        <w:rPr>
          <w:rFonts w:ascii="Arial" w:cs="Arial" w:eastAsia="Arial" w:hAnsi="Arial"/>
          <w:sz w:val="22"/>
          <w:szCs w:val="22"/>
          <w:color w:val="auto"/>
        </w:rPr>
      </w:pPr>
    </w:p>
    <w:p>
      <w:pPr>
        <w:ind w:firstLine="482"/>
        <w:spacing w:after="0" w:line="236" w:lineRule="auto"/>
        <w:tabs>
          <w:tab w:leader="none" w:pos="960" w:val="left"/>
        </w:tabs>
        <w:numPr>
          <w:ilvl w:val="2"/>
          <w:numId w:val="214"/>
        </w:numPr>
        <w:rPr>
          <w:rFonts w:ascii="Arial" w:cs="Arial" w:eastAsia="Arial" w:hAnsi="Arial"/>
          <w:sz w:val="22"/>
          <w:szCs w:val="22"/>
          <w:color w:val="auto"/>
        </w:rPr>
      </w:pPr>
      <w:r>
        <w:rPr>
          <w:rFonts w:ascii="Arial" w:cs="Arial" w:eastAsia="Arial" w:hAnsi="Arial"/>
          <w:sz w:val="22"/>
          <w:szCs w:val="22"/>
          <w:color w:val="auto"/>
        </w:rPr>
        <w:t>prepare and file with the Commission such amendments and post-effective amendments to the Registration Statement, and such supplements to the Prospectus, as may be required by the rules, regulations or instructions applicable to the registration form used by the Company or by the Securities Act or rules and regulations thereunder to keep the Registration Statement effective until all Subscription Shares covered by such Registration Statement are sold in accordance with the intended plan of distribution set forth in such Registration Statement or supplement to the Prospectus;</w:t>
      </w:r>
    </w:p>
    <w:p>
      <w:pPr>
        <w:spacing w:after="0" w:line="181" w:lineRule="exact"/>
        <w:rPr>
          <w:rFonts w:ascii="Arial" w:cs="Arial" w:eastAsia="Arial" w:hAnsi="Arial"/>
          <w:sz w:val="22"/>
          <w:szCs w:val="22"/>
          <w:color w:val="auto"/>
        </w:rPr>
      </w:pPr>
    </w:p>
    <w:p>
      <w:pPr>
        <w:jc w:val="both"/>
        <w:ind w:firstLine="376"/>
        <w:spacing w:after="0" w:line="236" w:lineRule="auto"/>
        <w:tabs>
          <w:tab w:leader="none" w:pos="919" w:val="left"/>
        </w:tabs>
        <w:numPr>
          <w:ilvl w:val="1"/>
          <w:numId w:val="214"/>
        </w:numPr>
        <w:rPr>
          <w:rFonts w:ascii="Arial" w:cs="Arial" w:eastAsia="Arial" w:hAnsi="Arial"/>
          <w:sz w:val="22"/>
          <w:szCs w:val="22"/>
          <w:color w:val="auto"/>
        </w:rPr>
      </w:pPr>
      <w:r>
        <w:rPr>
          <w:rFonts w:ascii="Arial" w:cs="Arial" w:eastAsia="Arial" w:hAnsi="Arial"/>
          <w:sz w:val="22"/>
          <w:szCs w:val="22"/>
          <w:color w:val="auto"/>
        </w:rPr>
        <w:t>prior to filing a Registration Statement or Prospectus, or any amendment or supplement thereto, furnish without charge to WAB,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WAB may request in order to facilitate the disposition of the Subscription Shares owned by WAB;</w:t>
      </w:r>
    </w:p>
    <w:p>
      <w:pPr>
        <w:spacing w:after="0" w:line="181" w:lineRule="exact"/>
        <w:rPr>
          <w:rFonts w:ascii="Arial" w:cs="Arial" w:eastAsia="Arial" w:hAnsi="Arial"/>
          <w:sz w:val="22"/>
          <w:szCs w:val="22"/>
          <w:color w:val="auto"/>
        </w:rPr>
      </w:pPr>
    </w:p>
    <w:p>
      <w:pPr>
        <w:ind w:firstLine="482"/>
        <w:spacing w:after="0" w:line="234" w:lineRule="auto"/>
        <w:tabs>
          <w:tab w:leader="none" w:pos="960" w:val="left"/>
        </w:tabs>
        <w:numPr>
          <w:ilvl w:val="2"/>
          <w:numId w:val="215"/>
        </w:numPr>
        <w:rPr>
          <w:rFonts w:ascii="Arial" w:cs="Arial" w:eastAsia="Arial" w:hAnsi="Arial"/>
          <w:sz w:val="22"/>
          <w:szCs w:val="22"/>
          <w:color w:val="auto"/>
        </w:rPr>
      </w:pPr>
      <w:r>
        <w:rPr>
          <w:rFonts w:ascii="Arial" w:cs="Arial" w:eastAsia="Arial" w:hAnsi="Arial"/>
          <w:sz w:val="22"/>
          <w:szCs w:val="22"/>
          <w:color w:val="auto"/>
        </w:rPr>
        <w:t>use its reasonable best efforts to (i) register or qualify the Subscription Shares covered by the Registration Statement under such securities or “blue sky” laws of such jurisdictions in the United States as WAB may request, to the extent required by applicable law and (ii) take such action necessary to cause such Subscription Shares covered by the Registration Statement to be registered with or approved by such other Governmental Authorities as may be necessary by virtue of the business and operations of the Company and do any and all other acts and things that may be necessary or advisable to enable WAB to consummate the disposition of such Subscription Shares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9" w:lineRule="exact"/>
        <w:rPr>
          <w:rFonts w:ascii="Arial" w:cs="Arial" w:eastAsia="Arial" w:hAnsi="Arial"/>
          <w:sz w:val="22"/>
          <w:szCs w:val="22"/>
          <w:color w:val="auto"/>
        </w:rPr>
      </w:pPr>
    </w:p>
    <w:p>
      <w:pPr>
        <w:ind w:right="40" w:firstLine="482"/>
        <w:spacing w:after="0" w:line="259" w:lineRule="auto"/>
        <w:tabs>
          <w:tab w:leader="none" w:pos="960" w:val="left"/>
        </w:tabs>
        <w:numPr>
          <w:ilvl w:val="2"/>
          <w:numId w:val="215"/>
        </w:numPr>
        <w:rPr>
          <w:rFonts w:ascii="Arial" w:cs="Arial" w:eastAsia="Arial" w:hAnsi="Arial"/>
          <w:sz w:val="22"/>
          <w:szCs w:val="22"/>
          <w:color w:val="auto"/>
        </w:rPr>
      </w:pPr>
      <w:r>
        <w:rPr>
          <w:rFonts w:ascii="Arial" w:cs="Arial" w:eastAsia="Arial" w:hAnsi="Arial"/>
          <w:sz w:val="22"/>
          <w:szCs w:val="22"/>
          <w:color w:val="auto"/>
        </w:rPr>
        <w:t>cause all such Subscription Shares to be listed on each securities exchange or automated quotation system on which similar securities issued by the Company are then listed;</w:t>
      </w:r>
    </w:p>
    <w:p>
      <w:pPr>
        <w:spacing w:after="0" w:line="156" w:lineRule="exact"/>
        <w:rPr>
          <w:rFonts w:ascii="Arial" w:cs="Arial" w:eastAsia="Arial" w:hAnsi="Arial"/>
          <w:sz w:val="22"/>
          <w:szCs w:val="22"/>
          <w:color w:val="auto"/>
        </w:rPr>
      </w:pPr>
    </w:p>
    <w:p>
      <w:pPr>
        <w:ind w:right="20" w:firstLine="482"/>
        <w:spacing w:after="0" w:line="259" w:lineRule="auto"/>
        <w:tabs>
          <w:tab w:leader="none" w:pos="960" w:val="left"/>
        </w:tabs>
        <w:numPr>
          <w:ilvl w:val="2"/>
          <w:numId w:val="215"/>
        </w:numPr>
        <w:rPr>
          <w:rFonts w:ascii="Arial" w:cs="Arial" w:eastAsia="Arial" w:hAnsi="Arial"/>
          <w:sz w:val="22"/>
          <w:szCs w:val="22"/>
          <w:color w:val="auto"/>
        </w:rPr>
      </w:pPr>
      <w:r>
        <w:rPr>
          <w:rFonts w:ascii="Arial" w:cs="Arial" w:eastAsia="Arial" w:hAnsi="Arial"/>
          <w:sz w:val="22"/>
          <w:szCs w:val="22"/>
          <w:color w:val="auto"/>
        </w:rPr>
        <w:t>provide a transfer agent and registrar for all such Subscription Shares no later than the effective date of such Registration Statement;</w:t>
      </w:r>
    </w:p>
    <w:p>
      <w:pPr>
        <w:spacing w:after="0" w:line="156" w:lineRule="exact"/>
        <w:rPr>
          <w:rFonts w:ascii="Arial" w:cs="Arial" w:eastAsia="Arial" w:hAnsi="Arial"/>
          <w:sz w:val="22"/>
          <w:szCs w:val="22"/>
          <w:color w:val="auto"/>
        </w:rPr>
      </w:pPr>
    </w:p>
    <w:p>
      <w:pPr>
        <w:jc w:val="both"/>
        <w:ind w:firstLine="482"/>
        <w:spacing w:after="0" w:line="245" w:lineRule="auto"/>
        <w:tabs>
          <w:tab w:leader="none" w:pos="960" w:val="left"/>
        </w:tabs>
        <w:numPr>
          <w:ilvl w:val="2"/>
          <w:numId w:val="215"/>
        </w:numPr>
        <w:rPr>
          <w:rFonts w:ascii="Arial" w:cs="Arial" w:eastAsia="Arial" w:hAnsi="Arial"/>
          <w:sz w:val="22"/>
          <w:szCs w:val="22"/>
          <w:color w:val="auto"/>
        </w:rPr>
      </w:pPr>
      <w:r>
        <w:rPr>
          <w:rFonts w:ascii="Arial" w:cs="Arial" w:eastAsia="Arial" w:hAnsi="Arial"/>
          <w:sz w:val="22"/>
          <w:szCs w:val="22"/>
          <w:color w:val="auto"/>
        </w:rPr>
        <w:t>advise WAB promptly after it shall receive notice or obtain knowledge thereof, of the issuance of any stop order by the Commission suspending the effectiveness of such Registration Statement or the initiation or threatening of</w:t>
      </w:r>
    </w:p>
    <w:p>
      <w:pPr>
        <w:spacing w:after="0" w:line="183"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680085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36" w:right="339" w:bottom="1440" w:gutter="0" w:footer="0" w:header="0"/>
        </w:sectPr>
      </w:pPr>
    </w:p>
    <w:bookmarkStart w:id="116" w:name="page117"/>
    <w:bookmarkEnd w:id="116"/>
    <w:p>
      <w:pPr>
        <w:ind w:left="380" w:right="20"/>
        <w:spacing w:after="0" w:line="259" w:lineRule="auto"/>
        <w:rPr>
          <w:sz w:val="20"/>
          <w:szCs w:val="20"/>
          <w:color w:val="auto"/>
        </w:rPr>
      </w:pPr>
      <w:r>
        <w:rPr>
          <w:rFonts w:ascii="Arial" w:cs="Arial" w:eastAsia="Arial" w:hAnsi="Arial"/>
          <w:sz w:val="22"/>
          <w:szCs w:val="22"/>
          <w:color w:val="auto"/>
        </w:rPr>
        <w:t>any proceeding for such purpose and promptly use its reasonable best efforts to prevent the issuance of any stop order or to obtain its withdrawal if such stop order should be issued;</w:t>
      </w:r>
    </w:p>
    <w:p>
      <w:pPr>
        <w:spacing w:after="0" w:line="156" w:lineRule="exact"/>
        <w:rPr>
          <w:sz w:val="20"/>
          <w:szCs w:val="20"/>
          <w:color w:val="auto"/>
        </w:rPr>
      </w:pPr>
    </w:p>
    <w:p>
      <w:pPr>
        <w:ind w:left="380" w:right="60" w:firstLine="482"/>
        <w:spacing w:after="0" w:line="259" w:lineRule="auto"/>
        <w:tabs>
          <w:tab w:leader="none" w:pos="1340" w:val="left"/>
        </w:tabs>
        <w:numPr>
          <w:ilvl w:val="2"/>
          <w:numId w:val="216"/>
        </w:numPr>
        <w:rPr>
          <w:rFonts w:ascii="Arial" w:cs="Arial" w:eastAsia="Arial" w:hAnsi="Arial"/>
          <w:sz w:val="22"/>
          <w:szCs w:val="22"/>
          <w:color w:val="auto"/>
        </w:rPr>
      </w:pPr>
      <w:r>
        <w:rPr>
          <w:rFonts w:ascii="Arial" w:cs="Arial" w:eastAsia="Arial" w:hAnsi="Arial"/>
          <w:sz w:val="22"/>
          <w:szCs w:val="22"/>
          <w:color w:val="auto"/>
        </w:rPr>
        <w:t>advise WAB promptly after the Company receives notice thereof, of the time when such registration statement has been declared effective;</w:t>
      </w:r>
    </w:p>
    <w:p>
      <w:pPr>
        <w:spacing w:after="0" w:line="156" w:lineRule="exact"/>
        <w:rPr>
          <w:rFonts w:ascii="Arial" w:cs="Arial" w:eastAsia="Arial" w:hAnsi="Arial"/>
          <w:sz w:val="22"/>
          <w:szCs w:val="22"/>
          <w:color w:val="auto"/>
        </w:rPr>
      </w:pPr>
    </w:p>
    <w:p>
      <w:pPr>
        <w:jc w:val="both"/>
        <w:ind w:left="380" w:right="20" w:firstLine="482"/>
        <w:spacing w:after="0"/>
        <w:tabs>
          <w:tab w:leader="none" w:pos="1340" w:val="left"/>
        </w:tabs>
        <w:numPr>
          <w:ilvl w:val="2"/>
          <w:numId w:val="216"/>
        </w:numPr>
        <w:rPr>
          <w:rFonts w:ascii="Arial" w:cs="Arial" w:eastAsia="Arial" w:hAnsi="Arial"/>
          <w:sz w:val="22"/>
          <w:szCs w:val="22"/>
          <w:color w:val="auto"/>
        </w:rPr>
      </w:pPr>
      <w:r>
        <w:rPr>
          <w:rFonts w:ascii="Arial" w:cs="Arial" w:eastAsia="Arial" w:hAnsi="Arial"/>
          <w:sz w:val="22"/>
          <w:szCs w:val="22"/>
          <w:color w:val="auto"/>
        </w:rPr>
        <w:t>notify WAB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provided herein;</w:t>
      </w:r>
    </w:p>
    <w:p>
      <w:pPr>
        <w:spacing w:after="0" w:line="176" w:lineRule="exact"/>
        <w:rPr>
          <w:rFonts w:ascii="Arial" w:cs="Arial" w:eastAsia="Arial" w:hAnsi="Arial"/>
          <w:sz w:val="22"/>
          <w:szCs w:val="22"/>
          <w:color w:val="auto"/>
        </w:rPr>
      </w:pPr>
    </w:p>
    <w:p>
      <w:pPr>
        <w:ind w:left="380" w:firstLine="482"/>
        <w:spacing w:after="0"/>
        <w:tabs>
          <w:tab w:leader="none" w:pos="1340" w:val="left"/>
        </w:tabs>
        <w:numPr>
          <w:ilvl w:val="2"/>
          <w:numId w:val="216"/>
        </w:numPr>
        <w:rPr>
          <w:rFonts w:ascii="Arial" w:cs="Arial" w:eastAsia="Arial" w:hAnsi="Arial"/>
          <w:sz w:val="22"/>
          <w:szCs w:val="22"/>
          <w:color w:val="auto"/>
        </w:rPr>
      </w:pPr>
      <w:r>
        <w:rPr>
          <w:rFonts w:ascii="Arial" w:cs="Arial" w:eastAsia="Arial" w:hAnsi="Arial"/>
          <w:sz w:val="22"/>
          <w:szCs w:val="22"/>
          <w:color w:val="auto"/>
        </w:rPr>
        <w:t>permit WAB and its Representatives to participate, at each such Person’s own expense, in the preparation of the Registration Statement, and cause the Company’s officers, directors and employees to supply all information reasonably requested by WAB or its Representatives in connection with the Registration; provided, however, that WAB shall inform its Representatives of the confidential nature of the process; and</w:t>
      </w:r>
    </w:p>
    <w:p>
      <w:pPr>
        <w:spacing w:after="0" w:line="176" w:lineRule="exact"/>
        <w:rPr>
          <w:rFonts w:ascii="Arial" w:cs="Arial" w:eastAsia="Arial" w:hAnsi="Arial"/>
          <w:sz w:val="22"/>
          <w:szCs w:val="22"/>
          <w:color w:val="auto"/>
        </w:rPr>
      </w:pPr>
    </w:p>
    <w:p>
      <w:pPr>
        <w:ind w:left="380" w:right="20" w:firstLine="2"/>
        <w:spacing w:after="0" w:line="259" w:lineRule="auto"/>
        <w:tabs>
          <w:tab w:leader="none" w:pos="860" w:val="left"/>
        </w:tabs>
        <w:numPr>
          <w:ilvl w:val="1"/>
          <w:numId w:val="217"/>
        </w:numPr>
        <w:rPr>
          <w:rFonts w:ascii="Arial" w:cs="Arial" w:eastAsia="Arial" w:hAnsi="Arial"/>
          <w:sz w:val="22"/>
          <w:szCs w:val="22"/>
          <w:color w:val="auto"/>
        </w:rPr>
      </w:pPr>
      <w:r>
        <w:rPr>
          <w:rFonts w:ascii="Arial" w:cs="Arial" w:eastAsia="Arial" w:hAnsi="Arial"/>
          <w:sz w:val="22"/>
          <w:szCs w:val="22"/>
          <w:color w:val="auto"/>
        </w:rPr>
        <w:t>otherwise, in good faith, cooperate reasonably with, and take such customary actions as may reasonably be requested by WAB in connection with such Registration.</w:t>
      </w:r>
    </w:p>
    <w:p>
      <w:pPr>
        <w:spacing w:after="0" w:line="156" w:lineRule="exact"/>
        <w:rPr>
          <w:rFonts w:ascii="Arial" w:cs="Arial" w:eastAsia="Arial" w:hAnsi="Arial"/>
          <w:sz w:val="22"/>
          <w:szCs w:val="22"/>
          <w:color w:val="auto"/>
        </w:rPr>
      </w:pPr>
    </w:p>
    <w:p>
      <w:pPr>
        <w:jc w:val="both"/>
        <w:ind w:firstLine="8"/>
        <w:spacing w:after="0" w:line="236" w:lineRule="auto"/>
        <w:tabs>
          <w:tab w:leader="none" w:pos="4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Company shall promptly notify WAB in writing if a Registration Statement or Prospectus contains a Misstatement and, upon receipt of such written notice from the Company, WAB shall forthwith discontinue disposition of Subscription Shares until he, she or it is advised in writing by the Company that the use of the Prospectus may be resumed or has received copies of a supplemented or amended Prospectus correcting the Misstatement, provided that the Company hereby covenants promptly to prepare and file any required supplement or amendment correcting any Misstatement promptly after the time of such notice and, if necessary, to request the immediate effectiveness thereof.</w:t>
      </w:r>
    </w:p>
    <w:p>
      <w:pPr>
        <w:spacing w:after="0" w:line="175" w:lineRule="exact"/>
        <w:rPr>
          <w:rFonts w:ascii="Arial" w:cs="Arial" w:eastAsia="Arial" w:hAnsi="Arial"/>
          <w:sz w:val="22"/>
          <w:szCs w:val="22"/>
          <w:color w:val="auto"/>
        </w:rPr>
      </w:pPr>
    </w:p>
    <w:p>
      <w:pPr>
        <w:jc w:val="both"/>
        <w:ind w:firstLine="8"/>
        <w:spacing w:after="0" w:line="234" w:lineRule="auto"/>
        <w:tabs>
          <w:tab w:leader="none" w:pos="4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As long as WAB shall own Subscription Shares,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WAB with true and complete copies of all such filings (unless such filings are otherwise available on EDGAR). The Company further covenants that it shall take such further action as WAB may reasonably request, all to the extent required from time to time to enable WAB to sell Subscription Shares held by WAB without registration under the Securities Act within the limitation of the exemptions provided by Rule 144 (if then available) or Rule 144A, including providing any legal opinions (at the Company’s expense). Upon the request of WAB, the Company shall deliver to WAB a written certification of a duly authorized officer as to whether it has complied with such requirements.</w:t>
      </w:r>
    </w:p>
    <w:p>
      <w:pPr>
        <w:spacing w:after="0" w:line="179" w:lineRule="exact"/>
        <w:rPr>
          <w:rFonts w:ascii="Arial" w:cs="Arial" w:eastAsia="Arial" w:hAnsi="Arial"/>
          <w:sz w:val="22"/>
          <w:szCs w:val="22"/>
          <w:color w:val="auto"/>
        </w:rPr>
      </w:pPr>
    </w:p>
    <w:p>
      <w:pPr>
        <w:ind w:right="40" w:firstLine="8"/>
        <w:spacing w:after="0" w:line="259" w:lineRule="auto"/>
        <w:tabs>
          <w:tab w:leader="none" w:pos="4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Company shall not hereafter enter into any agreement with respect to its securities which is inconsistent with or violates the rights granted to WAB in this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17" w:name="page118"/>
    <w:bookmarkEnd w:id="117"/>
    <w:p>
      <w:pPr>
        <w:ind w:right="20"/>
        <w:spacing w:after="0" w:line="259" w:lineRule="auto"/>
        <w:rPr>
          <w:sz w:val="20"/>
          <w:szCs w:val="20"/>
          <w:color w:val="auto"/>
        </w:rPr>
      </w:pPr>
      <w:r>
        <w:rPr>
          <w:rFonts w:ascii="Arial" w:cs="Arial" w:eastAsia="Arial" w:hAnsi="Arial"/>
          <w:sz w:val="22"/>
          <w:szCs w:val="22"/>
          <w:color w:val="auto"/>
        </w:rPr>
        <w:t>Agreement and in the event of any conflict between any such agreement or agreements and this Agreement, the terms of this Agreement shall prevail.</w:t>
      </w:r>
    </w:p>
    <w:p>
      <w:pPr>
        <w:spacing w:after="0" w:line="156" w:lineRule="exact"/>
        <w:rPr>
          <w:sz w:val="20"/>
          <w:szCs w:val="20"/>
          <w:color w:val="auto"/>
        </w:rPr>
      </w:pPr>
    </w:p>
    <w:p>
      <w:pPr>
        <w:jc w:val="both"/>
        <w:ind w:right="20" w:firstLine="8"/>
        <w:spacing w:after="0" w:line="243" w:lineRule="auto"/>
        <w:tabs>
          <w:tab w:leader="none" w:pos="4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Company’s obligations set forth in this paragraph 4, including its obligations to file Registration Statements, obtain effectiveness of Registration Statements, and maintain the continuous effectiveness of any Registration Statement that has been declared effective shall begin on the date hereof and continue until the date on which WAB has sold all of the Subscription Shares (the “</w:t>
      </w:r>
      <w:r>
        <w:rPr>
          <w:rFonts w:ascii="Arial" w:cs="Arial" w:eastAsia="Arial" w:hAnsi="Arial"/>
          <w:sz w:val="22"/>
          <w:szCs w:val="22"/>
          <w:b w:val="1"/>
          <w:bCs w:val="1"/>
          <w:color w:val="auto"/>
        </w:rPr>
        <w:t>Registration Period</w:t>
      </w:r>
      <w:r>
        <w:rPr>
          <w:rFonts w:ascii="Arial" w:cs="Arial" w:eastAsia="Arial" w:hAnsi="Arial"/>
          <w:sz w:val="22"/>
          <w:szCs w:val="22"/>
          <w:color w:val="auto"/>
        </w:rPr>
        <w:t>”).</w:t>
      </w:r>
    </w:p>
    <w:p>
      <w:pPr>
        <w:spacing w:after="0" w:line="163" w:lineRule="exact"/>
        <w:rPr>
          <w:sz w:val="20"/>
          <w:szCs w:val="20"/>
          <w:color w:val="auto"/>
        </w:rPr>
      </w:pPr>
    </w:p>
    <w:p>
      <w:pPr>
        <w:jc w:val="both"/>
        <w:ind w:left="380" w:hanging="372"/>
        <w:spacing w:after="0" w:line="233" w:lineRule="auto"/>
        <w:tabs>
          <w:tab w:leader="none" w:pos="3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 The Company agrees to indemnify and hold harmless WAB, its officers and directors and agents and each Person who controls WAB (within the meaning of Section 15 of the Securities Act or Section 20 of the Exchange Act) against all expense, loss, judgment, claim, damage, liability or action (including attorneys’ fees) (“</w:t>
      </w:r>
      <w:r>
        <w:rPr>
          <w:rFonts w:ascii="Arial" w:cs="Arial" w:eastAsia="Arial" w:hAnsi="Arial"/>
          <w:sz w:val="22"/>
          <w:szCs w:val="22"/>
          <w:b w:val="1"/>
          <w:bCs w:val="1"/>
          <w:color w:val="auto"/>
        </w:rPr>
        <w:t>Loss</w:t>
      </w:r>
      <w:r>
        <w:rPr>
          <w:rFonts w:ascii="Arial" w:cs="Arial" w:eastAsia="Arial" w:hAnsi="Arial"/>
          <w:sz w:val="22"/>
          <w:szCs w:val="22"/>
          <w:color w:val="auto"/>
        </w:rPr>
        <w:t>”), to the extent such Loss is attributable to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or any violation by the Company of the Securities Act or any rule or regulation promulgated thereunder applicable to the Company and the Company shall promptly reimburse WAB for any legal and any other expenses reasonably incurred by WAB in connection with investigating and defending any such expense, loss, judgment, claim, damage, liability or action whether or not WAB is a party to any such claim or action and including reasonable legal and other expenses incurred in giving testimony or furnishing documents in response to a subpoena or otherwise, except, in each case, insofar as the same are caused by or contained in any information furnished in writing to the Company by WAB or on behalf of WAB by its legal counsel expressly for use therein.</w:t>
      </w:r>
    </w:p>
    <w:p>
      <w:pPr>
        <w:spacing w:after="0" w:line="179" w:lineRule="exact"/>
        <w:rPr>
          <w:rFonts w:ascii="Arial" w:cs="Arial" w:eastAsia="Arial" w:hAnsi="Arial"/>
          <w:sz w:val="22"/>
          <w:szCs w:val="22"/>
          <w:color w:val="auto"/>
        </w:rPr>
      </w:pPr>
    </w:p>
    <w:p>
      <w:pPr>
        <w:jc w:val="both"/>
        <w:ind w:left="380" w:firstLine="2"/>
        <w:spacing w:after="0" w:line="234" w:lineRule="auto"/>
        <w:tabs>
          <w:tab w:leader="none" w:pos="709" w:val="left"/>
        </w:tabs>
        <w:numPr>
          <w:ilvl w:val="1"/>
          <w:numId w:val="220"/>
        </w:numPr>
        <w:rPr>
          <w:rFonts w:ascii="Arial" w:cs="Arial" w:eastAsia="Arial" w:hAnsi="Arial"/>
          <w:sz w:val="22"/>
          <w:szCs w:val="22"/>
          <w:color w:val="auto"/>
        </w:rPr>
      </w:pPr>
      <w:r>
        <w:rPr>
          <w:rFonts w:ascii="Arial" w:cs="Arial" w:eastAsia="Arial" w:hAnsi="Arial"/>
          <w:sz w:val="22"/>
          <w:szCs w:val="22"/>
          <w:color w:val="auto"/>
        </w:rPr>
        <w:t>WAB shall furnish to the Company in writing such information as the Company reasonably requests for use in connection with any such Registration Statement or Prospectus and, to the extent permitted by law, shall indemnify the Company and its directors, officers, employees, consultant, agents and professional advisers and each Person who controls (within the meaning of the Securities Act) the Company against any losses, claims, damages, liabilities and expenses (including reasonable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so furnished in writing by WAB or on behalf of WAB by its legal counsel expressly for use therein; provided that WAB’s liability shall be limited to the net proceeds received by WAB from the sale of Subscription Shares pursuant to the Registration Statement.</w:t>
      </w:r>
    </w:p>
    <w:p>
      <w:pPr>
        <w:spacing w:after="0" w:line="175" w:lineRule="exact"/>
        <w:rPr>
          <w:rFonts w:ascii="Arial" w:cs="Arial" w:eastAsia="Arial" w:hAnsi="Arial"/>
          <w:sz w:val="22"/>
          <w:szCs w:val="22"/>
          <w:color w:val="auto"/>
        </w:rPr>
      </w:pPr>
    </w:p>
    <w:p>
      <w:pPr>
        <w:jc w:val="both"/>
        <w:ind w:left="380" w:firstLine="2"/>
        <w:spacing w:after="0" w:line="245" w:lineRule="auto"/>
        <w:tabs>
          <w:tab w:leader="none" w:pos="86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Any Person entitled to indemnification herein shall (i) give prompt written notice to the indemnifying party of any claim with respect to which it seeks indemnification (provided, however, that the failure to give prompt notice shall not impair any Person’s right to indemnification hereunder to the extent such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18" w:name="page119"/>
    <w:bookmarkEnd w:id="118"/>
    <w:p>
      <w:pPr>
        <w:jc w:val="both"/>
        <w:ind w:left="380"/>
        <w:spacing w:after="0" w:line="244" w:lineRule="auto"/>
        <w:rPr>
          <w:sz w:val="20"/>
          <w:szCs w:val="20"/>
          <w:color w:val="auto"/>
        </w:rPr>
      </w:pPr>
      <w:r>
        <w:rPr>
          <w:rFonts w:ascii="Arial" w:cs="Arial" w:eastAsia="Arial" w:hAnsi="Arial"/>
          <w:sz w:val="21"/>
          <w:szCs w:val="21"/>
          <w:color w:val="auto"/>
        </w:rPr>
        <w:t>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1"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(d) The indemnification provided for under this Subscription Letter shall remain in full force and effect regardless of any investigation made by or on behalf of the indemnified party or any officer, director or controlling Person of such indemnified party and shall survive the transfer of securities.</w:t>
      </w:r>
    </w:p>
    <w:p>
      <w:pPr>
        <w:spacing w:after="0" w:line="170" w:lineRule="exact"/>
        <w:rPr>
          <w:sz w:val="20"/>
          <w:szCs w:val="20"/>
          <w:color w:val="auto"/>
        </w:rPr>
      </w:pPr>
    </w:p>
    <w:p>
      <w:pPr>
        <w:jc w:val="both"/>
        <w:ind w:left="380"/>
        <w:spacing w:after="0" w:line="229" w:lineRule="auto"/>
        <w:rPr>
          <w:sz w:val="20"/>
          <w:szCs w:val="20"/>
          <w:color w:val="auto"/>
        </w:rPr>
      </w:pPr>
      <w:r>
        <w:rPr>
          <w:rFonts w:ascii="Arial" w:cs="Arial" w:eastAsia="Arial" w:hAnsi="Arial"/>
          <w:sz w:val="22"/>
          <w:szCs w:val="22"/>
          <w:color w:val="auto"/>
        </w:rPr>
        <w:t>(e) If the indemnification provided under this paragraph 5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provided, however, that the liability of WAB under this paragraph 5(e) shall be limited to the amount of the net</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proceeds received by WAB in such offering giving rise to such liability. The amount paid or payable by a party as a result of the losses or other liabilities referred to above shall be deemed to include, subject to the limitations set forth in paragraphs 5(a), (b) and (c) above, any legal or other fees, charges or expenses reasonably incurred by such party in connection with any investigation or proceeding. The parties hereto agree that it would not be just and equitable if contribution pursuant to this paragraph 5(e) were determined by pro 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16884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NTD: Customary to be limited to net proceeds, as evidenced by Rezolve precedents</w:t>
      </w: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19" w:name="page120"/>
    <w:bookmarkEnd w:id="119"/>
    <w:p>
      <w:pPr>
        <w:jc w:val="both"/>
        <w:ind w:left="380"/>
        <w:spacing w:after="0"/>
        <w:rPr>
          <w:sz w:val="20"/>
          <w:szCs w:val="20"/>
          <w:color w:val="auto"/>
        </w:rPr>
      </w:pPr>
      <w:r>
        <w:rPr>
          <w:rFonts w:ascii="Arial" w:cs="Arial" w:eastAsia="Arial" w:hAnsi="Arial"/>
          <w:sz w:val="22"/>
          <w:szCs w:val="22"/>
          <w:color w:val="auto"/>
        </w:rPr>
        <w:t>allocation or by any other method of allocation, which does not take account of the equitable considerations referred to in this paragraph 5(e). No Person guilty of fraudulent misrepresentation (within the meaning of Section 11(f) of the Securities Act) shall be entitled to contribution pursuant to this paragraph 5(e) from any Person who was not guilty of such fraudulent misrepresentation.</w:t>
      </w:r>
    </w:p>
    <w:p>
      <w:pPr>
        <w:spacing w:after="0" w:line="176" w:lineRule="exact"/>
        <w:rPr>
          <w:sz w:val="20"/>
          <w:szCs w:val="20"/>
          <w:color w:val="auto"/>
        </w:rPr>
      </w:pPr>
    </w:p>
    <w:p>
      <w:pPr>
        <w:jc w:val="both"/>
        <w:ind w:left="380" w:hanging="372"/>
        <w:spacing w:after="0" w:line="248" w:lineRule="auto"/>
        <w:tabs>
          <w:tab w:leader="none" w:pos="38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WAB hereby agrees and undertakes with the Company that it shall not dispose or cause to be disposed of any Subscription Shares on any one Trading Day to the extent such sales, transfers or other dispositions are in aggregate on that Trading Day more than 5% of the average total reported volume of shares of the Company traded in the Trading Market for the five (5) Trading Days prior to such Trading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 shall not apply to any privately negotiated sale of Subscription Shares or any sales of Subscription Shares made in accordance with Rule 144, Rule 144A or any other exemptions from Registration. All dispositions, transfers or sales of the Subscription Shares must be effected from or through only one broker or dealer on any Trading Day.</w:t>
      </w:r>
    </w:p>
    <w:p>
      <w:pPr>
        <w:spacing w:after="0" w:line="170" w:lineRule="exact"/>
        <w:rPr>
          <w:rFonts w:ascii="Arial" w:cs="Arial" w:eastAsia="Arial" w:hAnsi="Arial"/>
          <w:sz w:val="21"/>
          <w:szCs w:val="21"/>
          <w:color w:val="auto"/>
        </w:rPr>
      </w:pPr>
    </w:p>
    <w:p>
      <w:pPr>
        <w:jc w:val="both"/>
        <w:ind w:left="380" w:hanging="372"/>
        <w:spacing w:after="0" w:line="249" w:lineRule="auto"/>
        <w:tabs>
          <w:tab w:leader="none" w:pos="38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Within five (5) Trading Days after the earlier of: (i) the transfer or sale of any or all of the Subscription Shares to a person other than an Affiliate of WAB in which the aggregate proceeds received directly, or indirectly, by WAB or by a nominee of WAB as a result of such sale(s) and/or transfer(s) are in excess of USD$12,300,000; and (ii) the Long Stop Date (such earlier date, the “</w:t>
      </w:r>
      <w:r>
        <w:rPr>
          <w:rFonts w:ascii="Arial" w:cs="Arial" w:eastAsia="Arial" w:hAnsi="Arial"/>
          <w:sz w:val="21"/>
          <w:szCs w:val="21"/>
          <w:b w:val="1"/>
          <w:bCs w:val="1"/>
          <w:color w:val="auto"/>
        </w:rPr>
        <w:t>Trigger Date</w:t>
      </w:r>
      <w:r>
        <w:rPr>
          <w:rFonts w:ascii="Arial" w:cs="Arial" w:eastAsia="Arial" w:hAnsi="Arial"/>
          <w:sz w:val="21"/>
          <w:szCs w:val="21"/>
          <w:color w:val="auto"/>
        </w:rPr>
        <w:t>”), WAB undertakes to pay the Company in cash, in cleared funds, to such bank account as directed by the Company to WAB in writing, an amount equal to the Surplus. In the event that the Surplus is equal to zero or is a negative number, then this provision shall not apply.</w:t>
      </w:r>
    </w:p>
    <w:p>
      <w:pPr>
        <w:spacing w:after="0" w:line="170" w:lineRule="exact"/>
        <w:rPr>
          <w:rFonts w:ascii="Arial" w:cs="Arial" w:eastAsia="Arial" w:hAnsi="Arial"/>
          <w:sz w:val="21"/>
          <w:szCs w:val="21"/>
          <w:color w:val="auto"/>
        </w:rPr>
      </w:pPr>
    </w:p>
    <w:p>
      <w:pPr>
        <w:ind w:left="380" w:hanging="372"/>
        <w:spacing w:after="0" w:line="259" w:lineRule="auto"/>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By signing and returning a copy of this Subscription Letter, the Company confirms, represents and warrants to WAB that:</w:t>
      </w:r>
    </w:p>
    <w:p>
      <w:pPr>
        <w:spacing w:after="0" w:line="156" w:lineRule="exact"/>
        <w:rPr>
          <w:rFonts w:ascii="Arial" w:cs="Arial" w:eastAsia="Arial" w:hAnsi="Arial"/>
          <w:sz w:val="22"/>
          <w:szCs w:val="22"/>
          <w:color w:val="auto"/>
        </w:rPr>
      </w:pPr>
    </w:p>
    <w:p>
      <w:pPr>
        <w:jc w:val="both"/>
        <w:ind w:left="760" w:hanging="378"/>
        <w:spacing w:after="0"/>
        <w:tabs>
          <w:tab w:leader="none" w:pos="76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the Company and its directors have the requisite power under the articles of association of the Company to allot and issue the Subscription Shares in accordance with this Subscription Letter and complete all other arrangements in connection with the Subscription as contemplated by this Subscription Letter without further sanction or consent from any member of the Company or otherwise;</w:t>
      </w:r>
    </w:p>
    <w:p>
      <w:pPr>
        <w:spacing w:after="0" w:line="176" w:lineRule="exact"/>
        <w:rPr>
          <w:rFonts w:ascii="Arial" w:cs="Arial" w:eastAsia="Arial" w:hAnsi="Arial"/>
          <w:sz w:val="22"/>
          <w:szCs w:val="22"/>
          <w:color w:val="auto"/>
        </w:rPr>
      </w:pPr>
    </w:p>
    <w:p>
      <w:pPr>
        <w:jc w:val="both"/>
        <w:ind w:left="760" w:hanging="378"/>
        <w:spacing w:after="0" w:line="238" w:lineRule="auto"/>
        <w:tabs>
          <w:tab w:leader="none" w:pos="76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this Subscription Letter constitutes the legal, valid and binding obligation of the Company, enforceable against the Company in accordance with its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76" w:lineRule="exact"/>
        <w:rPr>
          <w:rFonts w:ascii="Arial" w:cs="Arial" w:eastAsia="Arial" w:hAnsi="Arial"/>
          <w:sz w:val="22"/>
          <w:szCs w:val="22"/>
          <w:color w:val="auto"/>
        </w:rPr>
      </w:pPr>
    </w:p>
    <w:p>
      <w:pPr>
        <w:jc w:val="both"/>
        <w:ind w:left="760" w:hanging="378"/>
        <w:spacing w:after="0"/>
        <w:tabs>
          <w:tab w:leader="none" w:pos="76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the execution, delivery and performance of and compliance with this Subscription Letter by the Company will not violate or conflict with, or result in a default under, any terms of the Company’s organizational documents, any of its agreements or any applicable law, rule, regulation or order or require any consent or approval which has not been obtained;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20" w:name="page121"/>
    <w:bookmarkEnd w:id="120"/>
    <w:p>
      <w:pPr>
        <w:jc w:val="both"/>
        <w:ind w:left="760" w:hanging="378"/>
        <w:spacing w:after="0"/>
        <w:tabs>
          <w:tab w:leader="none" w:pos="76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issue and allotment of the Subscription Shares will be in accordance with the Financial Services and Markets Act 2000, the Companies Act 2006, the Securities Act and the Exchange Act, the rules and regulations of The Nasdaq National Market, LLC and any other applicable exchange and all other applicable laws and regulations;</w:t>
      </w:r>
    </w:p>
    <w:p>
      <w:pPr>
        <w:spacing w:after="0" w:line="176" w:lineRule="exact"/>
        <w:rPr>
          <w:rFonts w:ascii="Arial" w:cs="Arial" w:eastAsia="Arial" w:hAnsi="Arial"/>
          <w:sz w:val="22"/>
          <w:szCs w:val="22"/>
          <w:color w:val="auto"/>
        </w:rPr>
      </w:pPr>
    </w:p>
    <w:p>
      <w:pPr>
        <w:jc w:val="both"/>
        <w:ind w:left="760" w:hanging="378"/>
        <w:spacing w:after="0"/>
        <w:tabs>
          <w:tab w:leader="none" w:pos="76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that the Subscription Shares will be validly issued and fully paid, and shall be issued without imposition of any “restricted securities” legends or contractual lock-up legends (except as otherwise specifically set forth in this Subscription Letter), such that the Subscription Shares are free and clear of all liens, encumbrances and other restrictions on the pledge, sale or other transfer of such Subscription Shares; and</w:t>
      </w:r>
    </w:p>
    <w:p>
      <w:pPr>
        <w:spacing w:after="0" w:line="176" w:lineRule="exact"/>
        <w:rPr>
          <w:rFonts w:ascii="Arial" w:cs="Arial" w:eastAsia="Arial" w:hAnsi="Arial"/>
          <w:sz w:val="22"/>
          <w:szCs w:val="22"/>
          <w:color w:val="auto"/>
        </w:rPr>
      </w:pPr>
    </w:p>
    <w:p>
      <w:pPr>
        <w:ind w:left="760" w:hanging="378"/>
        <w:spacing w:after="0"/>
        <w:tabs>
          <w:tab w:leader="none" w:pos="76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no stamp duty or stamp duty reserve tax is payable in connection with the issue of the Subscription Shares.</w:t>
      </w:r>
    </w:p>
    <w:p>
      <w:pPr>
        <w:spacing w:after="0" w:line="206" w:lineRule="exact"/>
        <w:rPr>
          <w:rFonts w:ascii="Arial" w:cs="Arial" w:eastAsia="Arial" w:hAnsi="Arial"/>
          <w:sz w:val="22"/>
          <w:szCs w:val="22"/>
          <w:color w:val="auto"/>
        </w:rPr>
      </w:pPr>
    </w:p>
    <w:p>
      <w:pPr>
        <w:ind w:left="380" w:hanging="372"/>
        <w:spacing w:after="0" w:line="259" w:lineRule="auto"/>
        <w:tabs>
          <w:tab w:leader="none" w:pos="3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By signing and returning a copy of this Subscription Letter, WAB confirms, represents and warrants to the Company that:</w:t>
      </w:r>
    </w:p>
    <w:p>
      <w:pPr>
        <w:spacing w:after="0" w:line="156" w:lineRule="exact"/>
        <w:rPr>
          <w:rFonts w:ascii="Arial" w:cs="Arial" w:eastAsia="Arial" w:hAnsi="Arial"/>
          <w:sz w:val="22"/>
          <w:szCs w:val="22"/>
          <w:color w:val="auto"/>
        </w:rPr>
      </w:pPr>
    </w:p>
    <w:p>
      <w:pPr>
        <w:jc w:val="both"/>
        <w:ind w:left="760" w:hanging="378"/>
        <w:spacing w:after="0" w:line="238" w:lineRule="auto"/>
        <w:tabs>
          <w:tab w:leader="none" w:pos="76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this Subscription Letter constitutes the legal, valid and binding obligation of WAB, enforceable against WAB in accordance with its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 and</w:t>
      </w:r>
    </w:p>
    <w:p>
      <w:pPr>
        <w:spacing w:after="0" w:line="176" w:lineRule="exact"/>
        <w:rPr>
          <w:rFonts w:ascii="Arial" w:cs="Arial" w:eastAsia="Arial" w:hAnsi="Arial"/>
          <w:sz w:val="22"/>
          <w:szCs w:val="22"/>
          <w:color w:val="auto"/>
        </w:rPr>
      </w:pPr>
    </w:p>
    <w:p>
      <w:pPr>
        <w:jc w:val="both"/>
        <w:ind w:left="760" w:right="20" w:hanging="378"/>
        <w:spacing w:after="0"/>
        <w:tabs>
          <w:tab w:leader="none" w:pos="76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the execution, delivery and performance of and compliance with this Subscription Letter by WAB will not violate or conflict with, or result in a default under, any terms of the WAB's organizational documents, any of its agreements or any applicable law, rule, regulation or order or require any consent or approval which has not been obtained.</w:t>
      </w:r>
    </w:p>
    <w:p>
      <w:pPr>
        <w:spacing w:after="0" w:line="176" w:lineRule="exact"/>
        <w:rPr>
          <w:rFonts w:ascii="Arial" w:cs="Arial" w:eastAsia="Arial" w:hAnsi="Arial"/>
          <w:sz w:val="22"/>
          <w:szCs w:val="22"/>
          <w:color w:val="auto"/>
        </w:rPr>
      </w:pPr>
    </w:p>
    <w:p>
      <w:pPr>
        <w:jc w:val="both"/>
        <w:ind w:left="380" w:hanging="372"/>
        <w:spacing w:after="0"/>
        <w:tabs>
          <w:tab w:leader="none" w:pos="3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The Company agrees that the Subscription Shares which are the subject of the Subscription will rank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in all respects with all other Ordinary Shares of the Company in issue at the time that the Subscription Shares are issued. In particular, they will rank in full for all dividends and other distributions thereafter declared, paid or made in respect of the ordinary share capital of the Company.</w:t>
      </w:r>
    </w:p>
    <w:p>
      <w:pPr>
        <w:spacing w:after="0" w:line="176" w:lineRule="exact"/>
        <w:rPr>
          <w:rFonts w:ascii="Arial" w:cs="Arial" w:eastAsia="Arial" w:hAnsi="Arial"/>
          <w:sz w:val="22"/>
          <w:szCs w:val="22"/>
          <w:color w:val="auto"/>
        </w:rPr>
      </w:pPr>
    </w:p>
    <w:p>
      <w:pPr>
        <w:ind w:left="380" w:hanging="372"/>
        <w:spacing w:after="0" w:line="259" w:lineRule="auto"/>
        <w:tabs>
          <w:tab w:leader="none" w:pos="3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In the event that the Allotment Time has not taken place by 23:59 (UK time) on August 15, 2025, this Subscription Letter shall terminate and cease to have any effect.</w:t>
      </w:r>
    </w:p>
    <w:p>
      <w:pPr>
        <w:spacing w:after="0" w:line="156" w:lineRule="exact"/>
        <w:rPr>
          <w:rFonts w:ascii="Arial" w:cs="Arial" w:eastAsia="Arial" w:hAnsi="Arial"/>
          <w:sz w:val="22"/>
          <w:szCs w:val="22"/>
          <w:color w:val="auto"/>
        </w:rPr>
      </w:pPr>
    </w:p>
    <w:p>
      <w:pPr>
        <w:ind w:left="380" w:hanging="372"/>
        <w:spacing w:after="0"/>
        <w:tabs>
          <w:tab w:leader="none" w:pos="3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For the purposes of this Subscription Letter:</w:t>
      </w:r>
    </w:p>
    <w:p>
      <w:pPr>
        <w:spacing w:after="0" w:line="204" w:lineRule="exact"/>
        <w:rPr>
          <w:rFonts w:ascii="Arial" w:cs="Arial" w:eastAsia="Arial" w:hAnsi="Arial"/>
          <w:sz w:val="22"/>
          <w:szCs w:val="22"/>
          <w:color w:val="auto"/>
        </w:rPr>
      </w:pPr>
    </w:p>
    <w:p>
      <w:pPr>
        <w:ind w:left="760" w:hanging="378"/>
        <w:spacing w:after="0" w:line="261" w:lineRule="auto"/>
        <w:tabs>
          <w:tab w:leader="none" w:pos="76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any person which is Controlled by, Controls or is under common Control with, such person.</w:t>
      </w:r>
    </w:p>
    <w:p>
      <w:pPr>
        <w:spacing w:after="0" w:line="151" w:lineRule="exact"/>
        <w:rPr>
          <w:rFonts w:ascii="Arial" w:cs="Arial" w:eastAsia="Arial" w:hAnsi="Arial"/>
          <w:sz w:val="22"/>
          <w:szCs w:val="22"/>
          <w:color w:val="auto"/>
        </w:rPr>
      </w:pPr>
    </w:p>
    <w:p>
      <w:pPr>
        <w:ind w:left="760" w:hanging="378"/>
        <w:spacing w:after="0" w:line="261" w:lineRule="auto"/>
        <w:tabs>
          <w:tab w:leader="none" w:pos="76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Allotment Time</w:t>
      </w:r>
      <w:r>
        <w:rPr>
          <w:rFonts w:ascii="Arial" w:cs="Arial" w:eastAsia="Arial" w:hAnsi="Arial"/>
          <w:sz w:val="22"/>
          <w:szCs w:val="22"/>
          <w:color w:val="auto"/>
        </w:rPr>
        <w:t>" means immediately after the time at which all of the novations contemplated by the Novation Agreement having taken place (subject to paragraph 11 above).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21" w:name="page122"/>
    <w:bookmarkEnd w:id="121"/>
    <w:p>
      <w:pPr>
        <w:ind w:left="380" w:hanging="378"/>
        <w:spacing w:after="0" w:line="261" w:lineRule="auto"/>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other day on which commercial banks in New York, New York are authorized or required by law to remain closed.</w:t>
      </w:r>
    </w:p>
    <w:p>
      <w:pPr>
        <w:spacing w:after="0" w:line="151" w:lineRule="exact"/>
        <w:rPr>
          <w:rFonts w:ascii="Arial" w:cs="Arial" w:eastAsia="Arial" w:hAnsi="Arial"/>
          <w:sz w:val="22"/>
          <w:szCs w:val="22"/>
          <w:color w:val="auto"/>
        </w:rPr>
      </w:pPr>
    </w:p>
    <w:p>
      <w:pPr>
        <w:ind w:left="380" w:hanging="378"/>
        <w:spacing w:after="0"/>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Securities and Exchange Commission.</w:t>
      </w:r>
    </w:p>
    <w:p>
      <w:pPr>
        <w:spacing w:after="0" w:line="206" w:lineRule="exact"/>
        <w:rPr>
          <w:rFonts w:ascii="Arial" w:cs="Arial" w:eastAsia="Arial" w:hAnsi="Arial"/>
          <w:sz w:val="22"/>
          <w:szCs w:val="22"/>
          <w:color w:val="auto"/>
        </w:rPr>
      </w:pPr>
    </w:p>
    <w:p>
      <w:pPr>
        <w:jc w:val="both"/>
        <w:ind w:left="380" w:hanging="378"/>
        <w:spacing w:after="0" w:line="235" w:lineRule="auto"/>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with respect to the relevant person: (i) the direct or indirect ownership or control of more than 50% (fifty per cent) of the (a) ownership interests, or (b) voting power at the general meeting or a similar body, of that person; (ii) the right or ability to (a) appoint or remove or (b) direct the appointment or removal of, such number of the members of the management board or a similar body of that person with the decisive voting power in such body; or (iii) possession, directly or indirectly, of the power to direct or cause the direction of the controlled body's management or policies, whether through the ownership of voting securities, by contract or otherwise, and the terms "</w:t>
      </w:r>
      <w:r>
        <w:rPr>
          <w:rFonts w:ascii="Arial" w:cs="Arial" w:eastAsia="Arial" w:hAnsi="Arial"/>
          <w:sz w:val="22"/>
          <w:szCs w:val="22"/>
          <w:b w:val="1"/>
          <w:bCs w:val="1"/>
          <w:color w:val="auto"/>
        </w:rPr>
        <w:t>Controlled by</w:t>
      </w:r>
      <w:r>
        <w:rPr>
          <w:rFonts w:ascii="Arial" w:cs="Arial" w:eastAsia="Arial" w:hAnsi="Arial"/>
          <w:sz w:val="22"/>
          <w:szCs w:val="22"/>
          <w:color w:val="auto"/>
        </w:rPr>
        <w:t>", "</w:t>
      </w:r>
      <w:r>
        <w:rPr>
          <w:rFonts w:ascii="Arial" w:cs="Arial" w:eastAsia="Arial" w:hAnsi="Arial"/>
          <w:sz w:val="22"/>
          <w:szCs w:val="22"/>
          <w:b w:val="1"/>
          <w:bCs w:val="1"/>
          <w:color w:val="auto"/>
        </w:rPr>
        <w:t>Controls</w:t>
      </w:r>
      <w:r>
        <w:rPr>
          <w:rFonts w:ascii="Arial" w:cs="Arial" w:eastAsia="Arial" w:hAnsi="Arial"/>
          <w:sz w:val="22"/>
          <w:szCs w:val="22"/>
          <w:color w:val="auto"/>
        </w:rPr>
        <w:t>" and "</w:t>
      </w:r>
      <w:r>
        <w:rPr>
          <w:rFonts w:ascii="Arial" w:cs="Arial" w:eastAsia="Arial" w:hAnsi="Arial"/>
          <w:sz w:val="22"/>
          <w:szCs w:val="22"/>
          <w:b w:val="1"/>
          <w:bCs w:val="1"/>
          <w:color w:val="auto"/>
        </w:rPr>
        <w:t>under common Control</w:t>
      </w:r>
      <w:r>
        <w:rPr>
          <w:rFonts w:ascii="Arial" w:cs="Arial" w:eastAsia="Arial" w:hAnsi="Arial"/>
          <w:sz w:val="22"/>
          <w:szCs w:val="22"/>
          <w:color w:val="auto"/>
        </w:rPr>
        <w:t>" shall be construed accordingly.</w:t>
      </w:r>
    </w:p>
    <w:p>
      <w:pPr>
        <w:spacing w:after="0" w:line="178" w:lineRule="exact"/>
        <w:rPr>
          <w:rFonts w:ascii="Arial" w:cs="Arial" w:eastAsia="Arial" w:hAnsi="Arial"/>
          <w:sz w:val="22"/>
          <w:szCs w:val="22"/>
          <w:color w:val="auto"/>
        </w:rPr>
      </w:pPr>
    </w:p>
    <w:p>
      <w:pPr>
        <w:jc w:val="both"/>
        <w:ind w:left="380" w:hanging="378"/>
        <w:spacing w:after="0" w:line="238" w:lineRule="auto"/>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Effectiveness Deadline</w:t>
      </w:r>
      <w:r>
        <w:rPr>
          <w:rFonts w:ascii="Arial" w:cs="Arial" w:eastAsia="Arial" w:hAnsi="Arial"/>
          <w:sz w:val="22"/>
          <w:szCs w:val="22"/>
          <w:color w:val="auto"/>
        </w:rPr>
        <w:t>” means July 31, 2025, provided, however, in the event the Company is notified by the Commission that the Registration Statement will not be reviewed or is no longer subject to further review and comments, the Effectiveness Deadline as to the Registration Statement shall be the second (2nd) Business Day following the date on which the Company is so notified if such date precedes the date required above.</w:t>
      </w:r>
    </w:p>
    <w:p>
      <w:pPr>
        <w:spacing w:after="0" w:line="176" w:lineRule="exact"/>
        <w:rPr>
          <w:rFonts w:ascii="Arial" w:cs="Arial" w:eastAsia="Arial" w:hAnsi="Arial"/>
          <w:sz w:val="22"/>
          <w:szCs w:val="22"/>
          <w:color w:val="auto"/>
        </w:rPr>
      </w:pPr>
    </w:p>
    <w:p>
      <w:pPr>
        <w:ind w:left="380" w:hanging="378"/>
        <w:spacing w:after="0"/>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it may be amended from time to time.</w:t>
      </w:r>
    </w:p>
    <w:p>
      <w:pPr>
        <w:spacing w:after="0" w:line="206" w:lineRule="exact"/>
        <w:rPr>
          <w:rFonts w:ascii="Arial" w:cs="Arial" w:eastAsia="Arial" w:hAnsi="Arial"/>
          <w:sz w:val="22"/>
          <w:szCs w:val="22"/>
          <w:color w:val="auto"/>
        </w:rPr>
      </w:pPr>
    </w:p>
    <w:p>
      <w:pPr>
        <w:ind w:left="380" w:hanging="378"/>
        <w:spacing w:after="0" w:line="261" w:lineRule="auto"/>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F-1</w:t>
      </w:r>
      <w:r>
        <w:rPr>
          <w:rFonts w:ascii="Arial" w:cs="Arial" w:eastAsia="Arial" w:hAnsi="Arial"/>
          <w:sz w:val="22"/>
          <w:szCs w:val="22"/>
          <w:color w:val="auto"/>
        </w:rPr>
        <w:t>” shall mean a Registration Statement on Form F-1 or any comparable successor form or forms thereto.</w:t>
      </w:r>
    </w:p>
    <w:p>
      <w:pPr>
        <w:spacing w:after="0" w:line="151" w:lineRule="exact"/>
        <w:rPr>
          <w:rFonts w:ascii="Arial" w:cs="Arial" w:eastAsia="Arial" w:hAnsi="Arial"/>
          <w:sz w:val="22"/>
          <w:szCs w:val="22"/>
          <w:color w:val="auto"/>
        </w:rPr>
      </w:pPr>
    </w:p>
    <w:p>
      <w:pPr>
        <w:jc w:val="both"/>
        <w:ind w:left="380" w:hanging="378"/>
        <w:spacing w:after="0" w:line="245" w:lineRule="auto"/>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70" w:lineRule="exact"/>
        <w:rPr>
          <w:rFonts w:ascii="Arial" w:cs="Arial" w:eastAsia="Arial" w:hAnsi="Arial"/>
          <w:sz w:val="22"/>
          <w:szCs w:val="22"/>
          <w:color w:val="auto"/>
        </w:rPr>
      </w:pPr>
    </w:p>
    <w:p>
      <w:pPr>
        <w:ind w:left="380" w:hanging="378"/>
        <w:spacing w:after="0"/>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Documents</w:t>
      </w:r>
      <w:r>
        <w:rPr>
          <w:rFonts w:ascii="Arial" w:cs="Arial" w:eastAsia="Arial" w:hAnsi="Arial"/>
          <w:sz w:val="22"/>
          <w:szCs w:val="22"/>
          <w:color w:val="auto"/>
        </w:rPr>
        <w:t>" has the meaning given to such term in the Payoff Agreement.</w:t>
      </w:r>
    </w:p>
    <w:p>
      <w:pPr>
        <w:spacing w:after="0" w:line="206" w:lineRule="exact"/>
        <w:rPr>
          <w:rFonts w:ascii="Arial" w:cs="Arial" w:eastAsia="Arial" w:hAnsi="Arial"/>
          <w:sz w:val="22"/>
          <w:szCs w:val="22"/>
          <w:color w:val="auto"/>
        </w:rPr>
      </w:pPr>
    </w:p>
    <w:p>
      <w:pPr>
        <w:ind w:left="380" w:hanging="378"/>
        <w:spacing w:after="0"/>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Long Stop Date</w:t>
      </w:r>
      <w:r>
        <w:rPr>
          <w:rFonts w:ascii="Arial" w:cs="Arial" w:eastAsia="Arial" w:hAnsi="Arial"/>
          <w:sz w:val="22"/>
          <w:szCs w:val="22"/>
          <w:color w:val="auto"/>
        </w:rPr>
        <w:t>" means the date which is two hundred forty (240) days after the Allotment Time.</w:t>
      </w:r>
    </w:p>
    <w:p>
      <w:pPr>
        <w:spacing w:after="0" w:line="206" w:lineRule="exact"/>
        <w:rPr>
          <w:rFonts w:ascii="Arial" w:cs="Arial" w:eastAsia="Arial" w:hAnsi="Arial"/>
          <w:sz w:val="22"/>
          <w:szCs w:val="22"/>
          <w:color w:val="auto"/>
        </w:rPr>
      </w:pPr>
    </w:p>
    <w:p>
      <w:pPr>
        <w:jc w:val="both"/>
        <w:ind w:left="380" w:hanging="378"/>
        <w:spacing w:after="0"/>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Misstatement</w:t>
      </w:r>
      <w:r>
        <w:rPr>
          <w:rFonts w:ascii="Arial" w:cs="Arial" w:eastAsia="Arial" w:hAnsi="Arial"/>
          <w:sz w:val="22"/>
          <w:szCs w:val="22"/>
          <w:color w:val="auto"/>
        </w:rPr>
        <w:t>” shall mean an untrue statement of a material fact or an omission to state a material fact required to be stated in a Registration Statement or Prospectus, or necessary to make the statements in a Registration Statement or Prospectus (and in the case of any Prospectus and any preliminary Prospectus, in the light of the circumstances under which they were made) not misleading.</w:t>
      </w:r>
    </w:p>
    <w:p>
      <w:pPr>
        <w:spacing w:after="0" w:line="176" w:lineRule="exact"/>
        <w:rPr>
          <w:rFonts w:ascii="Arial" w:cs="Arial" w:eastAsia="Arial" w:hAnsi="Arial"/>
          <w:sz w:val="22"/>
          <w:szCs w:val="22"/>
          <w:color w:val="auto"/>
        </w:rPr>
      </w:pPr>
    </w:p>
    <w:p>
      <w:pPr>
        <w:ind w:left="380" w:right="20" w:hanging="378"/>
        <w:spacing w:after="0" w:line="261" w:lineRule="auto"/>
        <w:tabs>
          <w:tab w:leader="none" w:pos="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Novation Agreement</w:t>
      </w:r>
      <w:r>
        <w:rPr>
          <w:rFonts w:ascii="Arial" w:cs="Arial" w:eastAsia="Arial" w:hAnsi="Arial"/>
          <w:sz w:val="22"/>
          <w:szCs w:val="22"/>
          <w:color w:val="auto"/>
        </w:rPr>
        <w:t>" means that certain Novation Agreement entered into on or around the date of this Subscription Letter, by and among: (i) the</w:t>
      </w:r>
    </w:p>
    <w:p>
      <w:pPr>
        <w:spacing w:after="0" w:line="167"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680085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34" w:right="339" w:bottom="1440" w:gutter="0" w:footer="0" w:header="0"/>
        </w:sectPr>
      </w:pPr>
    </w:p>
    <w:bookmarkStart w:id="122" w:name="page123"/>
    <w:bookmarkEnd w:id="122"/>
    <w:p>
      <w:pPr>
        <w:jc w:val="both"/>
        <w:ind w:left="380"/>
        <w:spacing w:after="0" w:line="238" w:lineRule="auto"/>
        <w:rPr>
          <w:sz w:val="20"/>
          <w:szCs w:val="20"/>
          <w:color w:val="auto"/>
        </w:rPr>
      </w:pPr>
      <w:r>
        <w:rPr>
          <w:rFonts w:ascii="Arial" w:cs="Arial" w:eastAsia="Arial" w:hAnsi="Arial"/>
          <w:sz w:val="22"/>
          <w:szCs w:val="22"/>
          <w:color w:val="auto"/>
        </w:rPr>
        <w:t>Original Borrowers; (ii) GroupBy International Ltd.; (iii) the Company; and (iv) WAB, pursuant to which all the benefits, obligations and liabilities of the Original Borrowers and GroupBy International Ltd. under the Loan Documents are to be novated to the Company and the Company agrees to assume the relevant benefits, obligations and liabilities of the Borrowers and GroupBy International Ltd under the Loan Documents on such terms and conditions as are set forth in the Novation Agreement.</w:t>
      </w:r>
    </w:p>
    <w:p>
      <w:pPr>
        <w:spacing w:after="0" w:line="175" w:lineRule="exact"/>
        <w:rPr>
          <w:sz w:val="20"/>
          <w:szCs w:val="20"/>
          <w:color w:val="auto"/>
        </w:rPr>
      </w:pPr>
    </w:p>
    <w:p>
      <w:pPr>
        <w:ind w:left="380" w:hanging="378"/>
        <w:spacing w:after="0"/>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Obligations</w:t>
      </w:r>
      <w:r>
        <w:rPr>
          <w:rFonts w:ascii="Arial" w:cs="Arial" w:eastAsia="Arial" w:hAnsi="Arial"/>
          <w:sz w:val="22"/>
          <w:szCs w:val="22"/>
          <w:color w:val="auto"/>
        </w:rPr>
        <w:t>" has the meaning given to such terms in the Payoff Agreement.</w:t>
      </w:r>
    </w:p>
    <w:p>
      <w:pPr>
        <w:spacing w:after="0" w:line="206" w:lineRule="exact"/>
        <w:rPr>
          <w:rFonts w:ascii="Arial" w:cs="Arial" w:eastAsia="Arial" w:hAnsi="Arial"/>
          <w:sz w:val="22"/>
          <w:szCs w:val="22"/>
          <w:color w:val="auto"/>
        </w:rPr>
      </w:pPr>
    </w:p>
    <w:p>
      <w:pPr>
        <w:ind w:left="380" w:hanging="378"/>
        <w:spacing w:after="0"/>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b w:val="1"/>
          <w:bCs w:val="1"/>
          <w:color w:val="auto"/>
        </w:rPr>
        <w:t>Ordinary Shares</w:t>
      </w:r>
      <w:r>
        <w:rPr>
          <w:rFonts w:ascii="Arial" w:cs="Arial" w:eastAsia="Arial" w:hAnsi="Arial"/>
          <w:sz w:val="22"/>
          <w:szCs w:val="22"/>
          <w:color w:val="auto"/>
        </w:rPr>
        <w:t>" means the ordinary shares, par value £0.0001 per share, of the Company.</w:t>
      </w:r>
    </w:p>
    <w:p>
      <w:pPr>
        <w:spacing w:after="0" w:line="233" w:lineRule="exact"/>
        <w:rPr>
          <w:rFonts w:ascii="Arial" w:cs="Arial" w:eastAsia="Arial" w:hAnsi="Arial"/>
          <w:sz w:val="22"/>
          <w:szCs w:val="22"/>
          <w:color w:val="auto"/>
        </w:rPr>
      </w:pPr>
    </w:p>
    <w:p>
      <w:pPr>
        <w:ind w:left="380" w:hanging="378"/>
        <w:spacing w:after="0" w:line="261" w:lineRule="auto"/>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Borrowers</w:t>
      </w:r>
      <w:r>
        <w:rPr>
          <w:rFonts w:ascii="Arial" w:cs="Arial" w:eastAsia="Arial" w:hAnsi="Arial"/>
          <w:sz w:val="22"/>
          <w:szCs w:val="22"/>
          <w:color w:val="auto"/>
        </w:rPr>
        <w:t>" means GroupBy Inc., an Ontario corporation, and GroupBy USA Inc., a Delaware corporation.</w:t>
      </w:r>
    </w:p>
    <w:p>
      <w:pPr>
        <w:spacing w:after="0" w:line="151" w:lineRule="exact"/>
        <w:rPr>
          <w:rFonts w:ascii="Arial" w:cs="Arial" w:eastAsia="Arial" w:hAnsi="Arial"/>
          <w:sz w:val="22"/>
          <w:szCs w:val="22"/>
          <w:color w:val="auto"/>
        </w:rPr>
      </w:pPr>
    </w:p>
    <w:p>
      <w:pPr>
        <w:jc w:val="both"/>
        <w:ind w:left="380" w:hanging="378"/>
        <w:spacing w:after="0" w:line="245" w:lineRule="auto"/>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sole proprietorship, partnership, limited liability company, joint venture, trust, incorporated organization, association, corporation, institution, public benefit corporation, Governmental Authority or any other entity.</w:t>
      </w:r>
    </w:p>
    <w:p>
      <w:pPr>
        <w:spacing w:after="0" w:line="170" w:lineRule="exact"/>
        <w:rPr>
          <w:rFonts w:ascii="Arial" w:cs="Arial" w:eastAsia="Arial" w:hAnsi="Arial"/>
          <w:sz w:val="22"/>
          <w:szCs w:val="22"/>
          <w:color w:val="auto"/>
        </w:rPr>
      </w:pPr>
    </w:p>
    <w:p>
      <w:pPr>
        <w:jc w:val="both"/>
        <w:ind w:left="380" w:right="20" w:hanging="378"/>
        <w:spacing w:after="0" w:line="245" w:lineRule="auto"/>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Prospectus</w:t>
      </w:r>
      <w:r>
        <w:rPr>
          <w:rFonts w:ascii="Arial" w:cs="Arial" w:eastAsia="Arial" w:hAnsi="Arial"/>
          <w:sz w:val="22"/>
          <w:szCs w:val="2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70" w:lineRule="exact"/>
        <w:rPr>
          <w:rFonts w:ascii="Arial" w:cs="Arial" w:eastAsia="Arial" w:hAnsi="Arial"/>
          <w:sz w:val="22"/>
          <w:szCs w:val="22"/>
          <w:color w:val="auto"/>
        </w:rPr>
      </w:pPr>
    </w:p>
    <w:p>
      <w:pPr>
        <w:jc w:val="both"/>
        <w:ind w:left="380" w:hanging="378"/>
        <w:spacing w:after="0" w:line="245" w:lineRule="auto"/>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w:t>
      </w:r>
      <w:r>
        <w:rPr>
          <w:rFonts w:ascii="Arial" w:cs="Arial" w:eastAsia="Arial" w:hAnsi="Arial"/>
          <w:sz w:val="22"/>
          <w:szCs w:val="22"/>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0" w:lineRule="exact"/>
        <w:rPr>
          <w:rFonts w:ascii="Arial" w:cs="Arial" w:eastAsia="Arial" w:hAnsi="Arial"/>
          <w:sz w:val="22"/>
          <w:szCs w:val="22"/>
          <w:color w:val="auto"/>
        </w:rPr>
      </w:pPr>
    </w:p>
    <w:p>
      <w:pPr>
        <w:jc w:val="both"/>
        <w:ind w:left="380" w:hanging="378"/>
        <w:spacing w:after="0"/>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Statement</w:t>
      </w:r>
      <w:r>
        <w:rPr>
          <w:rFonts w:ascii="Arial" w:cs="Arial" w:eastAsia="Arial" w:hAnsi="Arial"/>
          <w:sz w:val="22"/>
          <w:szCs w:val="22"/>
          <w:color w:val="auto"/>
        </w:rPr>
        <w:t>” shall mean any registration statement that covers the Subscription Shares pursuant to the provisions of this Subscription Letter,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6" w:lineRule="exact"/>
        <w:rPr>
          <w:rFonts w:ascii="Arial" w:cs="Arial" w:eastAsia="Arial" w:hAnsi="Arial"/>
          <w:sz w:val="22"/>
          <w:szCs w:val="22"/>
          <w:color w:val="auto"/>
        </w:rPr>
      </w:pPr>
    </w:p>
    <w:p>
      <w:pPr>
        <w:ind w:left="380" w:hanging="378"/>
        <w:spacing w:after="0" w:line="285" w:lineRule="auto"/>
        <w:tabs>
          <w:tab w:leader="none" w:pos="38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Representatives</w:t>
      </w:r>
      <w:r>
        <w:rPr>
          <w:rFonts w:ascii="Arial" w:cs="Arial" w:eastAsia="Arial" w:hAnsi="Arial"/>
          <w:sz w:val="21"/>
          <w:szCs w:val="21"/>
          <w:color w:val="auto"/>
        </w:rPr>
        <w:t>” means WAB’s and its Affiliates or its or their respective directors, officers, employees and authorized representatives (including attorneys, accountants, consultants, bankers and financial advisors).</w:t>
      </w:r>
    </w:p>
    <w:p>
      <w:pPr>
        <w:spacing w:after="0" w:line="128" w:lineRule="exact"/>
        <w:rPr>
          <w:rFonts w:ascii="Arial" w:cs="Arial" w:eastAsia="Arial" w:hAnsi="Arial"/>
          <w:sz w:val="21"/>
          <w:szCs w:val="21"/>
          <w:color w:val="auto"/>
        </w:rPr>
      </w:pPr>
    </w:p>
    <w:p>
      <w:pPr>
        <w:ind w:left="380" w:hanging="378"/>
        <w:spacing w:after="0"/>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means Rule 144 under the Securities Act, as such rule may be amended from time to time.</w:t>
      </w:r>
    </w:p>
    <w:p>
      <w:pPr>
        <w:spacing w:after="0" w:line="206" w:lineRule="exact"/>
        <w:rPr>
          <w:rFonts w:ascii="Arial" w:cs="Arial" w:eastAsia="Arial" w:hAnsi="Arial"/>
          <w:sz w:val="22"/>
          <w:szCs w:val="22"/>
          <w:color w:val="auto"/>
        </w:rPr>
      </w:pPr>
    </w:p>
    <w:p>
      <w:pPr>
        <w:ind w:left="380" w:hanging="378"/>
        <w:spacing w:after="0"/>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w:t>
      </w:r>
      <w:r>
        <w:rPr>
          <w:rFonts w:ascii="Arial" w:cs="Arial" w:eastAsia="Arial" w:hAnsi="Arial"/>
          <w:sz w:val="22"/>
          <w:szCs w:val="22"/>
          <w:color w:val="auto"/>
        </w:rPr>
        <w:t>” means Rule 144A under the Securities Act, as such rule may be amended from time to time.</w:t>
      </w:r>
    </w:p>
    <w:p>
      <w:pPr>
        <w:spacing w:after="0" w:line="206" w:lineRule="exact"/>
        <w:rPr>
          <w:rFonts w:ascii="Arial" w:cs="Arial" w:eastAsia="Arial" w:hAnsi="Arial"/>
          <w:sz w:val="22"/>
          <w:szCs w:val="22"/>
          <w:color w:val="auto"/>
        </w:rPr>
      </w:pPr>
    </w:p>
    <w:p>
      <w:pPr>
        <w:ind w:left="380" w:hanging="378"/>
        <w:spacing w:after="0"/>
        <w:tabs>
          <w:tab w:leader="none" w:pos="3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 from time to time.</w:t>
      </w: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680085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36" w:right="339" w:bottom="1440" w:gutter="0" w:footer="0" w:header="0"/>
        </w:sectPr>
      </w:pPr>
    </w:p>
    <w:bookmarkStart w:id="123" w:name="page124"/>
    <w:bookmarkEnd w:id="123"/>
    <w:p>
      <w:pPr>
        <w:jc w:val="both"/>
        <w:ind w:left="760" w:hanging="378"/>
        <w:spacing w:after="0" w:line="252" w:lineRule="auto"/>
        <w:tabs>
          <w:tab w:leader="none" w:pos="760" w:val="left"/>
        </w:tabs>
        <w:numPr>
          <w:ilvl w:val="0"/>
          <w:numId w:val="226"/>
        </w:numPr>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21"/>
          <w:szCs w:val="21"/>
          <w:b w:val="1"/>
          <w:bCs w:val="1"/>
          <w:color w:val="auto"/>
        </w:rPr>
        <w:t>Subscription Shares</w:t>
      </w:r>
      <w:r>
        <w:rPr>
          <w:rFonts w:ascii="Arial" w:cs="Arial" w:eastAsia="Arial" w:hAnsi="Arial"/>
          <w:sz w:val="21"/>
          <w:szCs w:val="21"/>
          <w:color w:val="auto"/>
        </w:rPr>
        <w:t>" means</w:t>
      </w:r>
      <w:r>
        <w:rPr>
          <w:rFonts w:ascii="Arial" w:cs="Arial" w:eastAsia="Arial" w:hAnsi="Arial"/>
          <w:sz w:val="19"/>
          <w:szCs w:val="19"/>
          <w:color w:val="auto"/>
        </w:rPr>
        <w:t xml:space="preserve"> </w:t>
      </w:r>
      <w:r>
        <w:rPr>
          <w:rFonts w:ascii="Arial" w:cs="Arial" w:eastAsia="Arial" w:hAnsi="Arial"/>
          <w:sz w:val="21"/>
          <w:szCs w:val="21"/>
          <w:i w:val="1"/>
          <w:iCs w:val="1"/>
          <w:color w:val="auto"/>
        </w:rPr>
        <w:t>x</w:t>
      </w:r>
      <w:r>
        <w:rPr>
          <w:rFonts w:ascii="Arial" w:cs="Arial" w:eastAsia="Arial" w:hAnsi="Arial"/>
          <w:sz w:val="19"/>
          <w:szCs w:val="19"/>
          <w:color w:val="auto"/>
        </w:rPr>
        <w:t xml:space="preserve"> </w:t>
      </w:r>
      <w:r>
        <w:rPr>
          <w:rFonts w:ascii="Arial" w:cs="Arial" w:eastAsia="Arial" w:hAnsi="Arial"/>
          <w:sz w:val="21"/>
          <w:szCs w:val="21"/>
          <w:color w:val="auto"/>
        </w:rPr>
        <w:t>new Ordinary Shares of the Company to be issued fully paid, where</w:t>
      </w:r>
      <w:r>
        <w:rPr>
          <w:rFonts w:ascii="Arial" w:cs="Arial" w:eastAsia="Arial" w:hAnsi="Arial"/>
          <w:sz w:val="19"/>
          <w:szCs w:val="19"/>
          <w:color w:val="auto"/>
        </w:rPr>
        <w:t xml:space="preserve"> </w:t>
      </w:r>
      <w:r>
        <w:rPr>
          <w:rFonts w:ascii="Arial" w:cs="Arial" w:eastAsia="Arial" w:hAnsi="Arial"/>
          <w:sz w:val="21"/>
          <w:szCs w:val="21"/>
          <w:i w:val="1"/>
          <w:iCs w:val="1"/>
          <w:color w:val="auto"/>
        </w:rPr>
        <w:t>x</w:t>
      </w:r>
      <w:r>
        <w:rPr>
          <w:rFonts w:ascii="Arial" w:cs="Arial" w:eastAsia="Arial" w:hAnsi="Arial"/>
          <w:sz w:val="19"/>
          <w:szCs w:val="19"/>
          <w:color w:val="auto"/>
        </w:rPr>
        <w:t xml:space="preserve"> </w:t>
      </w:r>
      <w:r>
        <w:rPr>
          <w:rFonts w:ascii="Arial" w:cs="Arial" w:eastAsia="Arial" w:hAnsi="Arial"/>
          <w:sz w:val="21"/>
          <w:szCs w:val="21"/>
          <w:color w:val="auto"/>
        </w:rPr>
        <w:t>is</w:t>
      </w:r>
      <w:r>
        <w:rPr>
          <w:rFonts w:ascii="Arial" w:cs="Arial" w:eastAsia="Arial" w:hAnsi="Arial"/>
          <w:sz w:val="19"/>
          <w:szCs w:val="19"/>
          <w:color w:val="auto"/>
        </w:rPr>
        <w:t xml:space="preserve"> </w:t>
      </w:r>
      <w:r>
        <w:rPr>
          <w:rFonts w:ascii="Arial" w:cs="Arial" w:eastAsia="Arial" w:hAnsi="Arial"/>
          <w:sz w:val="21"/>
          <w:szCs w:val="21"/>
          <w:color w:val="auto"/>
        </w:rPr>
        <w:t>equal to USD$12,300,000 divided by the price of the Ordinary Shares of the Company on the Nasdaq Global Market at 9:30 a.m. (New York time) on the date on which the Allotment Time occurs, as reported by Bloomberg L.P.</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jc w:val="both"/>
        <w:ind w:left="760" w:hanging="378"/>
        <w:spacing w:after="0" w:line="250" w:lineRule="auto"/>
        <w:tabs>
          <w:tab w:leader="none" w:pos="76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Surplus</w:t>
      </w:r>
      <w:r>
        <w:rPr>
          <w:rFonts w:ascii="Arial" w:cs="Arial" w:eastAsia="Arial" w:hAnsi="Arial"/>
          <w:sz w:val="21"/>
          <w:szCs w:val="21"/>
          <w:color w:val="auto"/>
        </w:rPr>
        <w:t xml:space="preserve">" is equal to </w:t>
      </w:r>
      <w:r>
        <w:rPr>
          <w:rFonts w:ascii="Arial" w:cs="Arial" w:eastAsia="Arial" w:hAnsi="Arial"/>
          <w:sz w:val="21"/>
          <w:szCs w:val="21"/>
          <w:i w:val="1"/>
          <w:iCs w:val="1"/>
          <w:color w:val="auto"/>
        </w:rPr>
        <w:t>x</w:t>
      </w:r>
      <w:r>
        <w:rPr>
          <w:rFonts w:ascii="Arial" w:cs="Arial" w:eastAsia="Arial" w:hAnsi="Arial"/>
          <w:sz w:val="21"/>
          <w:szCs w:val="21"/>
          <w:color w:val="auto"/>
        </w:rPr>
        <w:t xml:space="preserve"> minus USD$12,300,000, where </w:t>
      </w:r>
      <w:r>
        <w:rPr>
          <w:rFonts w:ascii="Arial" w:cs="Arial" w:eastAsia="Arial" w:hAnsi="Arial"/>
          <w:sz w:val="21"/>
          <w:szCs w:val="21"/>
          <w:i w:val="1"/>
          <w:iCs w:val="1"/>
          <w:color w:val="auto"/>
        </w:rPr>
        <w:t>x</w:t>
      </w:r>
      <w:r>
        <w:rPr>
          <w:rFonts w:ascii="Arial" w:cs="Arial" w:eastAsia="Arial" w:hAnsi="Arial"/>
          <w:sz w:val="21"/>
          <w:szCs w:val="21"/>
          <w:color w:val="auto"/>
        </w:rPr>
        <w:t xml:space="preserve"> is equal to: (i) the aggregate proceeds received directly, or indirectly, as a result of the sale(s) and/or transfer(s) of the Subscription Shares transferred or sold to a person who is not an Affiliate of WAB;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(A) the 20-day VWAP price of the Ordinary Shares of the Company on the Nasdaq Global Market at 9:30 a.m. (New York time), as reported by Bloomberg L.P., for the period ending on the Trigger Date, multiplied by (B) the number of Subscription Shares which have not been transferred or sold to a person who is not an Affiliate of WAB as of the date of the Trigger Date.</w:t>
      </w:r>
    </w:p>
    <w:p>
      <w:pPr>
        <w:spacing w:after="0" w:line="165" w:lineRule="exact"/>
        <w:rPr>
          <w:sz w:val="20"/>
          <w:szCs w:val="20"/>
          <w:color w:val="auto"/>
        </w:rPr>
      </w:pPr>
    </w:p>
    <w:p>
      <w:pPr>
        <w:ind w:left="760" w:hanging="378"/>
        <w:spacing w:after="0"/>
        <w:tabs>
          <w:tab w:leader="none" w:pos="76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 day on which the principal Trading Market is open for trading.</w:t>
      </w:r>
    </w:p>
    <w:p>
      <w:pPr>
        <w:spacing w:after="0" w:line="152" w:lineRule="exact"/>
        <w:rPr>
          <w:rFonts w:ascii="Arial" w:cs="Arial" w:eastAsia="Arial" w:hAnsi="Arial"/>
          <w:sz w:val="22"/>
          <w:szCs w:val="22"/>
          <w:color w:val="auto"/>
        </w:rPr>
      </w:pPr>
    </w:p>
    <w:p>
      <w:pPr>
        <w:jc w:val="both"/>
        <w:ind w:left="760" w:hanging="378"/>
        <w:spacing w:after="0" w:line="255" w:lineRule="auto"/>
        <w:tabs>
          <w:tab w:leader="none" w:pos="76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Market</w:t>
      </w:r>
      <w:r>
        <w:rPr>
          <w:rFonts w:ascii="Arial" w:cs="Arial" w:eastAsia="Arial" w:hAnsi="Arial"/>
          <w:sz w:val="22"/>
          <w:szCs w:val="22"/>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r>
        <w:rPr>
          <w:rFonts w:ascii="Arial" w:cs="Arial" w:eastAsia="Arial" w:hAnsi="Arial"/>
          <w:sz w:val="28"/>
          <w:szCs w:val="28"/>
          <w:color w:val="auto"/>
          <w:vertAlign w:val="superscript"/>
        </w:rPr>
        <w:t>2</w:t>
      </w:r>
    </w:p>
    <w:p>
      <w:pPr>
        <w:spacing w:after="0" w:line="66" w:lineRule="exact"/>
        <w:rPr>
          <w:rFonts w:ascii="Arial" w:cs="Arial" w:eastAsia="Arial" w:hAnsi="Arial"/>
          <w:sz w:val="22"/>
          <w:szCs w:val="22"/>
          <w:color w:val="auto"/>
        </w:rPr>
      </w:pPr>
    </w:p>
    <w:p>
      <w:pPr>
        <w:jc w:val="both"/>
        <w:ind w:left="760" w:hanging="378"/>
        <w:spacing w:after="0" w:line="252" w:lineRule="auto"/>
        <w:tabs>
          <w:tab w:leader="none" w:pos="760" w:val="left"/>
        </w:tabs>
        <w:numPr>
          <w:ilvl w:val="1"/>
          <w:numId w:val="2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VWAP</w:t>
      </w:r>
      <w:r>
        <w:rPr>
          <w:rFonts w:ascii="Arial" w:cs="Arial" w:eastAsia="Arial" w:hAnsi="Arial"/>
          <w:sz w:val="21"/>
          <w:szCs w:val="21"/>
          <w:color w:val="auto"/>
        </w:rPr>
        <w:t>" means the dollar volume-weighted average price of the ordinary shares of £0.0001 each in the capital of the Company on the Nasdaq Global Market during the period beginning at 9:30 a.m. (New York time) and ending at 4:00 p.m. (New York time) as reported by Bloomberg L.P. through its “VAP” function (set to 09:30 start time and 16:00 end time). All such determinations shall be appropriately adjusted for any stock dividend, stock split, stock combination, recapitalization or other similar transaction during such period.</w:t>
      </w:r>
    </w:p>
    <w:p>
      <w:pPr>
        <w:spacing w:after="0" w:line="165" w:lineRule="exact"/>
        <w:rPr>
          <w:rFonts w:ascii="Arial" w:cs="Arial" w:eastAsia="Arial" w:hAnsi="Arial"/>
          <w:sz w:val="21"/>
          <w:szCs w:val="21"/>
          <w:color w:val="auto"/>
        </w:rPr>
      </w:pPr>
    </w:p>
    <w:p>
      <w:pPr>
        <w:ind w:left="380" w:hanging="372"/>
        <w:spacing w:after="0"/>
        <w:tabs>
          <w:tab w:leader="none" w:pos="38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Variation and waiver</w:t>
      </w:r>
    </w:p>
    <w:p>
      <w:pPr>
        <w:spacing w:after="0" w:line="206" w:lineRule="exact"/>
        <w:rPr>
          <w:rFonts w:ascii="Arial" w:cs="Arial" w:eastAsia="Arial" w:hAnsi="Arial"/>
          <w:sz w:val="22"/>
          <w:szCs w:val="22"/>
          <w:color w:val="auto"/>
        </w:rPr>
      </w:pPr>
    </w:p>
    <w:p>
      <w:pPr>
        <w:ind w:left="760" w:right="20" w:hanging="378"/>
        <w:spacing w:after="0" w:line="259" w:lineRule="auto"/>
        <w:tabs>
          <w:tab w:leader="none" w:pos="76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No variation of this Subscription Letter shall be effective unless it is in writing, signed by the parties (or their authorised representatives) and expressly states that it is amending this Subscription Letter.</w:t>
      </w:r>
    </w:p>
    <w:p>
      <w:pPr>
        <w:spacing w:after="0" w:line="156" w:lineRule="exact"/>
        <w:rPr>
          <w:rFonts w:ascii="Arial" w:cs="Arial" w:eastAsia="Arial" w:hAnsi="Arial"/>
          <w:sz w:val="22"/>
          <w:szCs w:val="22"/>
          <w:color w:val="auto"/>
        </w:rPr>
      </w:pPr>
    </w:p>
    <w:p>
      <w:pPr>
        <w:ind w:left="760" w:right="20" w:hanging="378"/>
        <w:spacing w:after="0" w:line="259" w:lineRule="auto"/>
        <w:tabs>
          <w:tab w:leader="none" w:pos="76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 waiver of any right or remedy is only effective if given in writing and shall not be deemed a waiver of any subsequent right or remedy.</w:t>
      </w:r>
    </w:p>
    <w:p>
      <w:pPr>
        <w:spacing w:after="0" w:line="156" w:lineRule="exact"/>
        <w:rPr>
          <w:rFonts w:ascii="Arial" w:cs="Arial" w:eastAsia="Arial" w:hAnsi="Arial"/>
          <w:sz w:val="22"/>
          <w:szCs w:val="22"/>
          <w:color w:val="auto"/>
        </w:rPr>
      </w:pPr>
    </w:p>
    <w:p>
      <w:pPr>
        <w:jc w:val="both"/>
        <w:ind w:left="760" w:hanging="378"/>
        <w:spacing w:after="0" w:line="245" w:lineRule="auto"/>
        <w:tabs>
          <w:tab w:leader="none" w:pos="76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 delay or failure to exercise, or the single or partial exercise of, any right or remedy does not waive that or any other right or remedy, nor does it prevent or restrict the further exercise of that or any other right or remedy.</w:t>
      </w:r>
    </w:p>
    <w:p>
      <w:pPr>
        <w:spacing w:after="0" w:line="170" w:lineRule="exact"/>
        <w:rPr>
          <w:rFonts w:ascii="Arial" w:cs="Arial" w:eastAsia="Arial" w:hAnsi="Arial"/>
          <w:sz w:val="22"/>
          <w:szCs w:val="22"/>
          <w:color w:val="auto"/>
        </w:rPr>
      </w:pPr>
    </w:p>
    <w:p>
      <w:pPr>
        <w:ind w:left="380" w:hanging="372"/>
        <w:spacing w:after="0" w:line="283" w:lineRule="auto"/>
        <w:tabs>
          <w:tab w:leader="none" w:pos="38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If any provision or part-provision of this Subscription Letter is or becomes invalid, illegal or unenforceable, it shall be deemed deleted, but that shall not affect the validity and enforceability of the rest of this Subscription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16884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41" w:lineRule="exact"/>
        <w:rPr>
          <w:sz w:val="20"/>
          <w:szCs w:val="20"/>
          <w:color w:val="auto"/>
        </w:rPr>
      </w:pPr>
    </w:p>
    <w:p>
      <w:pPr>
        <w:ind w:left="120" w:hanging="112"/>
        <w:spacing w:after="0"/>
        <w:tabs>
          <w:tab w:leader="none" w:pos="120" w:val="left"/>
        </w:tabs>
        <w:numPr>
          <w:ilvl w:val="0"/>
          <w:numId w:val="229"/>
        </w:numPr>
        <w:rPr>
          <w:rFonts w:ascii="Arial" w:cs="Arial" w:eastAsia="Arial" w:hAnsi="Arial"/>
          <w:sz w:val="22"/>
          <w:szCs w:val="22"/>
          <w:color w:val="auto"/>
          <w:vertAlign w:val="superscript"/>
        </w:rPr>
      </w:pPr>
      <w:r>
        <w:rPr>
          <w:rFonts w:ascii="Arial" w:cs="Arial" w:eastAsia="Arial" w:hAnsi="Arial"/>
          <w:sz w:val="16"/>
          <w:szCs w:val="16"/>
          <w:color w:val="auto"/>
        </w:rPr>
        <w:t>NTD: Is it listed, or expected to be listed, on anything other than the Nasdaq Global Market?</w:t>
      </w: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124" w:name="page125"/>
    <w:bookmarkEnd w:id="124"/>
    <w:p>
      <w:pPr>
        <w:ind w:left="380" w:hanging="372"/>
        <w:spacing w:after="0" w:line="259" w:lineRule="auto"/>
        <w:tabs>
          <w:tab w:leader="none" w:pos="3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This Subscription Letter may be executed in any number of counterparts, each of which constitutes a duplicate original, but all the counterparts together constitute the one agreement.</w:t>
      </w:r>
    </w:p>
    <w:p>
      <w:pPr>
        <w:spacing w:after="0" w:line="156" w:lineRule="exact"/>
        <w:rPr>
          <w:rFonts w:ascii="Arial" w:cs="Arial" w:eastAsia="Arial" w:hAnsi="Arial"/>
          <w:sz w:val="22"/>
          <w:szCs w:val="22"/>
          <w:color w:val="auto"/>
        </w:rPr>
      </w:pPr>
    </w:p>
    <w:p>
      <w:pPr>
        <w:jc w:val="both"/>
        <w:ind w:left="380" w:hanging="372"/>
        <w:spacing w:after="0" w:line="238" w:lineRule="auto"/>
        <w:tabs>
          <w:tab w:leader="none" w:pos="3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Transmission of an executed counterpart of this Subscription Letter (but for the avoidance of doubt not just a signature page) by email (in PDF, JPEG or other agreed format) shall take effect as the transmission of a "wet ink" counterpart of this Subscription Letter. If this method of transmission is adopted, without prejudice to the validity of the agreement thus made, each party shall on request provide the other with the "wet ink" hard copy original of their counterpart.</w:t>
      </w:r>
    </w:p>
    <w:p>
      <w:pPr>
        <w:spacing w:after="0" w:line="176" w:lineRule="exact"/>
        <w:rPr>
          <w:rFonts w:ascii="Arial" w:cs="Arial" w:eastAsia="Arial" w:hAnsi="Arial"/>
          <w:sz w:val="22"/>
          <w:szCs w:val="22"/>
          <w:color w:val="auto"/>
        </w:rPr>
      </w:pPr>
    </w:p>
    <w:p>
      <w:pPr>
        <w:ind w:left="380" w:hanging="372"/>
        <w:spacing w:after="0"/>
        <w:tabs>
          <w:tab w:leader="none" w:pos="3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No counterpart shall be effective until each party has provided to the other at least one executed counterpart.</w:t>
      </w:r>
    </w:p>
    <w:p>
      <w:pPr>
        <w:spacing w:after="0" w:line="206" w:lineRule="exact"/>
        <w:rPr>
          <w:rFonts w:ascii="Arial" w:cs="Arial" w:eastAsia="Arial" w:hAnsi="Arial"/>
          <w:sz w:val="22"/>
          <w:szCs w:val="22"/>
          <w:color w:val="auto"/>
        </w:rPr>
      </w:pPr>
    </w:p>
    <w:p>
      <w:pPr>
        <w:ind w:left="380" w:hanging="372"/>
        <w:spacing w:after="0" w:line="259" w:lineRule="auto"/>
        <w:tabs>
          <w:tab w:leader="none" w:pos="3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Except as expressly provided herein, the rights and remedies provided under this Subscription Letter are in addition to, and not exclusive of, any rights or remedies provided by law.</w:t>
      </w:r>
    </w:p>
    <w:p>
      <w:pPr>
        <w:spacing w:after="0" w:line="156" w:lineRule="exact"/>
        <w:rPr>
          <w:rFonts w:ascii="Arial" w:cs="Arial" w:eastAsia="Arial" w:hAnsi="Arial"/>
          <w:sz w:val="22"/>
          <w:szCs w:val="22"/>
          <w:color w:val="auto"/>
        </w:rPr>
      </w:pPr>
    </w:p>
    <w:p>
      <w:pPr>
        <w:jc w:val="both"/>
        <w:ind w:left="380" w:hanging="372"/>
        <w:spacing w:after="0" w:line="245" w:lineRule="auto"/>
        <w:tabs>
          <w:tab w:leader="none" w:pos="3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This Subscription Letter and any dispute or claim (including non-contractual disputes or claims) arising out of or in connection with it or its subject matter shall be governed by, and construed in accordance with, English law and the party to this deed hereby submits to the exclusive jurisdiction of the English courts.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Please acknowledge receipt and acceptance of the terms of this Subscription Letter by signing where indicated on the enclosed copy of this Subscription Letter and returning it to WAB.</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and delivered as deed on the day and in the year first written above.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as a deed</w:t>
      </w:r>
      <w:r>
        <w:rPr>
          <w:sz w:val="20"/>
          <w:szCs w:val="20"/>
          <w:color w:val="auto"/>
        </w:rPr>
        <w:tab/>
      </w:r>
      <w:r>
        <w:rPr>
          <w:rFonts w:ascii="Arial" w:cs="Arial" w:eastAsia="Arial" w:hAnsi="Arial"/>
          <w:sz w:val="22"/>
          <w:szCs w:val="22"/>
          <w:color w:val="auto"/>
        </w:rPr>
        <w:t>)</w:t>
      </w:r>
    </w:p>
    <w:p>
      <w:pPr>
        <w:spacing w:after="0" w:line="2" w:lineRule="exact"/>
        <w:rPr>
          <w:sz w:val="20"/>
          <w:szCs w:val="20"/>
          <w:color w:val="auto"/>
        </w:rPr>
      </w:pPr>
    </w:p>
    <w:p>
      <w:pPr>
        <w:spacing w:after="0"/>
        <w:tabs>
          <w:tab w:leader="none" w:pos="382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WESTERN ALLIANCE BANK</w:t>
      </w:r>
      <w:r>
        <w:rPr>
          <w:rFonts w:ascii="Arial" w:cs="Arial" w:eastAsia="Arial" w:hAnsi="Arial"/>
          <w:sz w:val="22"/>
          <w:szCs w:val="22"/>
          <w:color w:val="auto"/>
        </w:rPr>
        <w:t xml:space="preserve">  )</w:t>
      </w:r>
      <w:r>
        <w:rPr>
          <w:sz w:val="20"/>
          <w:szCs w:val="20"/>
          <w:color w:val="auto"/>
        </w:rPr>
        <w:tab/>
      </w:r>
      <w:r>
        <w:rPr>
          <w:rFonts w:ascii="Arial" w:cs="Arial" w:eastAsia="Arial" w:hAnsi="Arial"/>
          <w:sz w:val="21"/>
          <w:szCs w:val="21"/>
          <w:u w:val="single" w:color="auto"/>
          <w:color w:val="auto"/>
        </w:rPr>
        <w:t>/s/ Josh Roberts</w:t>
      </w:r>
    </w:p>
    <w:p>
      <w:pPr>
        <w:spacing w:after="0"/>
        <w:rPr>
          <w:sz w:val="20"/>
          <w:szCs w:val="20"/>
          <w:color w:val="auto"/>
        </w:rPr>
      </w:pPr>
      <w:r>
        <w:rPr>
          <w:rFonts w:ascii="Arial" w:cs="Arial" w:eastAsia="Arial" w:hAnsi="Arial"/>
          <w:sz w:val="22"/>
          <w:szCs w:val="22"/>
          <w:color w:val="auto"/>
        </w:rPr>
        <w:t>in the presence of a witness:  )</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Witness signature: </w:t>
      </w:r>
      <w:r>
        <w:rPr>
          <w:rFonts w:ascii="Arial" w:cs="Arial" w:eastAsia="Arial" w:hAnsi="Arial"/>
          <w:sz w:val="22"/>
          <w:szCs w:val="22"/>
          <w:u w:val="single" w:color="auto"/>
          <w:color w:val="auto"/>
        </w:rPr>
        <w:t>/s/ Susan Roberts</w:t>
      </w:r>
    </w:p>
    <w:p>
      <w:pPr>
        <w:spacing w:after="0" w:line="233"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Witness name:</w:t>
      </w:r>
      <w:r>
        <w:rPr>
          <w:sz w:val="20"/>
          <w:szCs w:val="20"/>
          <w:color w:val="auto"/>
        </w:rPr>
        <w:tab/>
      </w:r>
      <w:r>
        <w:rPr>
          <w:rFonts w:ascii="Arial" w:cs="Arial" w:eastAsia="Arial" w:hAnsi="Arial"/>
          <w:sz w:val="21"/>
          <w:szCs w:val="21"/>
          <w:color w:val="auto"/>
        </w:rPr>
        <w:t>Susan Roberts</w:t>
      </w:r>
    </w:p>
    <w:p>
      <w:pPr>
        <w:spacing w:after="0" w:line="233"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Witness address:</w:t>
      </w:r>
      <w:r>
        <w:rPr>
          <w:sz w:val="20"/>
          <w:szCs w:val="20"/>
          <w:color w:val="auto"/>
        </w:rPr>
        <w:tab/>
      </w:r>
      <w:r>
        <w:rPr>
          <w:rFonts w:ascii="Arial" w:cs="Arial" w:eastAsia="Arial" w:hAnsi="Arial"/>
          <w:sz w:val="21"/>
          <w:szCs w:val="21"/>
          <w:color w:val="auto"/>
        </w:rPr>
        <w:t>……………………………………………</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Witness occupation: Homemaker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25" w:name="page126"/>
    <w:bookmarkEnd w:id="125"/>
    <w:p>
      <w:pPr>
        <w:spacing w:after="0"/>
        <w:rPr>
          <w:sz w:val="20"/>
          <w:szCs w:val="20"/>
          <w:color w:val="auto"/>
        </w:rPr>
      </w:pPr>
      <w:r>
        <w:rPr>
          <w:rFonts w:ascii="Arial" w:cs="Arial" w:eastAsia="Arial" w:hAnsi="Arial"/>
          <w:sz w:val="21"/>
          <w:szCs w:val="21"/>
          <w:color w:val="auto"/>
        </w:rPr>
        <w:t>The undersigned acknowledges receipt and agrees to the terms of this Subscription Letter.</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as a deed</w:t>
            </w:r>
          </w:p>
        </w:tc>
        <w:tc>
          <w:tcPr>
            <w:tcW w:w="6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5"/>
        </w:trPr>
        <w:tc>
          <w:tcPr>
            <w:tcW w:w="2700" w:type="dxa"/>
            <w:vAlign w:val="bottom"/>
            <w:gridSpan w:val="3"/>
          </w:tcPr>
          <w:p>
            <w:pPr>
              <w:spacing w:after="0" w:line="245" w:lineRule="exact"/>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REZOLVE AI LIMITED</w:t>
            </w:r>
          </w:p>
        </w:tc>
        <w:tc>
          <w:tcPr>
            <w:tcW w:w="660" w:type="dxa"/>
            <w:vAlign w:val="bottom"/>
          </w:tcPr>
          <w:p>
            <w:pPr>
              <w:spacing w:after="0"/>
              <w:rPr>
                <w:sz w:val="21"/>
                <w:szCs w:val="21"/>
                <w:color w:val="auto"/>
              </w:rPr>
            </w:pPr>
          </w:p>
        </w:tc>
        <w:tc>
          <w:tcPr>
            <w:tcW w:w="80" w:type="dxa"/>
            <w:vAlign w:val="bottom"/>
          </w:tcPr>
          <w:p>
            <w:pPr>
              <w:jc w:val="right"/>
              <w:spacing w:after="0" w:line="245" w:lineRule="exact"/>
              <w:rPr>
                <w:sz w:val="20"/>
                <w:szCs w:val="20"/>
                <w:color w:val="auto"/>
              </w:rPr>
            </w:pPr>
            <w:r>
              <w:rPr>
                <w:rFonts w:ascii="Arial" w:cs="Arial" w:eastAsia="Arial" w:hAnsi="Arial"/>
                <w:sz w:val="22"/>
                <w:szCs w:val="22"/>
                <w:color w:val="auto"/>
                <w:w w:val="81"/>
              </w:rPr>
              <w:t>)</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3360" w:type="dxa"/>
            <w:vAlign w:val="bottom"/>
            <w:gridSpan w:val="4"/>
          </w:tcPr>
          <w:p>
            <w:pPr>
              <w:spacing w:after="0" w:line="229" w:lineRule="exact"/>
              <w:rPr>
                <w:sz w:val="20"/>
                <w:szCs w:val="20"/>
                <w:color w:val="auto"/>
              </w:rPr>
            </w:pPr>
            <w:r>
              <w:rPr>
                <w:rFonts w:ascii="Arial" w:cs="Arial" w:eastAsia="Arial" w:hAnsi="Arial"/>
                <w:sz w:val="22"/>
                <w:szCs w:val="22"/>
                <w:color w:val="auto"/>
              </w:rPr>
              <w:t>in the presence of a witness:  )</w:t>
            </w:r>
          </w:p>
        </w:tc>
        <w:tc>
          <w:tcPr>
            <w:tcW w:w="2240" w:type="dxa"/>
            <w:vAlign w:val="bottom"/>
            <w:gridSpan w:val="4"/>
          </w:tcPr>
          <w:p>
            <w:pPr>
              <w:spacing w:after="0" w:line="229" w:lineRule="exact"/>
              <w:rPr>
                <w:sz w:val="20"/>
                <w:szCs w:val="20"/>
                <w:color w:val="auto"/>
              </w:rPr>
            </w:pPr>
            <w:r>
              <w:rPr>
                <w:rFonts w:ascii="Arial" w:cs="Arial" w:eastAsia="Arial" w:hAnsi="Arial"/>
                <w:sz w:val="22"/>
                <w:szCs w:val="22"/>
                <w:color w:val="auto"/>
              </w:rPr>
              <w:t>/s/ Daniel Wagner</w:t>
            </w:r>
          </w:p>
        </w:tc>
      </w:tr>
      <w:tr>
        <w:trPr>
          <w:trHeight w:val="20"/>
        </w:trPr>
        <w:tc>
          <w:tcPr>
            <w:tcW w:w="1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66"/>
        </w:trPr>
        <w:tc>
          <w:tcPr>
            <w:tcW w:w="5600" w:type="dxa"/>
            <w:vAlign w:val="bottom"/>
            <w:gridSpan w:val="8"/>
          </w:tcPr>
          <w:p>
            <w:pPr>
              <w:spacing w:after="0"/>
              <w:rPr>
                <w:sz w:val="20"/>
                <w:szCs w:val="20"/>
                <w:color w:val="auto"/>
              </w:rPr>
            </w:pPr>
            <w:r>
              <w:rPr>
                <w:rFonts w:ascii="Arial" w:cs="Arial" w:eastAsia="Arial" w:hAnsi="Arial"/>
                <w:sz w:val="22"/>
                <w:szCs w:val="22"/>
                <w:color w:val="auto"/>
              </w:rPr>
              <w:t>Witness signature: /s/ Elizabeth O'Neil</w:t>
            </w:r>
          </w:p>
        </w:tc>
      </w:tr>
      <w:tr>
        <w:trPr>
          <w:trHeight w:val="466"/>
        </w:trPr>
        <w:tc>
          <w:tcPr>
            <w:tcW w:w="1900" w:type="dxa"/>
            <w:vAlign w:val="bottom"/>
          </w:tcPr>
          <w:p>
            <w:pPr>
              <w:spacing w:after="0"/>
              <w:rPr>
                <w:sz w:val="20"/>
                <w:szCs w:val="20"/>
                <w:color w:val="auto"/>
              </w:rPr>
            </w:pPr>
            <w:r>
              <w:rPr>
                <w:rFonts w:ascii="Arial" w:cs="Arial" w:eastAsia="Arial" w:hAnsi="Arial"/>
                <w:sz w:val="22"/>
                <w:szCs w:val="22"/>
                <w:color w:val="auto"/>
              </w:rPr>
              <w:t>Witness name:</w:t>
            </w:r>
          </w:p>
        </w:tc>
        <w:tc>
          <w:tcPr>
            <w:tcW w:w="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22"/>
                <w:szCs w:val="22"/>
                <w:color w:val="auto"/>
                <w:w w:val="96"/>
              </w:rPr>
              <w:t>Elizabeth O'Neil</w:t>
            </w:r>
          </w:p>
        </w:tc>
        <w:tc>
          <w:tcPr>
            <w:tcW w:w="1880" w:type="dxa"/>
            <w:vAlign w:val="bottom"/>
            <w:gridSpan w:val="2"/>
          </w:tcPr>
          <w:p>
            <w:pPr>
              <w:spacing w:after="0"/>
              <w:rPr>
                <w:sz w:val="24"/>
                <w:szCs w:val="24"/>
                <w:color w:val="auto"/>
              </w:rPr>
            </w:pPr>
          </w:p>
        </w:tc>
      </w:tr>
      <w:tr>
        <w:trPr>
          <w:trHeight w:val="20"/>
        </w:trPr>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521"/>
        </w:trPr>
        <w:tc>
          <w:tcPr>
            <w:tcW w:w="1900" w:type="dxa"/>
            <w:vAlign w:val="bottom"/>
          </w:tcPr>
          <w:p>
            <w:pPr>
              <w:spacing w:after="0"/>
              <w:rPr>
                <w:sz w:val="20"/>
                <w:szCs w:val="20"/>
                <w:color w:val="auto"/>
              </w:rPr>
            </w:pPr>
            <w:r>
              <w:rPr>
                <w:rFonts w:ascii="Arial" w:cs="Arial" w:eastAsia="Arial" w:hAnsi="Arial"/>
                <w:sz w:val="22"/>
                <w:szCs w:val="22"/>
                <w:color w:val="auto"/>
              </w:rPr>
              <w:t>Witness address:</w:t>
            </w:r>
          </w:p>
        </w:tc>
        <w:tc>
          <w:tcPr>
            <w:tcW w:w="2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22"/>
                <w:szCs w:val="22"/>
                <w:color w:val="auto"/>
                <w:w w:val="97"/>
              </w:rPr>
              <w:t>……………………………………………</w:t>
            </w:r>
          </w:p>
        </w:tc>
      </w:tr>
    </w:tbl>
    <w:p>
      <w:pPr>
        <w:spacing w:after="0" w:line="20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Witness occupation: 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6" w:right="1440" w:bottom="1440" w:gutter="0" w:footer="0" w:header="0"/>
        </w:sectPr>
      </w:pPr>
    </w:p>
    <w:bookmarkStart w:id="126" w:name="page127"/>
    <w:bookmarkEnd w:id="126"/>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1" w:lineRule="exact"/>
        <w:rPr>
          <w:sz w:val="20"/>
          <w:szCs w:val="20"/>
          <w:color w:val="auto"/>
        </w:rPr>
      </w:pPr>
    </w:p>
    <w:p>
      <w:pPr>
        <w:jc w:val="center"/>
        <w:ind w:right="60"/>
        <w:spacing w:after="0" w:line="255" w:lineRule="auto"/>
        <w:rPr>
          <w:sz w:val="20"/>
          <w:szCs w:val="20"/>
          <w:color w:val="auto"/>
        </w:rPr>
      </w:pPr>
      <w:r>
        <w:rPr>
          <w:rFonts w:ascii="Times New Roman" w:cs="Times New Roman" w:eastAsia="Times New Roman" w:hAnsi="Times New Roman"/>
          <w:sz w:val="29"/>
          <w:szCs w:val="29"/>
          <w:b w:val="1"/>
          <w:bCs w:val="1"/>
          <w:color w:val="auto"/>
        </w:rPr>
        <w:t>Rezolve Ai Closes Acquisition of GroupBy, Cementing Leadership in AI-Powered Commerce</w:t>
      </w:r>
    </w:p>
    <w:p>
      <w:pPr>
        <w:spacing w:after="0" w:line="1" w:lineRule="exact"/>
        <w:rPr>
          <w:sz w:val="20"/>
          <w:szCs w:val="20"/>
          <w:color w:val="auto"/>
        </w:rPr>
      </w:pPr>
    </w:p>
    <w:p>
      <w:pPr>
        <w:jc w:val="center"/>
        <w:ind w:right="40"/>
        <w:spacing w:after="0" w:line="237" w:lineRule="auto"/>
        <w:rPr>
          <w:sz w:val="20"/>
          <w:szCs w:val="20"/>
          <w:color w:val="auto"/>
        </w:rPr>
      </w:pPr>
      <w:r>
        <w:rPr>
          <w:rFonts w:ascii="Times New Roman" w:cs="Times New Roman" w:eastAsia="Times New Roman" w:hAnsi="Times New Roman"/>
          <w:sz w:val="22"/>
          <w:szCs w:val="22"/>
          <w:b w:val="1"/>
          <w:bCs w:val="1"/>
          <w:color w:val="auto"/>
        </w:rPr>
        <w:t>Strategic acquisition accelerates Rezolve Ai’s global expansion with advanced search and product discovery technology powering over $30B in annual retail sales</w:t>
      </w:r>
    </w:p>
    <w:p>
      <w:pPr>
        <w:spacing w:after="0" w:line="20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New York – March 26, 2025 </w:t>
      </w:r>
      <w:r>
        <w:rPr>
          <w:rFonts w:ascii="Times New Roman" w:cs="Times New Roman" w:eastAsia="Times New Roman" w:hAnsi="Times New Roman"/>
          <w:sz w:val="20"/>
          <w:szCs w:val="20"/>
          <w:color w:val="auto"/>
        </w:rPr>
        <w:t>– Rezolve Ai (NASDAQ: RZLV),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a global leader in AI-powered commerce and digital engagement solutions,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today announced the successful closing of its acquisition of GroupBy Inc., GroupBy International Ltd., GroupBy USA Inc., and GroupBy UK Ltd. (collectively, “GroupBy”), a leading commerce search and product discovery platform driving over 30 billion in annual sales. The transaction that was previously announced in the Company’s Form 6-K filed with the U.S. Securities and Exchange Commission on February 11, 2025, closed on March 25, 2025.</w:t>
      </w:r>
    </w:p>
    <w:p>
      <w:pPr>
        <w:spacing w:after="0" w:line="198"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222222"/>
        </w:rPr>
        <w:t>This strategic acquisition is expected to enhance significantly Rezolve Ai’s capabilities in AI-driven commerce, site search, and digital engagement, positioning the Company as a market leader in the rapidly evolving eCommerce landscape.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22222"/>
        </w:rPr>
        <w:t>Strategic Synergies and Market Leadership</w:t>
      </w:r>
    </w:p>
    <w:p>
      <w:pPr>
        <w:spacing w:after="0" w:line="26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222222"/>
        </w:rPr>
        <w:t>The acquisition of GroupBy brings together two innovative powerhouses in the AI and commerce sectors. GroupBy’s advanced product discovery platform complements Rezolve Ai’s existing suite of digital engagement tools powered by cutting-edge AI and machine learning technologies. Together, we believe the combined entity will deliver unparalleled value to merchants, brands, and consumers by enabling seamless, personalized, and intelligent commerce experiences.</w:t>
      </w:r>
    </w:p>
    <w:p>
      <w:pPr>
        <w:spacing w:after="0" w:line="22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9"/>
          <w:szCs w:val="19"/>
          <w:color w:val="222222"/>
        </w:rPr>
        <w:t>Daniel M. Wagner, Chief Executive Officer and Chairman of Rezolve Ai, commented: “The closing of this acquisition marks a transformative milestone for Rezolve Ai. GroupBy’s proven track record in driving over $30 billion in annual sales for its customers underscores the strength of its technology and the trust we believe it has earned from leading global brands. By integrating GroupBy’s capabilities with our AI-driven platform, we expect to be uniquely positioned to redefine the future of commerce and digital engagement.”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22222"/>
        </w:rPr>
        <w:t>Accelerating Innovation and Growth</w:t>
      </w:r>
    </w:p>
    <w:p>
      <w:pPr>
        <w:spacing w:after="0" w:line="260"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222222"/>
        </w:rPr>
        <w:t>The acquisition is expected to accelerate Rezolve Ai’s ability to innovate and scale its offerings, particularly in the areas of AI-powered site search, product recommendations, and personalized shopping experiences. The combined expertise of both companies is expected to enable merchants to unlock new revenue streams, enhance customer satisfaction, and optimize operational efficiency.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Looking Ahead</w:t>
      </w:r>
    </w:p>
    <w:p>
      <w:pPr>
        <w:spacing w:after="0" w:line="2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Rezolve Ai is committed to a seamless integration process, ensuring that customers of both companies continue to receive the highest level of service and innovation. The Company will also leverage the acquisition to expand its global footprint, targeting new markets and industries where AI-driven commerce solutions are in high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delivers advanced tools that harness artificial intelligence to optimize processes, improve decision-making, and enable seamless digital experiences. For more information, visit www.rezolve.com.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 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+15162222560</w:t>
      </w: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8DF6A55"/>
    <w:multiLevelType w:val="hybridMultilevel"/>
    <w:lvl w:ilvl="0">
      <w:lvlJc w:val="left"/>
      <w:lvlText w:val="%1."/>
      <w:numFmt w:val="decimal"/>
      <w:start w:val="2"/>
    </w:lvl>
  </w:abstractNum>
  <w:abstractNum w:abstractNumId="1">
    <w:nsid w:val="39B7AAA2"/>
    <w:multiLevelType w:val="hybridMultilevel"/>
    <w:lvl w:ilvl="0">
      <w:lvlJc w:val="left"/>
      <w:lvlText w:val="%1."/>
      <w:numFmt w:val="decimal"/>
      <w:start w:val="6"/>
    </w:lvl>
  </w:abstractNum>
  <w:abstractNum w:abstractNumId="2">
    <w:nsid w:val="2B0D8DBE"/>
    <w:multiLevelType w:val="hybridMultilevel"/>
    <w:lvl w:ilvl="0">
      <w:lvlJc w:val="left"/>
      <w:lvlText w:val="%1."/>
      <w:numFmt w:val="decimal"/>
      <w:start w:val="11"/>
    </w:lvl>
  </w:abstractNum>
  <w:abstractNum w:abstractNumId="3">
    <w:nsid w:val="6C80EC70"/>
    <w:multiLevelType w:val="hybridMultilevel"/>
    <w:lvl w:ilvl="0">
      <w:lvlJc w:val="left"/>
      <w:lvlText w:val="."/>
      <w:numFmt w:val="bullet"/>
      <w:start w:val="1"/>
    </w:lvl>
  </w:abstractNum>
  <w:abstractNum w:abstractNumId="4">
    <w:nsid w:val="379E21B5"/>
    <w:multiLevelType w:val="hybridMultilevel"/>
    <w:lvl w:ilvl="0">
      <w:lvlJc w:val="left"/>
      <w:lvlText w:val="%1."/>
      <w:numFmt w:val="decimal"/>
      <w:start w:val="13"/>
    </w:lvl>
  </w:abstractNum>
  <w:abstractNum w:abstractNumId="5">
    <w:nsid w:val="69E373"/>
    <w:multiLevelType w:val="hybridMultilevel"/>
    <w:lvl w:ilvl="0">
      <w:lvlJc w:val="left"/>
      <w:lvlText w:val="%1."/>
      <w:numFmt w:val="decimal"/>
      <w:start w:val="17"/>
    </w:lvl>
  </w:abstractNum>
  <w:abstractNum w:abstractNumId="6">
    <w:nsid w:val="2C27173B"/>
    <w:multiLevelType w:val="hybridMultilevel"/>
    <w:lvl w:ilvl="0">
      <w:lvlJc w:val="left"/>
      <w:lvlText w:val="%1."/>
      <w:numFmt w:val="decimal"/>
      <w:start w:val="18"/>
    </w:lvl>
  </w:abstractNum>
  <w:abstractNum w:abstractNumId="7">
    <w:nsid w:val="4C9B0904"/>
    <w:multiLevelType w:val="hybridMultilevel"/>
    <w:lvl w:ilvl="0">
      <w:lvlJc w:val="left"/>
      <w:lvlText w:val="%1."/>
      <w:numFmt w:val="decimal"/>
      <w:start w:val="28"/>
    </w:lvl>
  </w:abstractNum>
  <w:abstractNum w:abstractNumId="8">
    <w:nsid w:val="6AA7B75C"/>
    <w:multiLevelType w:val="hybridMultilevel"/>
    <w:lvl w:ilvl="0">
      <w:lvlJc w:val="left"/>
      <w:lvlText w:val="%1."/>
      <w:numFmt w:val="decimal"/>
      <w:start w:val="32"/>
    </w:lvl>
  </w:abstractNum>
  <w:abstractNum w:abstractNumId="9">
    <w:nsid w:val="1DF029D3"/>
    <w:multiLevelType w:val="hybridMultilevel"/>
    <w:lvl w:ilvl="0">
      <w:lvlJc w:val="left"/>
      <w:lvlText w:val="%1."/>
      <w:numFmt w:val="decimal"/>
      <w:start w:val="39"/>
    </w:lvl>
  </w:abstractNum>
  <w:abstractNum w:abstractNumId="10">
    <w:nsid w:val="5675FF36"/>
    <w:multiLevelType w:val="hybridMultilevel"/>
    <w:lvl w:ilvl="0">
      <w:lvlJc w:val="left"/>
      <w:lvlText w:val="%1."/>
      <w:numFmt w:val="decimal"/>
      <w:start w:val="40"/>
    </w:lvl>
  </w:abstractNum>
  <w:abstractNum w:abstractNumId="11">
    <w:nsid w:val="3DD15094"/>
    <w:multiLevelType w:val="hybridMultilevel"/>
    <w:lvl w:ilvl="0">
      <w:lvlJc w:val="left"/>
      <w:lvlText w:val="%1."/>
      <w:numFmt w:val="decimal"/>
      <w:start w:val="44"/>
    </w:lvl>
  </w:abstractNum>
  <w:abstractNum w:abstractNumId="12">
    <w:nsid w:val="3DB012B3"/>
    <w:multiLevelType w:val="hybridMultilevel"/>
    <w:lvl w:ilvl="0">
      <w:lvlJc w:val="left"/>
      <w:lvlText w:val="%1."/>
      <w:numFmt w:val="decimal"/>
      <w:start w:val="47"/>
    </w:lvl>
  </w:abstractNum>
  <w:abstractNum w:abstractNumId="13">
    <w:nsid w:val="2708C9AF"/>
    <w:multiLevelType w:val="hybridMultilevel"/>
    <w:lvl w:ilvl="0">
      <w:lvlJc w:val="left"/>
      <w:lvlText w:val="%1."/>
      <w:numFmt w:val="decimal"/>
      <w:start w:val="50"/>
    </w:lvl>
  </w:abstractNum>
  <w:abstractNum w:abstractNumId="14">
    <w:nsid w:val="5B25ACE2"/>
    <w:multiLevelType w:val="hybridMultilevel"/>
    <w:lvl w:ilvl="0">
      <w:lvlJc w:val="left"/>
      <w:lvlText w:val="%1."/>
      <w:numFmt w:val="decimal"/>
      <w:start w:val="52"/>
    </w:lvl>
  </w:abstractNum>
  <w:abstractNum w:abstractNumId="15">
    <w:nsid w:val="175DFCF0"/>
    <w:multiLevelType w:val="hybridMultilevel"/>
    <w:lvl w:ilvl="0">
      <w:lvlJc w:val="left"/>
      <w:lvlText w:val="%1."/>
      <w:numFmt w:val="decimal"/>
      <w:start w:val="56"/>
    </w:lvl>
  </w:abstractNum>
  <w:abstractNum w:abstractNumId="16">
    <w:nsid w:val="4F97E3E4"/>
    <w:multiLevelType w:val="hybridMultilevel"/>
    <w:lvl w:ilvl="0">
      <w:lvlJc w:val="left"/>
      <w:lvlText w:val="%1."/>
      <w:numFmt w:val="decimal"/>
      <w:start w:val="59"/>
    </w:lvl>
  </w:abstractNum>
  <w:abstractNum w:abstractNumId="17">
    <w:nsid w:val="53B0A9E"/>
    <w:multiLevelType w:val="hybridMultilevel"/>
    <w:lvl w:ilvl="0">
      <w:lvlJc w:val="left"/>
      <w:lvlText w:val="%1."/>
      <w:numFmt w:val="decimal"/>
      <w:start w:val="63"/>
    </w:lvl>
  </w:abstractNum>
  <w:abstractNum w:abstractNumId="18">
    <w:nsid w:val="34FD6B4F"/>
    <w:multiLevelType w:val="hybridMultilevel"/>
    <w:lvl w:ilvl="0">
      <w:lvlJc w:val="left"/>
      <w:lvlText w:val="%1."/>
      <w:numFmt w:val="decimal"/>
      <w:start w:val="67"/>
    </w:lvl>
  </w:abstractNum>
  <w:abstractNum w:abstractNumId="19">
    <w:nsid w:val="5915FF32"/>
    <w:multiLevelType w:val="hybridMultilevel"/>
    <w:lvl w:ilvl="0">
      <w:lvlJc w:val="left"/>
      <w:lvlText w:val="%1."/>
      <w:numFmt w:val="decimal"/>
      <w:start w:val="71"/>
    </w:lvl>
  </w:abstractNum>
  <w:abstractNum w:abstractNumId="20">
    <w:nsid w:val="56438D15"/>
    <w:multiLevelType w:val="hybridMultilevel"/>
    <w:lvl w:ilvl="0">
      <w:lvlJc w:val="left"/>
      <w:lvlText w:val="%1."/>
      <w:numFmt w:val="decimal"/>
      <w:start w:val="73"/>
    </w:lvl>
  </w:abstractNum>
  <w:abstractNum w:abstractNumId="21">
    <w:nsid w:val="519E3149"/>
    <w:multiLevelType w:val="hybridMultilevel"/>
    <w:lvl w:ilvl="0">
      <w:lvlJc w:val="left"/>
      <w:lvlText w:val="%1."/>
      <w:numFmt w:val="decimal"/>
      <w:start w:val="76"/>
    </w:lvl>
  </w:abstractNum>
  <w:abstractNum w:abstractNumId="22">
    <w:nsid w:val="2C6E4AFD"/>
    <w:multiLevelType w:val="hybridMultilevel"/>
    <w:lvl w:ilvl="0">
      <w:lvlJc w:val="left"/>
      <w:lvlText w:val="%1."/>
      <w:numFmt w:val="decimal"/>
      <w:start w:val="78"/>
    </w:lvl>
  </w:abstractNum>
  <w:abstractNum w:abstractNumId="23">
    <w:nsid w:val="17A1B582"/>
    <w:multiLevelType w:val="hybridMultilevel"/>
    <w:lvl w:ilvl="0">
      <w:lvlJc w:val="left"/>
      <w:lvlText w:val="%1."/>
      <w:numFmt w:val="decimal"/>
      <w:start w:val="81"/>
    </w:lvl>
  </w:abstractNum>
  <w:abstractNum w:abstractNumId="24">
    <w:nsid w:val="4DF72E4E"/>
    <w:multiLevelType w:val="hybridMultilevel"/>
    <w:lvl w:ilvl="0">
      <w:lvlJc w:val="left"/>
      <w:lvlText w:val="%1."/>
      <w:numFmt w:val="decimal"/>
      <w:start w:val="83"/>
    </w:lvl>
  </w:abstractNum>
  <w:abstractNum w:abstractNumId="25">
    <w:nsid w:val="5046B5A9"/>
    <w:multiLevelType w:val="hybridMultilevel"/>
    <w:lvl w:ilvl="0">
      <w:lvlJc w:val="left"/>
      <w:lvlText w:val="%1."/>
      <w:numFmt w:val="decimal"/>
      <w:start w:val="87"/>
    </w:lvl>
  </w:abstractNum>
  <w:abstractNum w:abstractNumId="26">
    <w:nsid w:val="5D888A08"/>
    <w:multiLevelType w:val="hybridMultilevel"/>
    <w:lvl w:ilvl="0">
      <w:lvlJc w:val="left"/>
      <w:lvlText w:val="%1."/>
      <w:numFmt w:val="decimal"/>
      <w:start w:val="91"/>
    </w:lvl>
  </w:abstractNum>
  <w:abstractNum w:abstractNumId="27">
    <w:nsid w:val="2A082C70"/>
    <w:multiLevelType w:val="hybridMultilevel"/>
    <w:lvl w:ilvl="0">
      <w:lvlJc w:val="left"/>
      <w:lvlText w:val="%1."/>
      <w:numFmt w:val="decimal"/>
      <w:start w:val="94"/>
    </w:lvl>
  </w:abstractNum>
  <w:abstractNum w:abstractNumId="28">
    <w:nsid w:val="5EC6AFD4"/>
    <w:multiLevelType w:val="hybridMultilevel"/>
    <w:lvl w:ilvl="0">
      <w:lvlJc w:val="left"/>
      <w:lvlText w:val="%1."/>
      <w:numFmt w:val="decimal"/>
      <w:start w:val="98"/>
    </w:lvl>
  </w:abstractNum>
  <w:abstractNum w:abstractNumId="29">
    <w:nsid w:val="19E21BB2"/>
    <w:multiLevelType w:val="hybridMultilevel"/>
    <w:lvl w:ilvl="0">
      <w:lvlJc w:val="left"/>
      <w:lvlText w:val="%1."/>
      <w:numFmt w:val="decimal"/>
      <w:start w:val="102"/>
    </w:lvl>
  </w:abstractNum>
  <w:abstractNum w:abstractNumId="30">
    <w:nsid w:val="75E0858A"/>
    <w:multiLevelType w:val="hybridMultilevel"/>
    <w:lvl w:ilvl="0">
      <w:lvlJc w:val="left"/>
      <w:lvlText w:val="%1."/>
      <w:numFmt w:val="decimal"/>
      <w:start w:val="118"/>
    </w:lvl>
  </w:abstractNum>
  <w:abstractNum w:abstractNumId="31">
    <w:nsid w:val="57A61A29"/>
    <w:multiLevelType w:val="hybridMultilevel"/>
    <w:lvl w:ilvl="0">
      <w:lvlJc w:val="left"/>
      <w:lvlText w:val="%1."/>
      <w:numFmt w:val="decimal"/>
      <w:start w:val="120"/>
    </w:lvl>
  </w:abstractNum>
  <w:abstractNum w:abstractNumId="32">
    <w:nsid w:val="5399C654"/>
    <w:multiLevelType w:val="hybridMultilevel"/>
    <w:lvl w:ilvl="0">
      <w:lvlJc w:val="left"/>
      <w:lvlText w:val="%1."/>
      <w:numFmt w:val="decimal"/>
      <w:start w:val="123"/>
    </w:lvl>
  </w:abstractNum>
  <w:abstractNum w:abstractNumId="33">
    <w:nsid w:val="20EE1348"/>
    <w:multiLevelType w:val="hybridMultilevel"/>
    <w:lvl w:ilvl="0">
      <w:lvlJc w:val="left"/>
      <w:lvlText w:val="%1."/>
      <w:numFmt w:val="decimal"/>
      <w:start w:val="131"/>
    </w:lvl>
  </w:abstractNum>
  <w:abstractNum w:abstractNumId="34">
    <w:nsid w:val="4427069A"/>
    <w:multiLevelType w:val="hybridMultilevel"/>
    <w:lvl w:ilvl="0">
      <w:lvlJc w:val="left"/>
      <w:lvlText w:val="%1."/>
      <w:numFmt w:val="decimal"/>
      <w:start w:val="133"/>
    </w:lvl>
  </w:abstractNum>
  <w:abstractNum w:abstractNumId="35">
    <w:nsid w:val="B37E80A"/>
    <w:multiLevelType w:val="hybridMultilevel"/>
    <w:lvl w:ilvl="0">
      <w:lvlJc w:val="left"/>
      <w:lvlText w:val="%1."/>
      <w:numFmt w:val="decimal"/>
      <w:start w:val="135"/>
    </w:lvl>
  </w:abstractNum>
  <w:abstractNum w:abstractNumId="36">
    <w:nsid w:val="2157F6BC"/>
    <w:multiLevelType w:val="hybridMultilevel"/>
    <w:lvl w:ilvl="0">
      <w:lvlJc w:val="left"/>
      <w:lvlText w:val="%1."/>
      <w:numFmt w:val="decimal"/>
      <w:start w:val="138"/>
    </w:lvl>
  </w:abstractNum>
  <w:abstractNum w:abstractNumId="37">
    <w:nsid w:val="704E1DD5"/>
    <w:multiLevelType w:val="hybridMultilevel"/>
    <w:lvl w:ilvl="0">
      <w:lvlJc w:val="left"/>
      <w:lvlText w:val="%1."/>
      <w:numFmt w:val="decimal"/>
      <w:start w:val="142"/>
    </w:lvl>
  </w:abstractNum>
  <w:abstractNum w:abstractNumId="38">
    <w:nsid w:val="57D2F10E"/>
    <w:multiLevelType w:val="hybridMultilevel"/>
    <w:lvl w:ilvl="0">
      <w:lvlJc w:val="left"/>
      <w:lvlText w:val="%1."/>
      <w:numFmt w:val="decimal"/>
      <w:start w:val="144"/>
    </w:lvl>
  </w:abstractNum>
  <w:abstractNum w:abstractNumId="39">
    <w:nsid w:val="BFFAE18"/>
    <w:multiLevelType w:val="hybridMultilevel"/>
    <w:lvl w:ilvl="0">
      <w:lvlJc w:val="left"/>
      <w:lvlText w:val="%1."/>
      <w:numFmt w:val="decimal"/>
      <w:start w:val="148"/>
    </w:lvl>
  </w:abstractNum>
  <w:abstractNum w:abstractNumId="40">
    <w:nsid w:val="E3E47A8"/>
    <w:multiLevelType w:val="hybridMultilevel"/>
    <w:lvl w:ilvl="0">
      <w:lvlJc w:val="left"/>
      <w:lvlText w:val="%1."/>
      <w:numFmt w:val="decimal"/>
      <w:start w:val="149"/>
    </w:lvl>
  </w:abstractNum>
  <w:abstractNum w:abstractNumId="41">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49D0FEAC"/>
    <w:multiLevelType w:val="hybridMultilevel"/>
    <w:lvl w:ilvl="0">
      <w:lvlJc w:val="left"/>
      <w:lvlText w:val="(%1)"/>
      <w:numFmt w:val="lowerRoman"/>
      <w:start w:val="2"/>
    </w:lvl>
  </w:abstractNum>
  <w:abstractNum w:abstractNumId="43">
    <w:nsid w:val="4BEE5A5B"/>
    <w:multiLevelType w:val="hybridMultilevel"/>
    <w:lvl w:ilvl="0">
      <w:lvlJc w:val="left"/>
      <w:lvlText w:val="(%1)"/>
      <w:numFmt w:val="lowerRoman"/>
      <w:start w:val="7"/>
    </w:lvl>
    <w:lvl w:ilvl="1">
      <w:lvlJc w:val="left"/>
      <w:lvlText w:val="(%2)"/>
      <w:numFmt w:val="upperLetter"/>
      <w:start w:val="1"/>
    </w:lvl>
  </w:abstractNum>
  <w:abstractNum w:abstractNumId="44">
    <w:nsid w:val="5551B9F3"/>
    <w:multiLevelType w:val="hybridMultilevel"/>
    <w:lvl w:ilvl="0">
      <w:lvlJc w:val="left"/>
      <w:lvlText w:val="(%1)"/>
      <w:numFmt w:val="lowerRoman"/>
      <w:start w:val="13"/>
    </w:lvl>
    <w:lvl w:ilvl="1">
      <w:lvlJc w:val="left"/>
      <w:lvlText w:val="(%2)"/>
      <w:numFmt w:val="upperLetter"/>
      <w:start w:val="1"/>
    </w:lvl>
  </w:abstractNum>
  <w:abstractNum w:abstractNumId="45">
    <w:nsid w:val="24F6AB8E"/>
    <w:multiLevelType w:val="hybridMultilevel"/>
    <w:lvl w:ilvl="0">
      <w:lvlJc w:val="left"/>
      <w:lvlText w:val="%1"/>
      <w:numFmt w:val="decimal"/>
      <w:start w:val="1"/>
    </w:lvl>
    <w:lvl w:ilvl="1">
      <w:lvlJc w:val="left"/>
      <w:lvlText w:val="(%2)"/>
      <w:numFmt w:val="lowerLetter"/>
      <w:start w:val="2"/>
    </w:lvl>
  </w:abstractNum>
  <w:abstractNum w:abstractNumId="46">
    <w:nsid w:val="634C574C"/>
    <w:multiLevelType w:val="hybridMultilevel"/>
    <w:lvl w:ilvl="0">
      <w:lvlJc w:val="left"/>
      <w:lvlText w:val="%1."/>
      <w:numFmt w:val="decimal"/>
      <w:start w:val="3"/>
    </w:lvl>
    <w:lvl w:ilvl="1">
      <w:lvlJc w:val="left"/>
      <w:lvlText w:val="%2"/>
      <w:numFmt w:val="lowerLetter"/>
      <w:start w:val="1"/>
    </w:lvl>
  </w:abstractNum>
  <w:abstractNum w:abstractNumId="47">
    <w:nsid w:val="24E99DD7"/>
    <w:multiLevelType w:val="hybridMultilevel"/>
    <w:lvl w:ilvl="0">
      <w:lvlJc w:val="left"/>
      <w:lvlText w:val="%1."/>
      <w:numFmt w:val="decimal"/>
      <w:start w:val="4"/>
    </w:lvl>
    <w:lvl w:ilvl="1">
      <w:lvlJc w:val="left"/>
      <w:lvlText w:val="(%2)"/>
      <w:numFmt w:val="lowerLetter"/>
      <w:start w:val="1"/>
    </w:lvl>
  </w:abstractNum>
  <w:abstractNum w:abstractNumId="48">
    <w:nsid w:val="2A31B62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1849C29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0">
    <w:nsid w:val="7DFF9D0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1">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2">
    <w:nsid w:val="69E7F3E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53">
    <w:nsid w:val="2A6DE806"/>
    <w:multiLevelType w:val="hybridMultilevel"/>
    <w:lvl w:ilvl="0">
      <w:lvlJc w:val="left"/>
      <w:lvlText w:val="%1"/>
      <w:numFmt w:val="lowerLetter"/>
      <w:start w:val="1"/>
    </w:lvl>
    <w:lvl w:ilvl="1">
      <w:lvlJc w:val="left"/>
      <w:lvlText w:val="(%2)"/>
      <w:numFmt w:val="lowerRoman"/>
      <w:start w:val="2"/>
    </w:lvl>
  </w:abstractNum>
  <w:abstractNum w:abstractNumId="54">
    <w:nsid w:val="1816F8C4"/>
    <w:multiLevelType w:val="hybridMultilevel"/>
    <w:lvl w:ilvl="0">
      <w:lvlJc w:val="left"/>
      <w:lvlText w:val="(%1)"/>
      <w:numFmt w:val="lowerLetter"/>
      <w:start w:val="2"/>
    </w:lvl>
    <w:lvl w:ilvl="1">
      <w:lvlJc w:val="left"/>
      <w:lvlText w:val="%2"/>
      <w:numFmt w:val="lowerRoman"/>
      <w:start w:val="1"/>
    </w:lvl>
  </w:abstractNum>
  <w:abstractNum w:abstractNumId="55">
    <w:nsid w:val="37DF223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6">
    <w:nsid w:val="7AB49DA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7">
    <w:nsid w:val="759F82CD"/>
    <w:multiLevelType w:val="hybridMultilevel"/>
    <w:lvl w:ilvl="0">
      <w:lvlJc w:val="left"/>
      <w:lvlText w:val="%1."/>
      <w:numFmt w:val="decimal"/>
      <w:start w:val="13"/>
    </w:lvl>
    <w:lvl w:ilvl="1">
      <w:lvlJc w:val="left"/>
      <w:lvlText w:val="(%2)"/>
      <w:numFmt w:val="lowerLetter"/>
      <w:start w:val="1"/>
    </w:lvl>
  </w:abstractNum>
  <w:abstractNum w:abstractNumId="58">
    <w:nsid w:val="61E74EA3"/>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9"/>
    </w:lvl>
  </w:abstractNum>
  <w:abstractNum w:abstractNumId="59">
    <w:nsid w:val="597B4D84"/>
    <w:multiLevelType w:val="hybridMultilevel"/>
    <w:lvl w:ilvl="0">
      <w:lvlJc w:val="left"/>
      <w:lvlText w:val="(%1)"/>
      <w:numFmt w:val="lowerRoman"/>
      <w:start w:val="2"/>
    </w:lvl>
    <w:lvl w:ilvl="1">
      <w:lvlJc w:val="left"/>
      <w:lvlText w:val="(%2)"/>
      <w:numFmt w:val="upperLetter"/>
      <w:start w:val="1"/>
    </w:lvl>
  </w:abstractNum>
  <w:abstractNum w:abstractNumId="60">
    <w:nsid w:val="F819E7F"/>
    <w:multiLevelType w:val="hybridMultilevel"/>
    <w:lvl w:ilvl="0">
      <w:lvlJc w:val="left"/>
      <w:lvlText w:val="%1"/>
      <w:numFmt w:val="lowerLetter"/>
      <w:start w:val="1"/>
    </w:lvl>
    <w:lvl w:ilvl="1">
      <w:lvlJc w:val="left"/>
      <w:lvlText w:val="(%2)"/>
      <w:numFmt w:val="lowerRoman"/>
      <w:start w:val="3"/>
    </w:lvl>
  </w:abstractNum>
  <w:abstractNum w:abstractNumId="61">
    <w:nsid w:val="57C7D42D"/>
    <w:multiLevelType w:val="hybridMultilevel"/>
    <w:lvl w:ilvl="0">
      <w:lvlJc w:val="left"/>
      <w:lvlText w:val="(%1)"/>
      <w:numFmt w:val="lowerLetter"/>
      <w:start w:val="3"/>
    </w:lvl>
    <w:lvl w:ilvl="1">
      <w:lvlJc w:val="left"/>
      <w:lvlText w:val="%2"/>
      <w:numFmt w:val="lowerRoman"/>
      <w:start w:val="1"/>
    </w:lvl>
  </w:abstractNum>
  <w:abstractNum w:abstractNumId="62">
    <w:nsid w:val="312167AD"/>
    <w:multiLevelType w:val="hybridMultilevel"/>
    <w:lvl w:ilvl="0">
      <w:lvlJc w:val="left"/>
      <w:lvlText w:val="%1."/>
      <w:numFmt w:val="decimal"/>
      <w:start w:val="18"/>
    </w:lvl>
    <w:lvl w:ilvl="1">
      <w:lvlJc w:val="left"/>
      <w:lvlText w:val="(%2)"/>
      <w:numFmt w:val="lowerLetter"/>
      <w:start w:val="1"/>
    </w:lvl>
  </w:abstractNum>
  <w:abstractNum w:abstractNumId="63">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78B5E77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75486E47"/>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66">
    <w:nsid w:val="6E534CDE"/>
    <w:multiLevelType w:val="hybridMultilevel"/>
    <w:lvl w:ilvl="0">
      <w:lvlJc w:val="left"/>
      <w:lvlText w:val="(%1)"/>
      <w:numFmt w:val="lowerLetter"/>
      <w:start w:val="2"/>
    </w:lvl>
    <w:lvl w:ilvl="1">
      <w:lvlJc w:val="left"/>
      <w:lvlText w:val="(%2)"/>
      <w:numFmt w:val="lowerRoman"/>
      <w:start w:val="1"/>
    </w:lvl>
  </w:abstractNum>
  <w:abstractNum w:abstractNumId="67">
    <w:nsid w:val="1A0DDE32"/>
    <w:multiLevelType w:val="hybridMultilevel"/>
    <w:lvl w:ilvl="0">
      <w:lvlJc w:val="left"/>
      <w:lvlText w:val="%1"/>
      <w:numFmt w:val="decimal"/>
      <w:start w:val="1"/>
    </w:lvl>
    <w:lvl w:ilvl="1">
      <w:lvlJc w:val="left"/>
      <w:lvlText w:val="(%2)"/>
      <w:numFmt w:val="lowerLetter"/>
      <w:start w:val="4"/>
    </w:lvl>
  </w:abstractNum>
  <w:abstractNum w:abstractNumId="68">
    <w:nsid w:val="65968C1C"/>
    <w:multiLevelType w:val="hybridMultilevel"/>
    <w:lvl w:ilvl="0">
      <w:lvlJc w:val="left"/>
      <w:lvlText w:val="%1."/>
      <w:numFmt w:val="decimal"/>
      <w:start w:val="22"/>
    </w:lvl>
    <w:lvl w:ilvl="1">
      <w:lvlJc w:val="left"/>
      <w:lvlText w:val="(%2)"/>
      <w:numFmt w:val="lowerLetter"/>
      <w:start w:val="1"/>
    </w:lvl>
  </w:abstractNum>
  <w:abstractNum w:abstractNumId="69">
    <w:nsid w:val="46263DEC"/>
    <w:multiLevelType w:val="hybridMultilevel"/>
    <w:lvl w:ilvl="0">
      <w:lvlJc w:val="left"/>
      <w:lvlText w:val="%1."/>
      <w:numFmt w:val="decimal"/>
      <w:start w:val="23"/>
    </w:lvl>
  </w:abstractNum>
  <w:abstractNum w:abstractNumId="70">
    <w:nsid w:val="260D8C4A"/>
    <w:multiLevelType w:val="hybridMultilevel"/>
    <w:lvl w:ilvl="0">
      <w:lvlJc w:val="left"/>
      <w:lvlText w:val="%1."/>
      <w:numFmt w:val="decimal"/>
      <w:start w:val="24"/>
    </w:lvl>
    <w:lvl w:ilvl="1">
      <w:lvlJc w:val="left"/>
      <w:lvlText w:val="(%2)"/>
      <w:numFmt w:val="lowerLetter"/>
      <w:start w:val="1"/>
    </w:lvl>
  </w:abstractNum>
  <w:abstractNum w:abstractNumId="71">
    <w:nsid w:val="73D4D3C4"/>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2">
    <w:nsid w:val="746F2E30"/>
    <w:multiLevelType w:val="hybridMultilevel"/>
    <w:lvl w:ilvl="0">
      <w:lvlJc w:val="left"/>
      <w:lvlText w:val="%1."/>
      <w:numFmt w:val="upperLetter"/>
      <w:start w:val="9"/>
    </w:lvl>
  </w:abstractNum>
  <w:abstractNum w:abstractNumId="73">
    <w:nsid w:val="6FDE8AF6"/>
    <w:multiLevelType w:val="hybridMultilevel"/>
    <w:lvl w:ilvl="0">
      <w:lvlJc w:val="left"/>
      <w:lvlText w:val="%1"/>
      <w:numFmt w:val="lowerLetter"/>
      <w:start w:val="1"/>
    </w:lvl>
    <w:lvl w:ilvl="1">
      <w:lvlJc w:val="left"/>
      <w:lvlText w:val="%2."/>
      <w:numFmt w:val="upperLetter"/>
      <w:start w:val="35"/>
    </w:lvl>
  </w:abstractNum>
  <w:abstractNum w:abstractNumId="74">
    <w:nsid w:val="3FC32E20"/>
    <w:multiLevelType w:val="hybridMultilevel"/>
    <w:lvl w:ilvl="0">
      <w:lvlJc w:val="left"/>
      <w:lvlText w:val="(%1)"/>
      <w:numFmt w:val="lowerLetter"/>
      <w:start w:val="4"/>
    </w:lvl>
    <w:lvl w:ilvl="1">
      <w:lvlJc w:val="left"/>
      <w:lvlText w:val="%2"/>
      <w:numFmt w:val="upperLetter"/>
      <w:start w:val="1"/>
    </w:lvl>
  </w:abstractNum>
  <w:abstractNum w:abstractNumId="75">
    <w:nsid w:val="49C0E8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6">
    <w:nsid w:val="14D53685"/>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7">
    <w:nsid w:val="230F856C"/>
    <w:multiLevelType w:val="hybridMultilevel"/>
    <w:lvl w:ilvl="0">
      <w:lvlJc w:val="left"/>
      <w:lvlText w:val="%1"/>
      <w:numFmt w:val="decimal"/>
      <w:start w:val="1"/>
    </w:lvl>
    <w:lvl w:ilvl="1">
      <w:lvlJc w:val="left"/>
      <w:lvlText w:val="(%2)"/>
      <w:numFmt w:val="lowerLetter"/>
      <w:start w:val="1"/>
    </w:lvl>
  </w:abstractNum>
  <w:abstractNum w:abstractNumId="78">
    <w:nsid w:val="6EAA85FB"/>
    <w:multiLevelType w:val="hybridMultilevel"/>
    <w:lvl w:ilvl="0">
      <w:lvlJc w:val="left"/>
      <w:lvlText w:val="%1."/>
      <w:numFmt w:val="decimal"/>
      <w:start w:val="30"/>
    </w:lvl>
    <w:lvl w:ilvl="1">
      <w:lvlJc w:val="left"/>
      <w:lvlText w:val="%2"/>
      <w:numFmt w:val="lowerLetter"/>
      <w:start w:val="1"/>
    </w:lvl>
  </w:abstractNum>
  <w:abstractNum w:abstractNumId="79">
    <w:nsid w:val="3F06ECB2"/>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80">
    <w:nsid w:val="3B59480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81">
    <w:nsid w:val="6CAA2304"/>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2">
    <w:nsid w:val="3F7C2FF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3">
    <w:nsid w:val="25413BEC"/>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84">
    <w:nsid w:val="17180B0B"/>
    <w:multiLevelType w:val="hybridMultilevel"/>
    <w:lvl w:ilvl="0">
      <w:lvlJc w:val="left"/>
      <w:lvlText w:val="%1"/>
      <w:numFmt w:val="decimal"/>
      <w:start w:val="1"/>
    </w:lvl>
    <w:lvl w:ilvl="1">
      <w:lvlJc w:val="left"/>
      <w:lvlText w:val="(%2)"/>
      <w:numFmt w:val="lowerLetter"/>
      <w:start w:val="4"/>
    </w:lvl>
  </w:abstractNum>
  <w:abstractNum w:abstractNumId="85">
    <w:nsid w:val="579328B9"/>
    <w:multiLevelType w:val="hybridMultilevel"/>
    <w:lvl w:ilvl="0">
      <w:lvlJc w:val="left"/>
      <w:lvlText w:val="%1."/>
      <w:numFmt w:val="decimal"/>
      <w:start w:val="37"/>
    </w:lvl>
    <w:lvl w:ilvl="1">
      <w:lvlJc w:val="left"/>
      <w:lvlText w:val="%2"/>
      <w:numFmt w:val="lowerLetter"/>
      <w:start w:val="1"/>
    </w:lvl>
  </w:abstractNum>
  <w:abstractNum w:abstractNumId="86">
    <w:nsid w:val="5D205E20"/>
    <w:multiLevelType w:val="hybridMultilevel"/>
    <w:lvl w:ilvl="0">
      <w:lvlJc w:val="left"/>
      <w:lvlText w:val="%1."/>
      <w:numFmt w:val="decimal"/>
      <w:start w:val="38"/>
    </w:lvl>
    <w:lvl w:ilvl="1">
      <w:lvlJc w:val="left"/>
      <w:lvlText w:val="(%2)"/>
      <w:numFmt w:val="lowerLetter"/>
      <w:start w:val="1"/>
    </w:lvl>
  </w:abstractNum>
  <w:abstractNum w:abstractNumId="87">
    <w:nsid w:val="11CCA8BA"/>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88">
    <w:nsid w:val="4D32AB86"/>
    <w:multiLevelType w:val="hybridMultilevel"/>
    <w:lvl w:ilvl="0">
      <w:lvlJc w:val="left"/>
      <w:lvlText w:val="%1."/>
      <w:numFmt w:val="decimal"/>
      <w:start w:val="42"/>
    </w:lvl>
    <w:lvl w:ilvl="1">
      <w:lvlJc w:val="left"/>
      <w:lvlText w:val="(%2)"/>
      <w:numFmt w:val="lowerLetter"/>
      <w:start w:val="1"/>
    </w:lvl>
  </w:abstractNum>
  <w:abstractNum w:abstractNumId="89">
    <w:nsid w:val="3F07ACC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0">
    <w:nsid w:val="6B47F63E"/>
    <w:multiLevelType w:val="hybridMultilevel"/>
    <w:lvl w:ilvl="0">
      <w:lvlJc w:val="left"/>
      <w:lvlText w:val="%1."/>
      <w:numFmt w:val="decimal"/>
      <w:start w:val="43"/>
    </w:lvl>
    <w:lvl w:ilvl="1">
      <w:lvlJc w:val="left"/>
      <w:lvlText w:val="(%2)"/>
      <w:numFmt w:val="lowerLetter"/>
      <w:start w:val="1"/>
    </w:lvl>
    <w:lvl w:ilvl="2">
      <w:lvlJc w:val="left"/>
      <w:lvlText w:val="(%3)"/>
      <w:numFmt w:val="lowerLetter"/>
      <w:start w:val="9"/>
    </w:lvl>
  </w:abstractNum>
  <w:abstractNum w:abstractNumId="91">
    <w:nsid w:val="5CB44A05"/>
    <w:multiLevelType w:val="hybridMultilevel"/>
    <w:lvl w:ilvl="0">
      <w:lvlJc w:val="left"/>
      <w:lvlText w:val="(%1)"/>
      <w:numFmt w:val="lowerRoman"/>
      <w:start w:val="2"/>
    </w:lvl>
  </w:abstractNum>
  <w:abstractNum w:abstractNumId="92">
    <w:nsid w:val="16CF80F1"/>
    <w:multiLevelType w:val="hybridMultilevel"/>
    <w:lvl w:ilvl="0">
      <w:lvlJc w:val="left"/>
      <w:lvlText w:val="%1"/>
      <w:numFmt w:val="decimal"/>
      <w:start w:val="1"/>
    </w:lvl>
    <w:lvl w:ilvl="1">
      <w:lvlJc w:val="left"/>
      <w:lvlText w:val="(%2)"/>
      <w:numFmt w:val="lowerLetter"/>
      <w:start w:val="4"/>
    </w:lvl>
  </w:abstractNum>
  <w:abstractNum w:abstractNumId="93">
    <w:nsid w:val="1C695DEC"/>
    <w:multiLevelType w:val="hybridMultilevel"/>
    <w:lvl w:ilvl="0">
      <w:lvlJc w:val="left"/>
      <w:lvlText w:val="%1."/>
      <w:numFmt w:val="decimal"/>
      <w:start w:val="45"/>
    </w:lvl>
    <w:lvl w:ilvl="1">
      <w:lvlJc w:val="left"/>
      <w:lvlText w:val="(%2)"/>
      <w:numFmt w:val="lowerLetter"/>
      <w:start w:val="1"/>
    </w:lvl>
  </w:abstractNum>
  <w:abstractNum w:abstractNumId="94">
    <w:nsid w:val="3FCFAED9"/>
    <w:multiLevelType w:val="hybridMultilevel"/>
    <w:lvl w:ilvl="0">
      <w:lvlJc w:val="left"/>
      <w:lvlText w:val="%1"/>
      <w:numFmt w:val="decimal"/>
      <w:start w:val="1"/>
    </w:lvl>
    <w:lvl w:ilvl="1">
      <w:lvlJc w:val="left"/>
      <w:lvlText w:val="(%2)"/>
      <w:numFmt w:val="lowerLetter"/>
      <w:start w:val="8"/>
    </w:lvl>
  </w:abstractNum>
  <w:abstractNum w:abstractNumId="95">
    <w:nsid w:val="F856867"/>
    <w:multiLevelType w:val="hybridMultilevel"/>
    <w:lvl w:ilvl="0">
      <w:lvlJc w:val="left"/>
      <w:lvlText w:val="%1."/>
      <w:numFmt w:val="decimal"/>
      <w:start w:val="46"/>
    </w:lvl>
    <w:lvl w:ilvl="1">
      <w:lvlJc w:val="left"/>
      <w:lvlText w:val="%2"/>
      <w:numFmt w:val="lowerLetter"/>
      <w:start w:val="1"/>
    </w:lvl>
  </w:abstractNum>
  <w:abstractNum w:abstractNumId="96">
    <w:nsid w:val="11B1CC33"/>
    <w:multiLevelType w:val="hybridMultilevel"/>
    <w:lvl w:ilvl="0">
      <w:lvlJc w:val="left"/>
      <w:lvlText w:val="%1"/>
      <w:numFmt w:val="decimal"/>
      <w:start w:val="1"/>
    </w:lvl>
    <w:lvl w:ilvl="1">
      <w:lvlJc w:val="left"/>
      <w:lvlText w:val="(%2)"/>
      <w:numFmt w:val="lowerLetter"/>
      <w:start w:val="1"/>
    </w:lvl>
  </w:abstractNum>
  <w:abstractNum w:abstractNumId="97">
    <w:nsid w:val="2E22FBB7"/>
    <w:multiLevelType w:val="hybridMultilevel"/>
    <w:lvl w:ilvl="0">
      <w:lvlJc w:val="left"/>
      <w:lvlText w:val="%1."/>
      <w:numFmt w:val="decimal"/>
      <w:start w:val="47"/>
    </w:lvl>
    <w:lvl w:ilvl="1">
      <w:lvlJc w:val="left"/>
      <w:lvlText w:val="(%2)"/>
      <w:numFmt w:val="lowerLetter"/>
      <w:start w:val="1"/>
    </w:lvl>
  </w:abstractNum>
  <w:abstractNum w:abstractNumId="98">
    <w:nsid w:val="29934699"/>
    <w:multiLevelType w:val="hybridMultilevel"/>
    <w:lvl w:ilvl="0">
      <w:lvlJc w:val="left"/>
      <w:lvlText w:val="%1."/>
      <w:numFmt w:val="decimal"/>
      <w:start w:val="49"/>
    </w:lvl>
  </w:abstractNum>
  <w:abstractNum w:abstractNumId="99">
    <w:nsid w:val="77485850"/>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0">
    <w:nsid w:val="744939A3"/>
    <w:multiLevelType w:val="hybridMultilevel"/>
    <w:lvl w:ilvl="0">
      <w:lvlJc w:val="left"/>
      <w:lvlText w:val="%1"/>
      <w:numFmt w:val="decimal"/>
      <w:start w:val="1"/>
    </w:lvl>
    <w:lvl w:ilvl="1">
      <w:lvlJc w:val="left"/>
      <w:lvlText w:val="(%2)"/>
      <w:numFmt w:val="lowerLetter"/>
      <w:start w:val="2"/>
    </w:lvl>
  </w:abstractNum>
  <w:abstractNum w:abstractNumId="101">
    <w:nsid w:val="4FA0D2E3"/>
    <w:multiLevelType w:val="hybridMultilevel"/>
    <w:lvl w:ilvl="0">
      <w:lvlJc w:val="left"/>
      <w:lvlText w:val="%1."/>
      <w:numFmt w:val="decimal"/>
      <w:start w:val="52"/>
    </w:lvl>
    <w:lvl w:ilvl="1">
      <w:lvlJc w:val="left"/>
      <w:lvlText w:val="%2"/>
      <w:numFmt w:val="lowerLetter"/>
      <w:start w:val="1"/>
    </w:lvl>
  </w:abstractNum>
  <w:abstractNum w:abstractNumId="102">
    <w:nsid w:val="6B1D2C14"/>
    <w:multiLevelType w:val="hybridMultilevel"/>
    <w:lvl w:ilvl="0">
      <w:lvlJc w:val="left"/>
      <w:lvlText w:val="%1."/>
      <w:numFmt w:val="decimal"/>
      <w:start w:val="53"/>
    </w:lvl>
  </w:abstractNum>
  <w:abstractNum w:abstractNumId="103">
    <w:nsid w:val="68B867D3"/>
    <w:multiLevelType w:val="hybridMultilevel"/>
    <w:lvl w:ilvl="0">
      <w:lvlJc w:val="left"/>
      <w:lvlText w:val="%1."/>
      <w:numFmt w:val="decimal"/>
      <w:start w:val="55"/>
    </w:lvl>
  </w:abstractNum>
  <w:abstractNum w:abstractNumId="104">
    <w:nsid w:val="3F7F5DD9"/>
    <w:multiLevelType w:val="hybridMultilevel"/>
    <w:lvl w:ilvl="0">
      <w:lvlJc w:val="left"/>
      <w:lvlText w:val="%1."/>
      <w:numFmt w:val="decimal"/>
      <w:start w:val="56"/>
    </w:lvl>
    <w:lvl w:ilvl="1">
      <w:lvlJc w:val="left"/>
      <w:lvlText w:val="(%2)"/>
      <w:numFmt w:val="lowerLetter"/>
      <w:start w:val="1"/>
    </w:lvl>
  </w:abstractNum>
  <w:abstractNum w:abstractNumId="105">
    <w:nsid w:val="2AE05A34"/>
    <w:multiLevelType w:val="hybridMultilevel"/>
    <w:lvl w:ilvl="0">
      <w:lvlJc w:val="left"/>
      <w:lvlText w:val="%1."/>
      <w:numFmt w:val="decimal"/>
      <w:start w:val="5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6">
    <w:nsid w:val="32794FF7"/>
    <w:multiLevelType w:val="hybridMultilevel"/>
    <w:lvl w:ilvl="0">
      <w:lvlJc w:val="left"/>
      <w:lvlText w:val="(%1)"/>
      <w:numFmt w:val="lowerLetter"/>
      <w:start w:val="2"/>
    </w:lvl>
  </w:abstractNum>
  <w:abstractNum w:abstractNumId="107">
    <w:nsid w:val="5454945E"/>
    <w:multiLevelType w:val="hybridMultilevel"/>
    <w:lvl w:ilvl="0">
      <w:lvlJc w:val="left"/>
      <w:lvlText w:val="%1."/>
      <w:numFmt w:val="decimal"/>
      <w:start w:val="59"/>
    </w:lvl>
    <w:lvl w:ilvl="1">
      <w:lvlJc w:val="left"/>
      <w:lvlText w:val="(%2)"/>
      <w:numFmt w:val="lowerLetter"/>
      <w:start w:val="1"/>
    </w:lvl>
  </w:abstractNum>
  <w:abstractNum w:abstractNumId="108">
    <w:nsid w:val="4DEFDFA0"/>
    <w:multiLevelType w:val="hybridMultilevel"/>
    <w:lvl w:ilvl="0">
      <w:lvlJc w:val="left"/>
      <w:lvlText w:val="%1."/>
      <w:numFmt w:val="decimal"/>
      <w:start w:val="60"/>
    </w:lvl>
    <w:lvl w:ilvl="1">
      <w:lvlJc w:val="left"/>
      <w:lvlText w:val="(%2)"/>
      <w:numFmt w:val="lowerLetter"/>
      <w:start w:val="1"/>
    </w:lvl>
  </w:abstractNum>
  <w:abstractNum w:abstractNumId="109">
    <w:nsid w:val="2123D5F2"/>
    <w:multiLevelType w:val="hybridMultilevel"/>
    <w:lvl w:ilvl="0">
      <w:lvlJc w:val="left"/>
      <w:lvlText w:val="%1."/>
      <w:numFmt w:val="decimal"/>
      <w:start w:val="62"/>
    </w:lvl>
    <w:lvl w:ilvl="1">
      <w:lvlJc w:val="left"/>
      <w:lvlText w:val="(%2)"/>
      <w:numFmt w:val="lowerLetter"/>
      <w:start w:val="1"/>
    </w:lvl>
  </w:abstractNum>
  <w:abstractNum w:abstractNumId="110">
    <w:nsid w:val="135B8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1">
    <w:nsid w:val="94927A8"/>
    <w:multiLevelType w:val="hybridMultilevel"/>
    <w:lvl w:ilvl="0">
      <w:lvlJc w:val="left"/>
      <w:lvlText w:val="%1."/>
      <w:numFmt w:val="decimal"/>
      <w:start w:val="63"/>
    </w:lvl>
    <w:lvl w:ilvl="1">
      <w:lvlJc w:val="left"/>
      <w:lvlText w:val="(%2)"/>
      <w:numFmt w:val="lowerLetter"/>
      <w:start w:val="1"/>
    </w:lvl>
    <w:lvl w:ilvl="2">
      <w:lvlJc w:val="left"/>
      <w:lvlText w:val="(%3)"/>
      <w:numFmt w:val="lowerRoman"/>
      <w:start w:val="1"/>
    </w:lvl>
  </w:abstractNum>
  <w:abstractNum w:abstractNumId="112">
    <w:nsid w:val="DCDF8F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3">
    <w:nsid w:val="52D7B105"/>
    <w:multiLevelType w:val="hybridMultilevel"/>
    <w:lvl w:ilvl="0">
      <w:lvlJc w:val="left"/>
      <w:lvlText w:val="%1."/>
      <w:numFmt w:val="decimal"/>
      <w:start w:val="66"/>
    </w:lvl>
    <w:lvl w:ilvl="1">
      <w:lvlJc w:val="left"/>
      <w:lvlText w:val="(%2)"/>
      <w:numFmt w:val="lowerLetter"/>
      <w:start w:val="1"/>
    </w:lvl>
    <w:lvl w:ilvl="2">
      <w:lvlJc w:val="left"/>
      <w:lvlText w:val="(%3)"/>
      <w:numFmt w:val="lowerRoman"/>
      <w:start w:val="1"/>
    </w:lvl>
  </w:abstractNum>
  <w:abstractNum w:abstractNumId="114">
    <w:nsid w:val="2E8A6394"/>
    <w:multiLevelType w:val="hybridMultilevel"/>
    <w:lvl w:ilvl="0">
      <w:lvlJc w:val="left"/>
      <w:lvlText w:val="(%1)"/>
      <w:numFmt w:val="lowerRoman"/>
      <w:start w:val="5"/>
    </w:lvl>
  </w:abstractNum>
  <w:abstractNum w:abstractNumId="115">
    <w:nsid w:val="24E60401"/>
    <w:multiLevelType w:val="hybridMultilevel"/>
    <w:lvl w:ilvl="0">
      <w:lvlJc w:val="left"/>
      <w:lvlText w:val="%1."/>
      <w:numFmt w:val="decimal"/>
      <w:start w:val="68"/>
    </w:lvl>
    <w:lvl w:ilvl="1">
      <w:lvlJc w:val="left"/>
      <w:lvlText w:val="(%2)"/>
      <w:numFmt w:val="lowerLetter"/>
      <w:start w:val="1"/>
    </w:lvl>
  </w:abstractNum>
  <w:abstractNum w:abstractNumId="116">
    <w:nsid w:val="2A6AD9BE"/>
    <w:multiLevelType w:val="hybridMultilevel"/>
    <w:lvl w:ilvl="0">
      <w:lvlJc w:val="left"/>
      <w:lvlText w:val="(%1)"/>
      <w:numFmt w:val="lowerLetter"/>
      <w:start w:val="2"/>
    </w:lvl>
  </w:abstractNum>
  <w:abstractNum w:abstractNumId="117">
    <w:nsid w:val="BAAC1B4"/>
    <w:multiLevelType w:val="hybridMultilevel"/>
    <w:lvl w:ilvl="0">
      <w:lvlJc w:val="left"/>
      <w:lvlText w:val="%1."/>
      <w:numFmt w:val="decimal"/>
      <w:start w:val="70"/>
    </w:lvl>
    <w:lvl w:ilvl="1">
      <w:lvlJc w:val="left"/>
      <w:lvlText w:val="(%2)"/>
      <w:numFmt w:val="lowerLetter"/>
      <w:start w:val="1"/>
    </w:lvl>
  </w:abstractNum>
  <w:abstractNum w:abstractNumId="118">
    <w:nsid w:val="36B2ACBC"/>
    <w:multiLevelType w:val="hybridMultilevel"/>
    <w:lvl w:ilvl="0">
      <w:lvlJc w:val="left"/>
      <w:lvlText w:val="%1."/>
      <w:numFmt w:val="decimal"/>
      <w:start w:val="73"/>
    </w:lvl>
  </w:abstractNum>
  <w:abstractNum w:abstractNumId="119">
    <w:nsid w:val="779D8544"/>
    <w:multiLevelType w:val="hybridMultilevel"/>
    <w:lvl w:ilvl="0">
      <w:lvlJc w:val="left"/>
      <w:lvlText w:val="%1."/>
      <w:numFmt w:val="decimal"/>
      <w:start w:val="75"/>
    </w:lvl>
    <w:lvl w:ilvl="1">
      <w:lvlJc w:val="left"/>
      <w:lvlText w:val="(%2)"/>
      <w:numFmt w:val="lowerLetter"/>
      <w:start w:val="1"/>
    </w:lvl>
  </w:abstractNum>
  <w:abstractNum w:abstractNumId="120">
    <w:nsid w:val="4AB26E78"/>
    <w:multiLevelType w:val="hybridMultilevel"/>
    <w:lvl w:ilvl="0">
      <w:lvlJc w:val="left"/>
      <w:lvlText w:val="%1."/>
      <w:numFmt w:val="decimal"/>
      <w:start w:val="77"/>
    </w:lvl>
    <w:lvl w:ilvl="1">
      <w:lvlJc w:val="left"/>
      <w:lvlText w:val="(%2)"/>
      <w:numFmt w:val="lowerLetter"/>
      <w:start w:val="1"/>
    </w:lvl>
  </w:abstractNum>
  <w:abstractNum w:abstractNumId="121">
    <w:nsid w:val="21FAA2FA"/>
    <w:multiLevelType w:val="hybridMultilevel"/>
    <w:lvl w:ilvl="0">
      <w:lvlJc w:val="left"/>
      <w:lvlText w:val="%1."/>
      <w:numFmt w:val="decimal"/>
      <w:start w:val="78"/>
    </w:lvl>
    <w:lvl w:ilvl="1">
      <w:lvlJc w:val="left"/>
      <w:lvlText w:val="(%2)"/>
      <w:numFmt w:val="lowerLetter"/>
      <w:start w:val="1"/>
    </w:lvl>
  </w:abstractNum>
  <w:abstractNum w:abstractNumId="122">
    <w:nsid w:val="5451CF49"/>
    <w:multiLevelType w:val="hybridMultilevel"/>
    <w:lvl w:ilvl="0">
      <w:lvlJc w:val="left"/>
      <w:lvlText w:val="%1."/>
      <w:numFmt w:val="decimal"/>
      <w:start w:val="80"/>
    </w:lvl>
  </w:abstractNum>
  <w:abstractNum w:abstractNumId="123">
    <w:nsid w:val="6181EF69"/>
    <w:multiLevelType w:val="hybridMultilevel"/>
    <w:lvl w:ilvl="0">
      <w:lvlJc w:val="left"/>
      <w:lvlText w:val="%1."/>
      <w:numFmt w:val="decimal"/>
      <w:start w:val="83"/>
    </w:lvl>
    <w:lvl w:ilvl="1">
      <w:lvlJc w:val="left"/>
      <w:lvlText w:val="(%2)"/>
      <w:numFmt w:val="lowerLetter"/>
      <w:start w:val="1"/>
    </w:lvl>
  </w:abstractNum>
  <w:abstractNum w:abstractNumId="124">
    <w:nsid w:val="3E6400E6"/>
    <w:multiLevelType w:val="hybridMultilevel"/>
    <w:lvl w:ilvl="0">
      <w:lvlJc w:val="left"/>
      <w:lvlText w:val="%1."/>
      <w:numFmt w:val="decimal"/>
      <w:start w:val="85"/>
    </w:lvl>
    <w:lvl w:ilvl="1">
      <w:lvlJc w:val="left"/>
      <w:lvlText w:val="(%2)"/>
      <w:numFmt w:val="lowerLetter"/>
      <w:start w:val="1"/>
    </w:lvl>
    <w:lvl w:ilvl="2">
      <w:lvlJc w:val="left"/>
      <w:lvlText w:val="(%3)"/>
      <w:numFmt w:val="lowerRoman"/>
      <w:start w:val="1"/>
    </w:lvl>
  </w:abstractNum>
  <w:abstractNum w:abstractNumId="125">
    <w:nsid w:val="14217E23"/>
    <w:multiLevelType w:val="hybridMultilevel"/>
    <w:lvl w:ilvl="0">
      <w:lvlJc w:val="left"/>
      <w:lvlText w:val="%1."/>
      <w:numFmt w:val="decimal"/>
      <w:start w:val="87"/>
    </w:lvl>
    <w:lvl w:ilvl="1">
      <w:lvlJc w:val="left"/>
      <w:lvlText w:val="(%2)"/>
      <w:numFmt w:val="lowerLetter"/>
      <w:start w:val="1"/>
    </w:lvl>
  </w:abstractNum>
  <w:abstractNum w:abstractNumId="126">
    <w:nsid w:val="710757D0"/>
    <w:multiLevelType w:val="hybridMultilevel"/>
    <w:lvl w:ilvl="0">
      <w:lvlJc w:val="left"/>
      <w:lvlText w:val="(%1)"/>
      <w:numFmt w:val="lowerLetter"/>
      <w:start w:val="3"/>
    </w:lvl>
    <w:lvl w:ilvl="1">
      <w:lvlJc w:val="left"/>
      <w:lvlText w:val="(%2)"/>
      <w:numFmt w:val="lowerRoman"/>
      <w:start w:val="1"/>
    </w:lvl>
  </w:abstractNum>
  <w:abstractNum w:abstractNumId="127">
    <w:nsid w:val="5015CD1A"/>
    <w:multiLevelType w:val="hybridMultilevel"/>
    <w:lvl w:ilvl="0">
      <w:lvlJc w:val="left"/>
      <w:lvlText w:val="%1."/>
      <w:numFmt w:val="decimal"/>
      <w:start w:val="88"/>
    </w:lvl>
    <w:lvl w:ilvl="1">
      <w:lvlJc w:val="left"/>
      <w:lvlText w:val="(%2)"/>
      <w:numFmt w:val="lowerLetter"/>
      <w:start w:val="1"/>
    </w:lvl>
  </w:abstractNum>
  <w:abstractNum w:abstractNumId="128">
    <w:nsid w:val="424479D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9">
    <w:nsid w:val="1A9A9E69"/>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130">
    <w:nsid w:val="475E256A"/>
    <w:multiLevelType w:val="hybridMultilevel"/>
    <w:lvl w:ilvl="0">
      <w:lvlJc w:val="left"/>
      <w:lvlText w:val="%1"/>
      <w:numFmt w:val="lowerLetter"/>
      <w:start w:val="1"/>
    </w:lvl>
    <w:lvl w:ilvl="1">
      <w:lvlJc w:val="left"/>
      <w:lvlText w:val="(%2)"/>
      <w:numFmt w:val="lowerLetter"/>
      <w:start w:val="22"/>
    </w:lvl>
  </w:abstractNum>
  <w:abstractNum w:abstractNumId="131">
    <w:nsid w:val="368DB37E"/>
    <w:multiLevelType w:val="hybridMultilevel"/>
    <w:lvl w:ilvl="0">
      <w:lvlJc w:val="left"/>
      <w:lvlText w:val="(%1)"/>
      <w:numFmt w:val="lowerLetter"/>
      <w:start w:val="2"/>
    </w:lvl>
    <w:lvl w:ilvl="1">
      <w:lvlJc w:val="left"/>
      <w:lvlText w:val="(%2)"/>
      <w:numFmt w:val="lowerLetter"/>
      <w:start w:val="9"/>
    </w:lvl>
  </w:abstractNum>
  <w:abstractNum w:abstractNumId="132">
    <w:nsid w:val="6A3B714C"/>
    <w:multiLevelType w:val="hybridMultilevel"/>
    <w:lvl w:ilvl="0">
      <w:lvlJc w:val="left"/>
      <w:lvlText w:val="(%1)"/>
      <w:numFmt w:val="lowerRoman"/>
      <w:start w:val="2"/>
    </w:lvl>
    <w:lvl w:ilvl="1">
      <w:lvlJc w:val="left"/>
      <w:lvlText w:val="(%2)"/>
      <w:numFmt w:val="upperLetter"/>
      <w:start w:val="1"/>
    </w:lvl>
  </w:abstractNum>
  <w:abstractNum w:abstractNumId="133">
    <w:nsid w:val="327B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34">
    <w:nsid w:val="1F461B5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5">
    <w:nsid w:val="29BACF25"/>
    <w:multiLevelType w:val="hybridMultilevel"/>
    <w:lvl w:ilvl="0">
      <w:lvlJc w:val="left"/>
      <w:lvlText w:val="%1."/>
      <w:numFmt w:val="decimal"/>
      <w:start w:val="91"/>
    </w:lvl>
    <w:lvl w:ilvl="1">
      <w:lvlJc w:val="left"/>
      <w:lvlText w:val="%2"/>
      <w:numFmt w:val="lowerLetter"/>
      <w:start w:val="1"/>
    </w:lvl>
    <w:lvl w:ilvl="2">
      <w:lvlJc w:val="left"/>
      <w:lvlText w:val="%3"/>
      <w:numFmt w:val="lowerRoman"/>
      <w:start w:val="1"/>
    </w:lvl>
  </w:abstractNum>
  <w:abstractNum w:abstractNumId="136">
    <w:nsid w:val="5D5BABB3"/>
    <w:multiLevelType w:val="hybridMultilevel"/>
    <w:lvl w:ilvl="0">
      <w:lvlJc w:val="left"/>
      <w:lvlText w:val="(%1)"/>
      <w:numFmt w:val="lowerLetter"/>
      <w:start w:val="1"/>
    </w:lvl>
  </w:abstractNum>
  <w:abstractNum w:abstractNumId="137">
    <w:nsid w:val="51BF6B48"/>
    <w:multiLevelType w:val="hybridMultilevel"/>
    <w:lvl w:ilvl="0">
      <w:lvlJc w:val="left"/>
      <w:lvlText w:val="%1."/>
      <w:numFmt w:val="decimal"/>
      <w:start w:val="92"/>
    </w:lvl>
    <w:lvl w:ilvl="1">
      <w:lvlJc w:val="left"/>
      <w:lvlText w:val="(%2)"/>
      <w:numFmt w:val="lowerLetter"/>
      <w:start w:val="1"/>
    </w:lvl>
  </w:abstractNum>
  <w:abstractNum w:abstractNumId="138">
    <w:nsid w:val="7E0F6384"/>
    <w:multiLevelType w:val="hybridMultilevel"/>
    <w:lvl w:ilvl="0">
      <w:lvlJc w:val="left"/>
      <w:lvlText w:val="%1."/>
      <w:numFmt w:val="decimal"/>
      <w:start w:val="96"/>
    </w:lvl>
    <w:lvl w:ilvl="1">
      <w:lvlJc w:val="left"/>
      <w:lvlText w:val="(%2)"/>
      <w:numFmt w:val="lowerLetter"/>
      <w:start w:val="1"/>
    </w:lvl>
    <w:lvl w:ilvl="2">
      <w:lvlJc w:val="left"/>
      <w:lvlText w:val="(%3)"/>
      <w:numFmt w:val="lowerRoman"/>
      <w:start w:val="1"/>
    </w:lvl>
  </w:abstractNum>
  <w:abstractNum w:abstractNumId="139">
    <w:nsid w:val="2B4B8B53"/>
    <w:multiLevelType w:val="hybridMultilevel"/>
    <w:lvl w:ilvl="0">
      <w:lvlJc w:val="left"/>
      <w:lvlText w:val="%1"/>
      <w:numFmt w:val="decimal"/>
      <w:start w:val="1"/>
    </w:lvl>
    <w:lvl w:ilvl="1">
      <w:lvlJc w:val="left"/>
      <w:lvlText w:val="(%2)"/>
      <w:numFmt w:val="lowerLetter"/>
      <w:start w:val="4"/>
    </w:lvl>
  </w:abstractNum>
  <w:abstractNum w:abstractNumId="140">
    <w:nsid w:val="72E3413A"/>
    <w:multiLevelType w:val="hybridMultilevel"/>
    <w:lvl w:ilvl="0">
      <w:lvlJc w:val="left"/>
      <w:lvlText w:val="%1."/>
      <w:numFmt w:val="decimal"/>
      <w:start w:val="100"/>
    </w:lvl>
    <w:lvl w:ilvl="1">
      <w:lvlJc w:val="left"/>
      <w:lvlText w:val="%2"/>
      <w:numFmt w:val="lowerLetter"/>
      <w:start w:val="1"/>
    </w:lvl>
  </w:abstractNum>
  <w:abstractNum w:abstractNumId="141">
    <w:nsid w:val="116AE494"/>
    <w:multiLevelType w:val="hybridMultilevel"/>
    <w:lvl w:ilvl="0">
      <w:lvlJc w:val="left"/>
      <w:lvlText w:val="%1."/>
      <w:numFmt w:val="decimal"/>
      <w:start w:val="101"/>
    </w:lvl>
    <w:lvl w:ilvl="1">
      <w:lvlJc w:val="left"/>
      <w:lvlText w:val="(%2)"/>
      <w:numFmt w:val="lowerLetter"/>
      <w:start w:val="1"/>
    </w:lvl>
    <w:lvl w:ilvl="2">
      <w:lvlJc w:val="left"/>
      <w:lvlText w:val="(%3)"/>
      <w:numFmt w:val="lowerRoman"/>
      <w:start w:val="1"/>
    </w:lvl>
  </w:abstractNum>
  <w:abstractNum w:abstractNumId="142">
    <w:nsid w:val="3494B2FB"/>
    <w:multiLevelType w:val="hybridMultilevel"/>
    <w:lvl w:ilvl="0">
      <w:lvlJc w:val="left"/>
      <w:lvlText w:val="%1."/>
      <w:numFmt w:val="decimal"/>
      <w:start w:val="104"/>
    </w:lvl>
    <w:lvl w:ilvl="1">
      <w:lvlJc w:val="left"/>
      <w:lvlText w:val="(%2)"/>
      <w:numFmt w:val="lowerLetter"/>
      <w:start w:val="1"/>
    </w:lvl>
  </w:abstractNum>
  <w:abstractNum w:abstractNumId="143">
    <w:nsid w:val="B13A31"/>
    <w:multiLevelType w:val="hybridMultilevel"/>
    <w:lvl w:ilvl="0">
      <w:lvlJc w:val="left"/>
      <w:lvlText w:val="(%1)"/>
      <w:numFmt w:val="lowerLetter"/>
      <w:start w:val="4"/>
    </w:lvl>
  </w:abstractNum>
  <w:abstractNum w:abstractNumId="144">
    <w:nsid w:val="64429599"/>
    <w:multiLevelType w:val="hybridMultilevel"/>
    <w:lvl w:ilvl="0">
      <w:lvlJc w:val="left"/>
      <w:lvlText w:val="%1."/>
      <w:numFmt w:val="decimal"/>
      <w:start w:val="106"/>
    </w:lvl>
    <w:lvl w:ilvl="1">
      <w:lvlJc w:val="left"/>
      <w:lvlText w:val="(%2)"/>
      <w:numFmt w:val="lowerLetter"/>
      <w:start w:val="1"/>
    </w:lvl>
  </w:abstractNum>
  <w:abstractNum w:abstractNumId="145">
    <w:nsid w:val="631F1690"/>
    <w:multiLevelType w:val="hybridMultilevel"/>
    <w:lvl w:ilvl="0">
      <w:lvlJc w:val="left"/>
      <w:lvlText w:val="%1."/>
      <w:numFmt w:val="decimal"/>
      <w:start w:val="108"/>
    </w:lvl>
    <w:lvl w:ilvl="1">
      <w:lvlJc w:val="left"/>
      <w:lvlText w:val="(%2)"/>
      <w:numFmt w:val="lowerLetter"/>
      <w:start w:val="1"/>
    </w:lvl>
  </w:abstractNum>
  <w:abstractNum w:abstractNumId="146">
    <w:nsid w:val="25973E32"/>
    <w:multiLevelType w:val="hybridMultilevel"/>
    <w:lvl w:ilvl="0">
      <w:lvlJc w:val="left"/>
      <w:lvlText w:val="%1"/>
      <w:numFmt w:val="decimal"/>
      <w:start w:val="1"/>
    </w:lvl>
    <w:lvl w:ilvl="1">
      <w:lvlJc w:val="left"/>
      <w:lvlText w:val="(%2)"/>
      <w:numFmt w:val="lowerLetter"/>
      <w:start w:val="4"/>
    </w:lvl>
  </w:abstractNum>
  <w:abstractNum w:abstractNumId="147">
    <w:nsid w:val="EAD6F57"/>
    <w:multiLevelType w:val="hybridMultilevel"/>
    <w:lvl w:ilvl="0">
      <w:lvlJc w:val="left"/>
      <w:lvlText w:val="%1."/>
      <w:numFmt w:val="decimal"/>
      <w:start w:val="109"/>
    </w:lvl>
    <w:lvl w:ilvl="1">
      <w:lvlJc w:val="left"/>
      <w:lvlText w:val="%2"/>
      <w:numFmt w:val="lowerLetter"/>
      <w:start w:val="1"/>
    </w:lvl>
  </w:abstractNum>
  <w:abstractNum w:abstractNumId="148">
    <w:nsid w:val="6EC9D844"/>
    <w:multiLevelType w:val="hybridMultilevel"/>
    <w:lvl w:ilvl="0">
      <w:lvlJc w:val="left"/>
      <w:lvlText w:val="%1."/>
      <w:numFmt w:val="decimal"/>
      <w:start w:val="110"/>
    </w:lvl>
  </w:abstractNum>
  <w:abstractNum w:abstractNumId="149">
    <w:nsid w:val="5C49EAEE"/>
    <w:multiLevelType w:val="hybridMultilevel"/>
    <w:lvl w:ilvl="0">
      <w:lvlJc w:val="left"/>
      <w:lvlText w:val="%1."/>
      <w:numFmt w:val="decimal"/>
      <w:start w:val="113"/>
    </w:lvl>
    <w:lvl w:ilvl="1">
      <w:lvlJc w:val="left"/>
      <w:lvlText w:val="(%2)"/>
      <w:numFmt w:val="lowerLetter"/>
      <w:start w:val="1"/>
    </w:lvl>
  </w:abstractNum>
  <w:abstractNum w:abstractNumId="150">
    <w:nsid w:val="64AF49B"/>
    <w:multiLevelType w:val="hybridMultilevel"/>
    <w:lvl w:ilvl="0">
      <w:lvlJc w:val="left"/>
      <w:lvlText w:val="%1"/>
      <w:numFmt w:val="decimal"/>
      <w:start w:val="1"/>
    </w:lvl>
    <w:lvl w:ilvl="1">
      <w:lvlJc w:val="left"/>
      <w:lvlText w:val="(%2)"/>
      <w:numFmt w:val="lowerLetter"/>
      <w:start w:val="2"/>
    </w:lvl>
  </w:abstractNum>
  <w:abstractNum w:abstractNumId="151">
    <w:nsid w:val="397C46BC"/>
    <w:multiLevelType w:val="hybridMultilevel"/>
    <w:lvl w:ilvl="0">
      <w:lvlJc w:val="left"/>
      <w:lvlText w:val="%1."/>
      <w:numFmt w:val="decimal"/>
      <w:start w:val="114"/>
    </w:lvl>
    <w:lvl w:ilvl="1">
      <w:lvlJc w:val="left"/>
      <w:lvlText w:val="(%2)"/>
      <w:numFmt w:val="lowerLetter"/>
      <w:start w:val="1"/>
    </w:lvl>
  </w:abstractNum>
  <w:abstractNum w:abstractNumId="152">
    <w:nsid w:val="7E448DE9"/>
    <w:multiLevelType w:val="hybridMultilevel"/>
    <w:lvl w:ilvl="0">
      <w:lvlJc w:val="left"/>
      <w:lvlText w:val="%1."/>
      <w:numFmt w:val="decimal"/>
      <w:start w:val="117"/>
    </w:lvl>
  </w:abstractNum>
  <w:abstractNum w:abstractNumId="153">
    <w:nsid w:val="5A9CC3E5"/>
    <w:multiLevelType w:val="hybridMultilevel"/>
    <w:lvl w:ilvl="0">
      <w:lvlJc w:val="left"/>
      <w:lvlText w:val="%1."/>
      <w:numFmt w:val="decimal"/>
      <w:start w:val="118"/>
    </w:lvl>
    <w:lvl w:ilvl="1">
      <w:lvlJc w:val="left"/>
      <w:lvlText w:val="(%2)"/>
      <w:numFmt w:val="lowerLetter"/>
      <w:start w:val="1"/>
    </w:lvl>
    <w:lvl w:ilvl="2">
      <w:lvlJc w:val="left"/>
      <w:lvlText w:val="(%3)"/>
      <w:numFmt w:val="lowerRoman"/>
      <w:start w:val="1"/>
    </w:lvl>
  </w:abstractNum>
  <w:abstractNum w:abstractNumId="154">
    <w:nsid w:val="1AFE3625"/>
    <w:multiLevelType w:val="hybridMultilevel"/>
    <w:lvl w:ilvl="0">
      <w:lvlJc w:val="left"/>
      <w:lvlText w:val="%1."/>
      <w:numFmt w:val="decimal"/>
      <w:start w:val="119"/>
    </w:lvl>
  </w:abstractNum>
  <w:abstractNum w:abstractNumId="155">
    <w:nsid w:val="3CA88ECF"/>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1"/>
    </w:lvl>
  </w:abstractNum>
  <w:abstractNum w:abstractNumId="156">
    <w:nsid w:val="6EBE42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57">
    <w:nsid w:val="C058DF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8">
    <w:nsid w:val="CBE5BE9"/>
    <w:multiLevelType w:val="hybridMultilevel"/>
    <w:lvl w:ilvl="0">
      <w:lvlJc w:val="left"/>
      <w:lvlText w:val="%1."/>
      <w:numFmt w:val="decimal"/>
      <w:start w:val="123"/>
    </w:lvl>
    <w:lvl w:ilvl="1">
      <w:lvlJc w:val="left"/>
      <w:lvlText w:val="%2"/>
      <w:numFmt w:val="lowerLetter"/>
      <w:start w:val="1"/>
    </w:lvl>
    <w:lvl w:ilvl="2">
      <w:lvlJc w:val="left"/>
      <w:lvlText w:val="%3"/>
      <w:numFmt w:val="lowerRoman"/>
      <w:start w:val="1"/>
    </w:lvl>
  </w:abstractNum>
  <w:abstractNum w:abstractNumId="159">
    <w:nsid w:val="3102BBE2"/>
    <w:multiLevelType w:val="hybridMultilevel"/>
    <w:lvl w:ilvl="0">
      <w:lvlJc w:val="left"/>
      <w:lvlText w:val="%1."/>
      <w:numFmt w:val="decimal"/>
      <w:start w:val="124"/>
    </w:lvl>
  </w:abstractNum>
  <w:abstractNum w:abstractNumId="160">
    <w:nsid w:val="26A02C5E"/>
    <w:multiLevelType w:val="hybridMultilevel"/>
    <w:lvl w:ilvl="0">
      <w:lvlJc w:val="left"/>
      <w:lvlText w:val="%1."/>
      <w:numFmt w:val="decimal"/>
      <w:start w:val="125"/>
    </w:lvl>
  </w:abstractNum>
  <w:abstractNum w:abstractNumId="161">
    <w:nsid w:val="541C8153"/>
    <w:multiLevelType w:val="hybridMultilevel"/>
    <w:lvl w:ilvl="0">
      <w:lvlJc w:val="left"/>
      <w:lvlText w:val="(%1)"/>
      <w:numFmt w:val="lowerLetter"/>
      <w:start w:val="1"/>
    </w:lvl>
  </w:abstractNum>
  <w:abstractNum w:abstractNumId="162">
    <w:nsid w:val="67906F60"/>
    <w:multiLevelType w:val="hybridMultilevel"/>
    <w:lvl w:ilvl="0">
      <w:lvlJc w:val="left"/>
      <w:lvlText w:val="%1."/>
      <w:numFmt w:val="decimal"/>
      <w:start w:val="126"/>
    </w:lvl>
    <w:lvl w:ilvl="1">
      <w:lvlJc w:val="left"/>
      <w:lvlText w:val="(%2)"/>
      <w:numFmt w:val="lowerRoman"/>
      <w:start w:val="1"/>
    </w:lvl>
  </w:abstractNum>
  <w:abstractNum w:abstractNumId="163">
    <w:nsid w:val="10DB9DAA"/>
    <w:multiLevelType w:val="hybridMultilevel"/>
    <w:lvl w:ilvl="0">
      <w:lvlJc w:val="left"/>
      <w:lvlText w:val="%1."/>
      <w:numFmt w:val="decimal"/>
      <w:start w:val="127"/>
    </w:lvl>
    <w:lvl w:ilvl="1">
      <w:lvlJc w:val="left"/>
      <w:lvlText w:val="(%2)"/>
      <w:numFmt w:val="lowerLetter"/>
      <w:start w:val="1"/>
    </w:lvl>
  </w:abstractNum>
  <w:abstractNum w:abstractNumId="164">
    <w:nsid w:val="697D2D2"/>
    <w:multiLevelType w:val="hybridMultilevel"/>
    <w:lvl w:ilvl="0">
      <w:lvlJc w:val="left"/>
      <w:lvlText w:val="%1."/>
      <w:numFmt w:val="decimal"/>
      <w:start w:val="128"/>
    </w:lvl>
    <w:lvl w:ilvl="1">
      <w:lvlJc w:val="left"/>
      <w:lvlText w:val="(%2)"/>
      <w:numFmt w:val="lowerLetter"/>
      <w:start w:val="1"/>
    </w:lvl>
    <w:lvl w:ilvl="2">
      <w:lvlJc w:val="left"/>
      <w:lvlText w:val="(%3)"/>
      <w:numFmt w:val="lowerRoman"/>
      <w:start w:val="1"/>
    </w:lvl>
  </w:abstractNum>
  <w:abstractNum w:abstractNumId="165">
    <w:nsid w:val="6D68AB2"/>
    <w:multiLevelType w:val="hybridMultilevel"/>
    <w:lvl w:ilvl="0">
      <w:lvlJc w:val="left"/>
      <w:lvlText w:val="(%1)"/>
      <w:numFmt w:val="lowerLetter"/>
      <w:start w:val="10"/>
    </w:lvl>
  </w:abstractNum>
  <w:abstractNum w:abstractNumId="166">
    <w:nsid w:val="3A966CD0"/>
    <w:multiLevelType w:val="hybridMultilevel"/>
    <w:lvl w:ilvl="0">
      <w:lvlJc w:val="left"/>
      <w:lvlText w:val="%1."/>
      <w:numFmt w:val="decimal"/>
      <w:start w:val="129"/>
    </w:lvl>
    <w:lvl w:ilvl="1">
      <w:lvlJc w:val="left"/>
      <w:lvlText w:val="(%2)"/>
      <w:numFmt w:val="lowerLetter"/>
      <w:start w:val="1"/>
    </w:lvl>
    <w:lvl w:ilvl="2">
      <w:lvlJc w:val="left"/>
      <w:lvlText w:val="(%3)"/>
      <w:numFmt w:val="lowerRoman"/>
      <w:start w:val="1"/>
    </w:lvl>
  </w:abstractNum>
  <w:abstractNum w:abstractNumId="167">
    <w:nsid w:val="63F37E85"/>
    <w:multiLevelType w:val="hybridMultilevel"/>
    <w:lvl w:ilvl="0">
      <w:lvlJc w:val="left"/>
      <w:lvlText w:val="(%1)"/>
      <w:numFmt w:val="lowerLetter"/>
      <w:start w:val="2"/>
    </w:lvl>
  </w:abstractNum>
  <w:abstractNum w:abstractNumId="168">
    <w:nsid w:val="5895F5FA"/>
    <w:multiLevelType w:val="hybridMultilevel"/>
    <w:lvl w:ilvl="0">
      <w:lvlJc w:val="left"/>
      <w:lvlText w:val="%1."/>
      <w:numFmt w:val="decimal"/>
      <w:start w:val="130"/>
    </w:lvl>
    <w:lvl w:ilvl="1">
      <w:lvlJc w:val="left"/>
      <w:lvlText w:val="(%2)"/>
      <w:numFmt w:val="lowerLetter"/>
      <w:start w:val="1"/>
    </w:lvl>
  </w:abstractNum>
  <w:abstractNum w:abstractNumId="169">
    <w:nsid w:val="38A5D054"/>
    <w:multiLevelType w:val="hybridMultilevel"/>
    <w:lvl w:ilvl="0">
      <w:lvlJc w:val="left"/>
      <w:lvlText w:val="%1."/>
      <w:numFmt w:val="decimal"/>
      <w:start w:val="131"/>
    </w:lvl>
    <w:lvl w:ilvl="1">
      <w:lvlJc w:val="left"/>
      <w:lvlText w:val="(%2)"/>
      <w:numFmt w:val="lowerLetter"/>
      <w:start w:val="1"/>
    </w:lvl>
  </w:abstractNum>
  <w:abstractNum w:abstractNumId="170">
    <w:nsid w:val="F3F09D8"/>
    <w:multiLevelType w:val="hybridMultilevel"/>
    <w:lvl w:ilvl="0">
      <w:lvlJc w:val="left"/>
      <w:lvlText w:val="%1."/>
      <w:numFmt w:val="decimal"/>
      <w:start w:val="132"/>
    </w:lvl>
  </w:abstractNum>
  <w:abstractNum w:abstractNumId="171">
    <w:nsid w:val="4B793735"/>
    <w:multiLevelType w:val="hybridMultilevel"/>
    <w:lvl w:ilvl="0">
      <w:lvlJc w:val="left"/>
      <w:lvlText w:val="%1."/>
      <w:numFmt w:val="decimal"/>
      <w:start w:val="133"/>
    </w:lvl>
    <w:lvl w:ilvl="1">
      <w:lvlJc w:val="left"/>
      <w:lvlText w:val="(%2)"/>
      <w:numFmt w:val="lowerLetter"/>
      <w:start w:val="1"/>
    </w:lvl>
    <w:lvl w:ilvl="2">
      <w:lvlJc w:val="left"/>
      <w:lvlText w:val="(%3)"/>
      <w:numFmt w:val="lowerRoman"/>
      <w:start w:val="1"/>
    </w:lvl>
  </w:abstractNum>
  <w:abstractNum w:abstractNumId="172">
    <w:nsid w:val="4A10B4E8"/>
    <w:multiLevelType w:val="hybridMultilevel"/>
    <w:lvl w:ilvl="0">
      <w:lvlJc w:val="left"/>
      <w:lvlText w:val="(%1)"/>
      <w:numFmt w:val="lowerLetter"/>
      <w:start w:val="3"/>
    </w:lvl>
  </w:abstractNum>
  <w:abstractNum w:abstractNumId="173">
    <w:nsid w:val="43D3BCD4"/>
    <w:multiLevelType w:val="hybridMultilevel"/>
    <w:lvl w:ilvl="0">
      <w:lvlJc w:val="left"/>
      <w:lvlText w:val="(%1)"/>
      <w:numFmt w:val="lowerRoman"/>
      <w:start w:val="1"/>
    </w:lvl>
  </w:abstractNum>
  <w:abstractNum w:abstractNumId="174">
    <w:nsid w:val="4C2A7166"/>
    <w:multiLevelType w:val="hybridMultilevel"/>
    <w:lvl w:ilvl="0">
      <w:lvlJc w:val="left"/>
      <w:lvlText w:val="(%1)"/>
      <w:numFmt w:val="lowerRoman"/>
      <w:start w:val="3"/>
    </w:lvl>
  </w:abstractNum>
  <w:abstractNum w:abstractNumId="175">
    <w:nsid w:val="2E534A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76">
    <w:nsid w:val="26F2D36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77">
    <w:nsid w:val="71C1AF9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78">
    <w:nsid w:val="3D00B9D9"/>
    <w:multiLevelType w:val="hybridMultilevel"/>
    <w:lvl w:ilvl="0">
      <w:lvlJc w:val="left"/>
      <w:lvlText w:val="(%1)"/>
      <w:numFmt w:val="lowerLetter"/>
      <w:start w:val="6"/>
    </w:lvl>
    <w:lvl w:ilvl="1">
      <w:lvlJc w:val="left"/>
      <w:lvlText w:val="(%2)"/>
      <w:numFmt w:val="lowerRoman"/>
      <w:start w:val="1"/>
    </w:lvl>
  </w:abstractNum>
  <w:abstractNum w:abstractNumId="179">
    <w:nsid w:val="15BCABA8"/>
    <w:multiLevelType w:val="hybridMultilevel"/>
    <w:lvl w:ilvl="0">
      <w:lvlJc w:val="left"/>
      <w:lvlText w:val="%1."/>
      <w:numFmt w:val="decimal"/>
      <w:start w:val="135"/>
    </w:lvl>
    <w:lvl w:ilvl="1">
      <w:lvlJc w:val="left"/>
      <w:lvlText w:val="(%2)"/>
      <w:numFmt w:val="lowerLetter"/>
      <w:start w:val="1"/>
    </w:lvl>
  </w:abstractNum>
  <w:abstractNum w:abstractNumId="180">
    <w:nsid w:val="4E0B9A87"/>
    <w:multiLevelType w:val="hybridMultilevel"/>
    <w:lvl w:ilvl="0">
      <w:lvlJc w:val="left"/>
      <w:lvlText w:val="%1."/>
      <w:numFmt w:val="decimal"/>
      <w:start w:val="136"/>
    </w:lvl>
  </w:abstractNum>
  <w:abstractNum w:abstractNumId="181">
    <w:nsid w:val="434BAE75"/>
    <w:multiLevelType w:val="hybridMultilevel"/>
    <w:lvl w:ilvl="0">
      <w:lvlJc w:val="left"/>
      <w:lvlText w:val="%1."/>
      <w:numFmt w:val="decimal"/>
      <w:start w:val="142"/>
    </w:lvl>
    <w:lvl w:ilvl="1">
      <w:lvlJc w:val="left"/>
      <w:lvlText w:val="(%2)"/>
      <w:numFmt w:val="lowerLetter"/>
      <w:start w:val="1"/>
    </w:lvl>
  </w:abstractNum>
  <w:abstractNum w:abstractNumId="182">
    <w:nsid w:val="4F38F265"/>
    <w:multiLevelType w:val="hybridMultilevel"/>
    <w:lvl w:ilvl="0">
      <w:lvlJc w:val="left"/>
      <w:lvlText w:val="%1."/>
      <w:numFmt w:val="decimal"/>
      <w:start w:val="144"/>
    </w:lvl>
    <w:lvl w:ilvl="1">
      <w:lvlJc w:val="left"/>
      <w:lvlText w:val="(%2)"/>
      <w:numFmt w:val="lowerLetter"/>
      <w:start w:val="1"/>
    </w:lvl>
  </w:abstractNum>
  <w:abstractNum w:abstractNumId="183">
    <w:nsid w:val="4C502870"/>
    <w:multiLevelType w:val="hybridMultilevel"/>
    <w:lvl w:ilvl="0">
      <w:lvlJc w:val="left"/>
      <w:lvlText w:val="%1."/>
      <w:numFmt w:val="decimal"/>
      <w:start w:val="145"/>
    </w:lvl>
    <w:lvl w:ilvl="1">
      <w:lvlJc w:val="left"/>
      <w:lvlText w:val="(%2)"/>
      <w:numFmt w:val="lowerLetter"/>
      <w:start w:val="1"/>
    </w:lvl>
  </w:abstractNum>
  <w:abstractNum w:abstractNumId="184">
    <w:nsid w:val="1DE8725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5">
    <w:nsid w:val="6A37288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4"/>
    </w:lvl>
  </w:abstractNum>
  <w:abstractNum w:abstractNumId="186">
    <w:nsid w:val="8F8B73F"/>
    <w:multiLevelType w:val="hybridMultilevel"/>
    <w:lvl w:ilvl="0">
      <w:lvlJc w:val="left"/>
      <w:lvlText w:val="%1."/>
      <w:numFmt w:val="decimal"/>
      <w:start w:val="146"/>
    </w:lvl>
  </w:abstractNum>
  <w:abstractNum w:abstractNumId="187">
    <w:nsid w:val="CA6B462"/>
    <w:multiLevelType w:val="hybridMultilevel"/>
    <w:lvl w:ilvl="0">
      <w:lvlJc w:val="left"/>
      <w:lvlText w:val="%1."/>
      <w:numFmt w:val="decimal"/>
      <w:start w:val="147"/>
    </w:lvl>
    <w:lvl w:ilvl="1">
      <w:lvlJc w:val="left"/>
      <w:lvlText w:val="(%2)"/>
      <w:numFmt w:val="lowerLetter"/>
      <w:start w:val="1"/>
    </w:lvl>
    <w:lvl w:ilvl="2">
      <w:lvlJc w:val="left"/>
      <w:lvlText w:val="(%3)"/>
      <w:numFmt w:val="lowerRoman"/>
      <w:start w:val="1"/>
    </w:lvl>
  </w:abstractNum>
  <w:abstractNum w:abstractNumId="188">
    <w:nsid w:val="763CB680"/>
    <w:multiLevelType w:val="hybridMultilevel"/>
    <w:lvl w:ilvl="0">
      <w:lvlJc w:val="left"/>
      <w:lvlText w:val="%1"/>
      <w:numFmt w:val="lowerLetter"/>
      <w:start w:val="1"/>
    </w:lvl>
    <w:lvl w:ilvl="1">
      <w:lvlJc w:val="left"/>
      <w:lvlText w:val="(%2)"/>
      <w:numFmt w:val="lowerRoman"/>
      <w:start w:val="3"/>
    </w:lvl>
  </w:abstractNum>
  <w:abstractNum w:abstractNumId="189">
    <w:nsid w:val="15B71329"/>
    <w:multiLevelType w:val="hybridMultilevel"/>
    <w:lvl w:ilvl="0">
      <w:lvlJc w:val="left"/>
      <w:lvlText w:val="(%1)"/>
      <w:numFmt w:val="lowerLetter"/>
      <w:start w:val="3"/>
    </w:lvl>
    <w:lvl w:ilvl="1">
      <w:lvlJc w:val="left"/>
      <w:lvlText w:val="%2"/>
      <w:numFmt w:val="lowerRoman"/>
      <w:start w:val="1"/>
    </w:lvl>
  </w:abstractNum>
  <w:abstractNum w:abstractNumId="190">
    <w:nsid w:val="3DA97044"/>
    <w:multiLevelType w:val="hybridMultilevel"/>
    <w:lvl w:ilvl="0">
      <w:lvlJc w:val="left"/>
      <w:lvlText w:val="%1."/>
      <w:numFmt w:val="decimal"/>
      <w:start w:val="148"/>
    </w:lvl>
    <w:lvl w:ilvl="1">
      <w:lvlJc w:val="left"/>
      <w:lvlText w:val="(%2)"/>
      <w:numFmt w:val="lowerRoman"/>
      <w:start w:val="1"/>
    </w:lvl>
  </w:abstractNum>
  <w:abstractNum w:abstractNumId="191">
    <w:nsid w:val="1CDCE2DE"/>
    <w:multiLevelType w:val="hybridMultilevel"/>
    <w:lvl w:ilvl="0">
      <w:lvlJc w:val="left"/>
      <w:lvlText w:val="%1."/>
      <w:numFmt w:val="decimal"/>
      <w:start w:val="149"/>
    </w:lvl>
    <w:lvl w:ilvl="1">
      <w:lvlJc w:val="left"/>
      <w:lvlText w:val="(%2)"/>
      <w:numFmt w:val="lowerLetter"/>
      <w:start w:val="1"/>
    </w:lvl>
  </w:abstractNum>
  <w:abstractNum w:abstractNumId="192">
    <w:nsid w:val="69D3947C"/>
    <w:multiLevelType w:val="hybridMultilevel"/>
    <w:lvl w:ilvl="0">
      <w:lvlJc w:val="left"/>
      <w:lvlText w:val="(%1)"/>
      <w:numFmt w:val="lowerLetter"/>
      <w:start w:val="2"/>
    </w:lvl>
    <w:lvl w:ilvl="1">
      <w:lvlJc w:val="left"/>
      <w:lvlText w:val="(%2)"/>
      <w:numFmt w:val="lowerRoman"/>
      <w:start w:val="1"/>
    </w:lvl>
  </w:abstractNum>
  <w:abstractNum w:abstractNumId="193">
    <w:nsid w:val="2539DFA5"/>
    <w:multiLevelType w:val="hybridMultilevel"/>
    <w:lvl w:ilvl="0">
      <w:lvlJc w:val="left"/>
      <w:lvlText w:val="%1."/>
      <w:numFmt w:val="decimal"/>
      <w:start w:val="150"/>
    </w:lvl>
  </w:abstractNum>
  <w:abstractNum w:abstractNumId="194">
    <w:nsid w:val="2DB88089"/>
    <w:multiLevelType w:val="hybridMultilevel"/>
    <w:lvl w:ilvl="0">
      <w:lvlJc w:val="left"/>
      <w:lvlText w:val="(%1)"/>
      <w:numFmt w:val="lowerLetter"/>
      <w:start w:val="1"/>
    </w:lvl>
    <w:lvl w:ilvl="1">
      <w:lvlJc w:val="left"/>
      <w:lvlText w:val="(%2)"/>
      <w:numFmt w:val="lowerRoman"/>
      <w:start w:val="1"/>
    </w:lvl>
  </w:abstractNum>
  <w:abstractNum w:abstractNumId="195">
    <w:nsid w:val="706B674E"/>
    <w:multiLevelType w:val="hybridMultilevel"/>
    <w:lvl w:ilvl="0">
      <w:lvlJc w:val="left"/>
      <w:lvlText w:val="(%1)"/>
      <w:numFmt w:val="lowerLetter"/>
      <w:start w:val="3"/>
    </w:lvl>
  </w:abstractNum>
  <w:abstractNum w:abstractNumId="196">
    <w:nsid w:val="2C106A57"/>
    <w:multiLevelType w:val="hybridMultilevel"/>
    <w:lvl w:ilvl="0">
      <w:lvlJc w:val="left"/>
      <w:lvlText w:val="%1."/>
      <w:numFmt w:val="upperLetter"/>
      <w:start w:val="1"/>
    </w:lvl>
  </w:abstractNum>
  <w:abstractNum w:abstractNumId="197">
    <w:nsid w:val="684EED59"/>
    <w:multiLevelType w:val="hybridMultilevel"/>
    <w:lvl w:ilvl="0">
      <w:lvlJc w:val="left"/>
      <w:lvlText w:val="%1."/>
      <w:numFmt w:val="upperLetter"/>
      <w:start w:val="2"/>
    </w:lvl>
    <w:lvl w:ilvl="1">
      <w:lvlJc w:val="left"/>
      <w:lvlText w:val="%2."/>
      <w:numFmt w:val="decimal"/>
      <w:start w:val="1"/>
    </w:lvl>
  </w:abstractNum>
  <w:abstractNum w:abstractNumId="198">
    <w:nsid w:val="545EE5D3"/>
    <w:multiLevelType w:val="hybridMultilevel"/>
    <w:lvl w:ilvl="0">
      <w:lvlJc w:val="left"/>
      <w:lvlText w:val="%1."/>
      <w:numFmt w:val="decimal"/>
      <w:start w:val="1"/>
    </w:lvl>
  </w:abstractNum>
  <w:abstractNum w:abstractNumId="199">
    <w:nsid w:val="4A66051"/>
    <w:multiLevelType w:val="hybridMultilevel"/>
    <w:lvl w:ilvl="0">
      <w:lvlJc w:val="left"/>
      <w:lvlText w:val="%1"/>
      <w:numFmt w:val="decimal"/>
      <w:start w:val="1"/>
    </w:lvl>
    <w:lvl w:ilvl="1">
      <w:lvlJc w:val="left"/>
      <w:lvlText w:val="%2."/>
      <w:numFmt w:val="lowerLetter"/>
      <w:start w:val="1"/>
    </w:lvl>
  </w:abstractNum>
  <w:abstractNum w:abstractNumId="200">
    <w:nsid w:val="20F4BDAD"/>
    <w:multiLevelType w:val="hybridMultilevel"/>
    <w:lvl w:ilvl="0">
      <w:lvlJc w:val="left"/>
      <w:lvlText w:val="%1."/>
      <w:numFmt w:val="decimal"/>
      <w:start w:val="6"/>
    </w:lvl>
    <w:lvl w:ilvl="1">
      <w:lvlJc w:val="left"/>
      <w:lvlText w:val="%2."/>
      <w:numFmt w:val="lowerLetter"/>
      <w:start w:val="1"/>
    </w:lvl>
  </w:abstractNum>
  <w:abstractNum w:abstractNumId="201">
    <w:nsid w:val="639DEFAC"/>
    <w:multiLevelType w:val="hybridMultilevel"/>
    <w:lvl w:ilvl="0">
      <w:lvlJc w:val="left"/>
      <w:lvlText w:val="%1."/>
      <w:numFmt w:val="decimal"/>
      <w:start w:val="12"/>
    </w:lvl>
    <w:lvl w:ilvl="1">
      <w:lvlJc w:val="left"/>
      <w:lvlText w:val="%2."/>
      <w:numFmt w:val="lowerLetter"/>
      <w:start w:val="1"/>
    </w:lvl>
  </w:abstractNum>
  <w:abstractNum w:abstractNumId="202">
    <w:nsid w:val="501F9786"/>
    <w:multiLevelType w:val="hybridMultilevel"/>
    <w:lvl w:ilvl="0">
      <w:lvlJc w:val="left"/>
      <w:lvlText w:val="1"/>
      <w:numFmt w:val="bullet"/>
      <w:start w:val="1"/>
    </w:lvl>
  </w:abstractNum>
  <w:abstractNum w:abstractNumId="203">
    <w:nsid w:val="6B057295"/>
    <w:multiLevelType w:val="hybridMultilevel"/>
    <w:lvl w:ilvl="0">
      <w:lvlJc w:val="left"/>
      <w:lvlText w:val="%1"/>
      <w:numFmt w:val="decimal"/>
      <w:start w:val="1"/>
    </w:lvl>
    <w:lvl w:ilvl="1">
      <w:lvlJc w:val="left"/>
      <w:lvlText w:val="%2."/>
      <w:numFmt w:val="lowerLetter"/>
      <w:start w:val="3"/>
    </w:lvl>
  </w:abstractNum>
  <w:abstractNum w:abstractNumId="204">
    <w:nsid w:val="2771AC80"/>
    <w:multiLevelType w:val="hybridMultilevel"/>
    <w:lvl w:ilvl="0">
      <w:lvlJc w:val="left"/>
      <w:lvlText w:val="%1."/>
      <w:numFmt w:val="decimal"/>
      <w:start w:val="15"/>
    </w:lvl>
    <w:lvl w:ilvl="1">
      <w:lvlJc w:val="left"/>
      <w:lvlText w:val="%2."/>
      <w:numFmt w:val="lowerLetter"/>
      <w:start w:val="1"/>
    </w:lvl>
  </w:abstractNum>
  <w:abstractNum w:abstractNumId="205">
    <w:nsid w:val="1C4A08EC"/>
    <w:multiLevelType w:val="hybridMultilevel"/>
    <w:lvl w:ilvl="0">
      <w:lvlJc w:val="left"/>
      <w:lvlText w:val="2"/>
      <w:numFmt w:val="bullet"/>
      <w:start w:val="1"/>
    </w:lvl>
  </w:abstractNum>
  <w:abstractNum w:abstractNumId="206">
    <w:nsid w:val="1958BD17"/>
    <w:multiLevelType w:val="hybridMultilevel"/>
    <w:lvl w:ilvl="0">
      <w:lvlJc w:val="left"/>
      <w:lvlText w:val="%1"/>
      <w:numFmt w:val="decimal"/>
      <w:start w:val="1"/>
    </w:lvl>
    <w:lvl w:ilvl="1">
      <w:lvlJc w:val="left"/>
      <w:lvlText w:val="%2."/>
      <w:numFmt w:val="lowerLetter"/>
      <w:start w:val="2"/>
    </w:lvl>
  </w:abstractNum>
  <w:abstractNum w:abstractNumId="207">
    <w:nsid w:val="4E647FE4"/>
    <w:multiLevelType w:val="hybridMultilevel"/>
    <w:lvl w:ilvl="0">
      <w:lvlJc w:val="left"/>
      <w:lvlText w:val="%1."/>
      <w:numFmt w:val="decimal"/>
      <w:start w:val="17"/>
    </w:lvl>
    <w:lvl w:ilvl="1">
      <w:lvlJc w:val="left"/>
      <w:lvlText w:val="%2"/>
      <w:numFmt w:val="lowerLetter"/>
      <w:start w:val="1"/>
    </w:lvl>
  </w:abstractNum>
  <w:abstractNum w:abstractNumId="208">
    <w:nsid w:val="E0BB885"/>
    <w:multiLevelType w:val="hybridMultilevel"/>
    <w:lvl w:ilvl="0">
      <w:lvlJc w:val="left"/>
      <w:lvlText w:val="%1."/>
      <w:numFmt w:val="decimal"/>
      <w:start w:val="19"/>
    </w:lvl>
  </w:abstractNum>
  <w:abstractNum w:abstractNumId="209">
    <w:nsid w:val="565976F1"/>
    <w:multiLevelType w:val="hybridMultilevel"/>
    <w:lvl w:ilvl="0">
      <w:lvlJc w:val="left"/>
      <w:lvlText w:val="%1."/>
      <w:numFmt w:val="decimal"/>
      <w:start w:val="1"/>
    </w:lvl>
  </w:abstractNum>
  <w:abstractNum w:abstractNumId="210">
    <w:nsid w:val="64212B8C"/>
    <w:multiLevelType w:val="hybridMultilevel"/>
    <w:lvl w:ilvl="0">
      <w:lvlJc w:val="left"/>
      <w:lvlText w:val="%1."/>
      <w:numFmt w:val="decimal"/>
      <w:start w:val="3"/>
    </w:lvl>
  </w:abstractNum>
  <w:abstractNum w:abstractNumId="211">
    <w:nsid w:val="5C17530C"/>
    <w:multiLevelType w:val="hybridMultilevel"/>
    <w:lvl w:ilvl="0">
      <w:lvlJc w:val="left"/>
      <w:lvlText w:val="(%1)"/>
      <w:numFmt w:val="lowerLetter"/>
      <w:start w:val="2"/>
    </w:lvl>
  </w:abstractNum>
  <w:abstractNum w:abstractNumId="212">
    <w:nsid w:val="19A52566"/>
    <w:multiLevelType w:val="hybridMultilevel"/>
    <w:lvl w:ilvl="0">
      <w:lvlJc w:val="left"/>
      <w:lvlText w:val="(%1)"/>
      <w:numFmt w:val="lowerLetter"/>
      <w:start w:val="3"/>
    </w:lvl>
  </w:abstractNum>
  <w:abstractNum w:abstractNumId="213">
    <w:nsid w:val="335A1DF1"/>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214">
    <w:nsid w:val="28677B7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215">
    <w:nsid w:val="378D97C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216">
    <w:nsid w:val="1D91467C"/>
    <w:multiLevelType w:val="hybridMultilevel"/>
    <w:lvl w:ilvl="0">
      <w:lvlJc w:val="left"/>
      <w:lvlText w:val="%1"/>
      <w:numFmt w:val="lowerLetter"/>
      <w:start w:val="1"/>
    </w:lvl>
    <w:lvl w:ilvl="1">
      <w:lvlJc w:val="left"/>
      <w:lvlText w:val="(%2)"/>
      <w:numFmt w:val="lowerRoman"/>
      <w:start w:val="12"/>
    </w:lvl>
    <w:lvl w:ilvl="2">
      <w:lvlJc w:val="left"/>
      <w:lvlText w:val="%3"/>
      <w:numFmt w:val="lowerRoman"/>
      <w:start w:val="1"/>
    </w:lvl>
  </w:abstractNum>
  <w:abstractNum w:abstractNumId="217">
    <w:nsid w:val="316032BB"/>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218">
    <w:nsid w:val="44344C22"/>
    <w:multiLevelType w:val="hybridMultilevel"/>
    <w:lvl w:ilvl="0">
      <w:lvlJc w:val="left"/>
      <w:lvlText w:val="(%1)"/>
      <w:numFmt w:val="lowerRoman"/>
      <w:start w:val="1"/>
    </w:lvl>
  </w:abstractNum>
  <w:abstractNum w:abstractNumId="219">
    <w:nsid w:val="13CDFCFC"/>
    <w:multiLevelType w:val="hybridMultilevel"/>
    <w:lvl w:ilvl="0">
      <w:lvlJc w:val="left"/>
      <w:lvlText w:val="%1."/>
      <w:numFmt w:val="decimal"/>
      <w:start w:val="5"/>
    </w:lvl>
    <w:lvl w:ilvl="1">
      <w:lvlJc w:val="left"/>
      <w:lvlText w:val="(%2)"/>
      <w:numFmt w:val="lowerLetter"/>
      <w:start w:val="2"/>
    </w:lvl>
  </w:abstractNum>
  <w:abstractNum w:abstractNumId="220">
    <w:nsid w:val="471745E4"/>
    <w:multiLevelType w:val="hybridMultilevel"/>
    <w:lvl w:ilvl="0">
      <w:lvlJc w:val="left"/>
      <w:lvlText w:val="%1."/>
      <w:numFmt w:val="decimal"/>
      <w:start w:val="6"/>
    </w:lvl>
    <w:lvl w:ilvl="1">
      <w:lvlJc w:val="left"/>
      <w:lvlText w:val="%2)"/>
      <w:numFmt w:val="lowerLetter"/>
      <w:start w:val="1"/>
    </w:lvl>
  </w:abstractNum>
  <w:abstractNum w:abstractNumId="221">
    <w:nsid w:val="1DDBC66"/>
    <w:multiLevelType w:val="hybridMultilevel"/>
    <w:lvl w:ilvl="0">
      <w:lvlJc w:val="left"/>
      <w:lvlText w:val="%1"/>
      <w:numFmt w:val="decimal"/>
      <w:start w:val="1"/>
    </w:lvl>
    <w:lvl w:ilvl="1">
      <w:lvlJc w:val="left"/>
      <w:lvlText w:val="%2)"/>
      <w:numFmt w:val="lowerLetter"/>
      <w:start w:val="4"/>
    </w:lvl>
  </w:abstractNum>
  <w:abstractNum w:abstractNumId="222">
    <w:nsid w:val="30AADFDA"/>
    <w:multiLevelType w:val="hybridMultilevel"/>
    <w:lvl w:ilvl="0">
      <w:lvlJc w:val="left"/>
      <w:lvlText w:val="%1."/>
      <w:numFmt w:val="decimal"/>
      <w:start w:val="9"/>
    </w:lvl>
    <w:lvl w:ilvl="1">
      <w:lvlJc w:val="left"/>
      <w:lvlText w:val="%2)"/>
      <w:numFmt w:val="lowerLetter"/>
      <w:start w:val="1"/>
    </w:lvl>
  </w:abstractNum>
  <w:abstractNum w:abstractNumId="223">
    <w:nsid w:val="30EADA61"/>
    <w:multiLevelType w:val="hybridMultilevel"/>
    <w:lvl w:ilvl="0">
      <w:lvlJc w:val="left"/>
      <w:lvlText w:val="%1)"/>
      <w:numFmt w:val="lowerLetter"/>
      <w:start w:val="3"/>
    </w:lvl>
  </w:abstractNum>
  <w:abstractNum w:abstractNumId="224">
    <w:nsid w:val="27179C0B"/>
    <w:multiLevelType w:val="hybridMultilevel"/>
    <w:lvl w:ilvl="0">
      <w:lvlJc w:val="left"/>
      <w:lvlText w:val="%1)"/>
      <w:numFmt w:val="lowerLetter"/>
      <w:start w:val="14"/>
    </w:lvl>
  </w:abstractNum>
  <w:abstractNum w:abstractNumId="225">
    <w:nsid w:val="5E636063"/>
    <w:multiLevelType w:val="hybridMultilevel"/>
    <w:lvl w:ilvl="0">
      <w:lvlJc w:val="left"/>
      <w:lvlText w:val="%1)"/>
      <w:numFmt w:val="lowerLetter"/>
      <w:start w:val="25"/>
    </w:lvl>
  </w:abstractNum>
  <w:abstractNum w:abstractNumId="226">
    <w:nsid w:val="215641AF"/>
    <w:multiLevelType w:val="hybridMultilevel"/>
    <w:lvl w:ilvl="0">
      <w:lvlJc w:val="left"/>
      <w:lvlText w:val="%1"/>
      <w:numFmt w:val="decimal"/>
      <w:start w:val="1"/>
    </w:lvl>
    <w:lvl w:ilvl="1">
      <w:lvlJc w:val="left"/>
      <w:lvlText w:val="%2)"/>
      <w:numFmt w:val="lowerLetter"/>
      <w:start w:val="27"/>
    </w:lvl>
  </w:abstractNum>
  <w:abstractNum w:abstractNumId="227">
    <w:nsid w:val="53280662"/>
    <w:multiLevelType w:val="hybridMultilevel"/>
    <w:lvl w:ilvl="0">
      <w:lvlJc w:val="left"/>
      <w:lvlText w:val="%1."/>
      <w:numFmt w:val="decimal"/>
      <w:start w:val="13"/>
    </w:lvl>
    <w:lvl w:ilvl="1">
      <w:lvlJc w:val="left"/>
      <w:lvlText w:val="%2)"/>
      <w:numFmt w:val="lowerLetter"/>
      <w:start w:val="1"/>
    </w:lvl>
  </w:abstractNum>
  <w:abstractNum w:abstractNumId="228">
    <w:nsid w:val="46B24DBC"/>
    <w:multiLevelType w:val="hybridMultilevel"/>
    <w:lvl w:ilvl="0">
      <w:lvlJc w:val="left"/>
      <w:lvlText w:val="2"/>
      <w:numFmt w:val="bullet"/>
      <w:start w:val="1"/>
    </w:lvl>
  </w:abstractNum>
  <w:abstractNum w:abstractNumId="229">
    <w:nsid w:val="75B52783"/>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2025-03-31T18:37:17Z</dcterms:created>
  <dcterms:modified xsi:type="dcterms:W3CDTF">2025-03-31T18:37:17Z</dcterms:modified>
</cp:coreProperties>
</file>